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29cbababca92622a94cca9548bdbf977ef04266"/>
    <w:p>
      <w:pPr>
        <w:pStyle w:val="Heading1"/>
      </w:pPr>
      <w:r>
        <w:t xml:space="preserve">Checklist de cumplimiento normativo y brechas</w:t>
      </w:r>
    </w:p>
    <w:bookmarkStart w:id="9" w:name="contexto-normativo"/>
    <w:p>
      <w:pPr>
        <w:pStyle w:val="Heading2"/>
      </w:pPr>
      <w:r>
        <w:t xml:space="preserve">Contexto normativo</w:t>
      </w:r>
    </w:p>
    <w:p>
      <w:pPr>
        <w:pStyle w:val="Compact"/>
        <w:numPr>
          <w:ilvl w:val="0"/>
          <w:numId w:val="1001"/>
        </w:numPr>
      </w:pPr>
      <w:r>
        <w:t xml:space="preserve">RM N° 1104-2018-MINSA: infraestructura de interoperabilidad (RNIEDS y PIDESALUD).</w:t>
      </w:r>
    </w:p>
    <w:p>
      <w:pPr>
        <w:pStyle w:val="Compact"/>
        <w:numPr>
          <w:ilvl w:val="0"/>
          <w:numId w:val="1001"/>
        </w:numPr>
      </w:pPr>
      <w:r>
        <w:t xml:space="preserve">RM N° 464-2019-MINSA: directiva de interoperabilidad asistencial (DA N° 266-MINSA/2019/OGTI).</w:t>
      </w:r>
    </w:p>
    <w:p>
      <w:pPr>
        <w:pStyle w:val="Compact"/>
        <w:numPr>
          <w:ilvl w:val="0"/>
          <w:numId w:val="1001"/>
        </w:numPr>
      </w:pPr>
      <w:r>
        <w:t xml:space="preserve">RM N° 1193-2019-MINSA: catálogo IEDS para estandarización de datos.</w:t>
      </w:r>
    </w:p>
    <w:bookmarkEnd w:id="9"/>
    <w:bookmarkStart w:id="10" w:name="estado-y-prioridad"/>
    <w:p>
      <w:pPr>
        <w:pStyle w:val="Heading2"/>
      </w:pPr>
      <w:r>
        <w:t xml:space="preserve">Estado y Prioridad</w:t>
      </w:r>
    </w:p>
    <w:p>
      <w:pPr>
        <w:pStyle w:val="FirstParagraph"/>
      </w:pPr>
      <w:r>
        <w:t xml:space="preserve">Cada ítem se debe de marcar con evidencia verificable (documento, captura, log, acta técnica).</w:t>
      </w:r>
    </w:p>
    <w:p>
      <w:pPr>
        <w:pStyle w:val="Compact"/>
        <w:numPr>
          <w:ilvl w:val="0"/>
          <w:numId w:val="1002"/>
        </w:numPr>
      </w:pPr>
      <w:r>
        <w:t xml:space="preserve">Estado:</w:t>
      </w:r>
      <w:r>
        <w:t xml:space="preserve"> </w:t>
      </w:r>
      <w:r>
        <w:rPr>
          <w:rStyle w:val="VerbatimChar"/>
        </w:rPr>
        <w:t xml:space="preserve">Cumple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Parcial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No cumple</w:t>
      </w:r>
    </w:p>
    <w:p>
      <w:pPr>
        <w:pStyle w:val="Compact"/>
        <w:numPr>
          <w:ilvl w:val="0"/>
          <w:numId w:val="1002"/>
        </w:numPr>
      </w:pPr>
      <w:r>
        <w:t xml:space="preserve">Prioridad:</w:t>
      </w:r>
      <w:r>
        <w:t xml:space="preserve"> </w:t>
      </w:r>
      <w:r>
        <w:rPr>
          <w:rStyle w:val="VerbatimChar"/>
        </w:rPr>
        <w:t xml:space="preserve">Alta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Baja</w:t>
      </w:r>
    </w:p>
    <w:bookmarkEnd w:id="10"/>
    <w:bookmarkStart w:id="11" w:name="matriz-de-verificación"/>
    <w:p>
      <w:pPr>
        <w:pStyle w:val="Heading2"/>
      </w:pPr>
      <w:r>
        <w:t xml:space="preserve">Matriz de verificación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Dominio</w:t>
            </w:r>
          </w:p>
        </w:tc>
        <w:tc>
          <w:tcPr/>
          <w:p>
            <w:pPr>
              <w:pStyle w:val="Compact"/>
            </w:pPr>
            <w:r>
              <w:t xml:space="preserve">Requisito verificable</w:t>
            </w:r>
          </w:p>
        </w:tc>
        <w:tc>
          <w:tcPr/>
          <w:p>
            <w:pPr>
              <w:pStyle w:val="Compact"/>
            </w:pPr>
            <w:r>
              <w:t xml:space="preserve">Evidencia esperada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Riesgo si no 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Gobernanza</w:t>
            </w:r>
          </w:p>
        </w:tc>
        <w:tc>
          <w:tcPr/>
          <w:p>
            <w:pPr>
              <w:pStyle w:val="Compact"/>
            </w:pPr>
            <w:r>
              <w:t xml:space="preserve">Existe responsable formal de interoperabilidad (OGTI/red regional/establecimiento)</w:t>
            </w:r>
          </w:p>
        </w:tc>
        <w:tc>
          <w:tcPr/>
          <w:p>
            <w:pPr>
              <w:pStyle w:val="Compact"/>
            </w:pPr>
            <w:r>
              <w:t xml:space="preserve">Resolución interna, MOF/ROF, designación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Implementación descoordinada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Arquitectura</w:t>
            </w:r>
          </w:p>
        </w:tc>
        <w:tc>
          <w:tcPr/>
          <w:p>
            <w:pPr>
              <w:pStyle w:val="Compact"/>
            </w:pPr>
            <w:r>
              <w:t xml:space="preserve">El sistema local está registrado para integrarse a PIDESALUD</w:t>
            </w:r>
          </w:p>
        </w:tc>
        <w:tc>
          <w:tcPr/>
          <w:p>
            <w:pPr>
              <w:pStyle w:val="Compact"/>
            </w:pPr>
            <w:r>
              <w:t xml:space="preserve">Acta técnica, endpoint habilitado, credenciales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Aislamiento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Arquitectura</w:t>
            </w:r>
          </w:p>
        </w:tc>
        <w:tc>
          <w:tcPr/>
          <w:p>
            <w:pPr>
              <w:pStyle w:val="Compact"/>
            </w:pPr>
            <w:r>
              <w:t xml:space="preserve">Se consulta/publica catálogos desde RNIEDS o réplica oficial</w:t>
            </w:r>
          </w:p>
        </w:tc>
        <w:tc>
          <w:tcPr/>
          <w:p>
            <w:pPr>
              <w:pStyle w:val="Compact"/>
            </w:pPr>
            <w:r>
              <w:t xml:space="preserve">Bitácora de sincronización, script de actualización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Inconsistencia semántica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Estándares</w:t>
            </w:r>
          </w:p>
        </w:tc>
        <w:tc>
          <w:tcPr/>
          <w:p>
            <w:pPr>
              <w:pStyle w:val="Compact"/>
            </w:pPr>
            <w:r>
              <w:t xml:space="preserve">Mensajería clínica implementada con HL7 en procesos definidos</w:t>
            </w:r>
          </w:p>
        </w:tc>
        <w:tc>
          <w:tcPr/>
          <w:p>
            <w:pPr>
              <w:pStyle w:val="Compact"/>
            </w:pPr>
            <w:r>
              <w:t xml:space="preserve">Especificaciones, mensajes de prueba, logs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Intercambio no interoperable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Estándares</w:t>
            </w:r>
          </w:p>
        </w:tc>
        <w:tc>
          <w:tcPr/>
          <w:p>
            <w:pPr>
              <w:pStyle w:val="Compact"/>
            </w:pPr>
            <w:r>
              <w:t xml:space="preserve">Imágenes diagnósticas interoperan con DICOM cuando aplica</w:t>
            </w:r>
          </w:p>
        </w:tc>
        <w:tc>
          <w:tcPr/>
          <w:p>
            <w:pPr>
              <w:pStyle w:val="Compact"/>
            </w:pPr>
            <w:r>
              <w:t xml:space="preserve">Integración RIS/PACS, pruebas de intercambio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Pérdida de continuidad diagnóstica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Codificación</w:t>
            </w:r>
          </w:p>
        </w:tc>
        <w:tc>
          <w:tcPr/>
          <w:p>
            <w:pPr>
              <w:pStyle w:val="Compact"/>
            </w:pPr>
            <w:r>
              <w:t xml:space="preserve">Diagnósticos codificados con CIE-10</w:t>
            </w:r>
          </w:p>
        </w:tc>
        <w:tc>
          <w:tcPr/>
          <w:p>
            <w:pPr>
              <w:pStyle w:val="Compact"/>
            </w:pPr>
            <w:r>
              <w:t xml:space="preserve">Registros clínicos auditados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Errores clínico-estadísticos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Codificación</w:t>
            </w:r>
          </w:p>
        </w:tc>
        <w:tc>
          <w:tcPr/>
          <w:p>
            <w:pPr>
              <w:pStyle w:val="Compact"/>
            </w:pPr>
            <w:r>
              <w:t xml:space="preserve">Procedimientos codificados con CPMS</w:t>
            </w:r>
          </w:p>
        </w:tc>
        <w:tc>
          <w:tcPr/>
          <w:p>
            <w:pPr>
              <w:pStyle w:val="Compact"/>
            </w:pPr>
            <w:r>
              <w:t xml:space="preserve">Historias clínicas, reportes SIS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Observaciones y rechazo de pagos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IEDS</w:t>
            </w:r>
          </w:p>
        </w:tc>
        <w:tc>
          <w:tcPr/>
          <w:p>
            <w:pPr>
              <w:pStyle w:val="Compact"/>
            </w:pPr>
            <w:r>
              <w:t xml:space="preserve">Identificación de paciente usa DNI/CE con validación de fuente oficial</w:t>
            </w:r>
          </w:p>
        </w:tc>
        <w:tc>
          <w:tcPr/>
          <w:p>
            <w:pPr>
              <w:pStyle w:val="Compact"/>
            </w:pPr>
            <w:r>
              <w:t xml:space="preserve">Integración RENIEC/Migraciones, reglas de validación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Duplicidad/colisión de identidad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IEDS</w:t>
            </w:r>
          </w:p>
        </w:tc>
        <w:tc>
          <w:tcPr/>
          <w:p>
            <w:pPr>
              <w:pStyle w:val="Compact"/>
            </w:pPr>
            <w:r>
              <w:t xml:space="preserve">Identificación de establecimiento usa código RENAES vigente</w:t>
            </w:r>
          </w:p>
        </w:tc>
        <w:tc>
          <w:tcPr/>
          <w:p>
            <w:pPr>
              <w:pStyle w:val="Compact"/>
            </w:pPr>
            <w:r>
              <w:t xml:space="preserve">Catálogo local y validación vigente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Trazabilidad institucional deficiente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IEDS</w:t>
            </w:r>
          </w:p>
        </w:tc>
        <w:tc>
          <w:tcPr/>
          <w:p>
            <w:pPr>
              <w:pStyle w:val="Compact"/>
            </w:pPr>
            <w:r>
              <w:t xml:space="preserve">Catálogo de medicamentos alineado con DIGEMID</w:t>
            </w:r>
          </w:p>
        </w:tc>
        <w:tc>
          <w:tcPr/>
          <w:p>
            <w:pPr>
              <w:pStyle w:val="Compact"/>
            </w:pPr>
            <w:r>
              <w:t xml:space="preserve">Maestro de medicamentos y mapeo de códigos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Riesgo de medicación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Seguridad</w:t>
            </w:r>
          </w:p>
        </w:tc>
        <w:tc>
          <w:tcPr/>
          <w:p>
            <w:pPr>
              <w:pStyle w:val="Compact"/>
            </w:pPr>
            <w:r>
              <w:t xml:space="preserve">Tratamiento de datos cumple Ley 29733 y medidas de seguridad</w:t>
            </w:r>
          </w:p>
        </w:tc>
        <w:tc>
          <w:tcPr/>
          <w:p>
            <w:pPr>
              <w:pStyle w:val="Compact"/>
            </w:pPr>
            <w:r>
              <w:t xml:space="preserve">Políticas, controles de acceso, cifrado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Riesgo legal y de privacidad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Auditoría de accesos y transacciones habilitada</w:t>
            </w:r>
          </w:p>
        </w:tc>
        <w:tc>
          <w:tcPr/>
          <w:p>
            <w:pPr>
              <w:pStyle w:val="Compact"/>
            </w:pPr>
            <w:r>
              <w:t xml:space="preserve">Logs, tablero SIEM, reportes de auditoría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Imposibilidad de control y sanción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Operación SIS</w:t>
            </w:r>
          </w:p>
        </w:tc>
        <w:tc>
          <w:tcPr/>
          <w:p>
            <w:pPr>
              <w:pStyle w:val="Compact"/>
            </w:pPr>
            <w:r>
              <w:t xml:space="preserve">Validación administrativa SIS integrada al flujo clínico</w:t>
            </w:r>
          </w:p>
        </w:tc>
        <w:tc>
          <w:tcPr/>
          <w:p>
            <w:pPr>
              <w:pStyle w:val="Compact"/>
            </w:pPr>
            <w:r>
              <w:t xml:space="preserve">Tiempos de validación, tasa de rechazo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Demoras y no cobertura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Calidad de dato</w:t>
            </w:r>
          </w:p>
        </w:tc>
        <w:tc>
          <w:tcPr/>
          <w:p>
            <w:pPr>
              <w:pStyle w:val="Compact"/>
            </w:pPr>
            <w:r>
              <w:t xml:space="preserve">Existe proceso de calidad para detectar incompletitud y duplicidad</w:t>
            </w:r>
          </w:p>
        </w:tc>
        <w:tc>
          <w:tcPr/>
          <w:p>
            <w:pPr>
              <w:pStyle w:val="Compact"/>
            </w:pPr>
            <w:r>
              <w:t xml:space="preserve">Indicadores, reportes mensuales, planes de mejora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Decisiones clínicas y de gestión sesgadas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Continuidad de atención</w:t>
            </w:r>
          </w:p>
        </w:tc>
        <w:tc>
          <w:tcPr/>
          <w:p>
            <w:pPr>
              <w:pStyle w:val="Compact"/>
            </w:pPr>
            <w:r>
              <w:t xml:space="preserve">Se recupera historia básica del paciente entre establecimientos</w:t>
            </w:r>
          </w:p>
        </w:tc>
        <w:tc>
          <w:tcPr/>
          <w:p>
            <w:pPr>
              <w:pStyle w:val="Compact"/>
            </w:pPr>
            <w:r>
              <w:t xml:space="preserve">Pruebas de caso interinstitucional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Repetición de exámenes y retrasos</w:t>
            </w:r>
          </w:p>
        </w:tc>
      </w:tr>
    </w:tbl>
    <w:bookmarkEnd w:id="11"/>
    <w:bookmarkStart w:id="12" w:name="matriz-rápida-de-brechas-priorizadas"/>
    <w:p>
      <w:pPr>
        <w:pStyle w:val="Heading2"/>
      </w:pPr>
      <w:r>
        <w:t xml:space="preserve">Matriz rápida de brechas priorizadas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Brecha crítica</w:t>
            </w:r>
          </w:p>
        </w:tc>
        <w:tc>
          <w:tcPr/>
          <w:p>
            <w:pPr>
              <w:pStyle w:val="Compact"/>
            </w:pPr>
            <w:r>
              <w:t xml:space="preserve">Impacto principal</w:t>
            </w:r>
          </w:p>
        </w:tc>
        <w:tc>
          <w:tcPr/>
          <w:p>
            <w:pPr>
              <w:pStyle w:val="Compact"/>
            </w:pPr>
            <w:r>
              <w:t xml:space="preserve">Priorización</w:t>
            </w:r>
          </w:p>
        </w:tc>
        <w:tc>
          <w:tcPr/>
          <w:p>
            <w:pPr>
              <w:pStyle w:val="Compact"/>
            </w:pPr>
            <w:r>
              <w:t xml:space="preserve">Acción mínima recomendada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conexión funcional a PIDESALUD</w:t>
            </w:r>
          </w:p>
        </w:tc>
        <w:tc>
          <w:tcPr/>
          <w:p>
            <w:pPr>
              <w:pStyle w:val="Compact"/>
            </w:pPr>
            <w:r>
              <w:t xml:space="preserve">Historia fragmentada y duplicación de exámenes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Habilitar integración y pruebas de punta a punta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Catálogos IEDS desactualizados</w:t>
            </w:r>
          </w:p>
        </w:tc>
        <w:tc>
          <w:tcPr/>
          <w:p>
            <w:pPr>
              <w:pStyle w:val="Compact"/>
            </w:pPr>
            <w:r>
              <w:t xml:space="preserve">Incompatibilidad semántica y errores de codificación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Sincronizar catálogos y bloquear códigos no vigentes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Bajo cumplimiento HL7/CIE-10/CPMS</w:t>
            </w:r>
          </w:p>
        </w:tc>
        <w:tc>
          <w:tcPr/>
          <w:p>
            <w:pPr>
              <w:pStyle w:val="Compact"/>
            </w:pPr>
            <w:r>
              <w:t xml:space="preserve">Rechazos SIS e información no comparable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Plan de adecuación técnica y capacitación por servicio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Falta de auditoría y trazabilidad</w:t>
            </w:r>
          </w:p>
        </w:tc>
        <w:tc>
          <w:tcPr/>
          <w:p>
            <w:pPr>
              <w:pStyle w:val="Compact"/>
            </w:pPr>
            <w:r>
              <w:t xml:space="preserve">Riesgo legal y baja gobernanza de datos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Implementar logs auditables y revisión periódica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Déficit de conectividad/equipamiento</w:t>
            </w:r>
          </w:p>
        </w:tc>
        <w:tc>
          <w:tcPr/>
          <w:p>
            <w:pPr>
              <w:pStyle w:val="Compact"/>
            </w:pPr>
            <w:r>
              <w:t xml:space="preserve">Captura tardía y datos incompletos en punto de atención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Priorizar inversión en sedes críticas SIS</w:t>
            </w:r>
          </w:p>
        </w:tc>
      </w:tr>
    </w:tbl>
    <w:bookmarkEnd w:id="12"/>
    <w:bookmarkStart w:id="13" w:name="indicadores-mínimos-para-seguimiento"/>
    <w:p>
      <w:pPr>
        <w:pStyle w:val="Heading2"/>
      </w:pPr>
      <w:r>
        <w:t xml:space="preserve">Indicadores mínimos para seguimiento</w:t>
      </w:r>
    </w:p>
    <w:p>
      <w:pPr>
        <w:pStyle w:val="Compact"/>
        <w:numPr>
          <w:ilvl w:val="0"/>
          <w:numId w:val="1003"/>
        </w:numPr>
      </w:pPr>
      <w:r>
        <w:t xml:space="preserve">Porcentaje de establecimientos conectados y operativos en PIDESALUD.</w:t>
      </w:r>
    </w:p>
    <w:p>
      <w:pPr>
        <w:pStyle w:val="Compact"/>
        <w:numPr>
          <w:ilvl w:val="0"/>
          <w:numId w:val="1003"/>
        </w:numPr>
      </w:pPr>
      <w:r>
        <w:t xml:space="preserve">Porcentaje de transacciones clínicas válidas por estándar HL7.</w:t>
      </w:r>
    </w:p>
    <w:p>
      <w:pPr>
        <w:pStyle w:val="Compact"/>
        <w:numPr>
          <w:ilvl w:val="0"/>
          <w:numId w:val="1003"/>
        </w:numPr>
      </w:pPr>
      <w:r>
        <w:t xml:space="preserve">Porcentaje de diagnósticos codificados correctamente en CIE-10.</w:t>
      </w:r>
    </w:p>
    <w:p>
      <w:pPr>
        <w:pStyle w:val="Compact"/>
        <w:numPr>
          <w:ilvl w:val="0"/>
          <w:numId w:val="1003"/>
        </w:numPr>
      </w:pPr>
      <w:r>
        <w:t xml:space="preserve">Porcentaje de procedimientos codificados correctamente en CPMS.</w:t>
      </w:r>
    </w:p>
    <w:p>
      <w:pPr>
        <w:pStyle w:val="Compact"/>
        <w:numPr>
          <w:ilvl w:val="0"/>
          <w:numId w:val="1003"/>
        </w:numPr>
      </w:pPr>
      <w:r>
        <w:t xml:space="preserve">Tasa de duplicidad de pacientes y de exámenes por cada 1000 atenciones.</w:t>
      </w:r>
    </w:p>
    <w:p>
      <w:pPr>
        <w:pStyle w:val="Compact"/>
        <w:numPr>
          <w:ilvl w:val="0"/>
          <w:numId w:val="1003"/>
        </w:numPr>
      </w:pPr>
      <w:r>
        <w:t xml:space="preserve">Tiempo promedio de validación administrativa SIS.</w:t>
      </w:r>
    </w:p>
    <w:p>
      <w:pPr>
        <w:pStyle w:val="Compact"/>
        <w:numPr>
          <w:ilvl w:val="0"/>
          <w:numId w:val="1003"/>
        </w:numPr>
      </w:pPr>
      <w:r>
        <w:t xml:space="preserve">Porcentaje de eventos con trazabilidad completa de acceso al dato.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2026-03-19T01:20:17Z</dcterms:created>
  <dcterms:modified xsi:type="dcterms:W3CDTF">2026-03-19T01:20:17Z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