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BFE5B" w14:textId="77777777" w:rsidR="00CA7350" w:rsidRDefault="00A134DE" w:rsidP="006F33B7">
      <w:pPr>
        <w:pStyle w:val="Portada-Centrado"/>
        <w:spacing w:before="0" w:after="0" w:line="240" w:lineRule="auto"/>
      </w:pPr>
      <w:r>
        <w:rPr>
          <w:noProof/>
        </w:rPr>
        <w:drawing>
          <wp:inline distT="0" distB="0" distL="0" distR="0" wp14:anchorId="165390C8" wp14:editId="368B2641">
            <wp:extent cx="3016250" cy="1419225"/>
            <wp:effectExtent l="0" t="0" r="0" b="9525"/>
            <wp:docPr id="25" name="Picture"/>
            <wp:cNvGraphicFramePr/>
            <a:graphic xmlns:a="http://schemas.openxmlformats.org/drawingml/2006/main">
              <a:graphicData uri="http://schemas.openxmlformats.org/drawingml/2006/picture">
                <pic:pic xmlns:pic="http://schemas.openxmlformats.org/drawingml/2006/picture">
                  <pic:nvPicPr>
                    <pic:cNvPr id="26" name="Picture" descr="media/image1.png"/>
                    <pic:cNvPicPr>
                      <a:picLocks noChangeAspect="1" noChangeArrowheads="1"/>
                    </pic:cNvPicPr>
                  </pic:nvPicPr>
                  <pic:blipFill>
                    <a:blip r:embed="rId7"/>
                    <a:stretch>
                      <a:fillRect/>
                    </a:stretch>
                  </pic:blipFill>
                  <pic:spPr bwMode="auto">
                    <a:xfrm>
                      <a:off x="0" y="0"/>
                      <a:ext cx="3017521" cy="1419823"/>
                    </a:xfrm>
                    <a:prstGeom prst="rect">
                      <a:avLst/>
                    </a:prstGeom>
                    <a:noFill/>
                    <a:ln w="9525">
                      <a:noFill/>
                      <a:headEnd/>
                      <a:tailEnd/>
                    </a:ln>
                  </pic:spPr>
                </pic:pic>
              </a:graphicData>
            </a:graphic>
          </wp:inline>
        </w:drawing>
      </w:r>
    </w:p>
    <w:p w14:paraId="6BF9AB4B" w14:textId="77777777" w:rsidR="006F33B7" w:rsidRDefault="006F33B7" w:rsidP="006F33B7">
      <w:pPr>
        <w:pStyle w:val="Portada-Centrado"/>
        <w:spacing w:before="0" w:after="0" w:line="240" w:lineRule="auto"/>
      </w:pPr>
    </w:p>
    <w:p w14:paraId="642D4BF6" w14:textId="77777777" w:rsidR="00CA7350" w:rsidRDefault="00A134DE">
      <w:pPr>
        <w:pStyle w:val="Portada-Centrado"/>
        <w:spacing w:after="280" w:line="276" w:lineRule="auto"/>
      </w:pPr>
      <w:r>
        <w:rPr>
          <w:b/>
          <w:bCs/>
          <w:sz w:val="34"/>
        </w:rPr>
        <w:t>MAESTRÍA EN INGENIERÍA DE SOFTWARE</w:t>
      </w:r>
    </w:p>
    <w:p w14:paraId="38C815FA" w14:textId="77777777" w:rsidR="00CA7350" w:rsidRDefault="00A134DE">
      <w:pPr>
        <w:pStyle w:val="Portada-Centrado"/>
        <w:spacing w:after="360" w:line="276" w:lineRule="auto"/>
      </w:pPr>
      <w:r>
        <w:rPr>
          <w:b/>
          <w:bCs/>
          <w:sz w:val="32"/>
        </w:rPr>
        <w:t>PROYECTO DE TESIS</w:t>
      </w:r>
    </w:p>
    <w:p w14:paraId="6EFFEA17" w14:textId="77777777" w:rsidR="00CA7350" w:rsidRDefault="00A134DE">
      <w:pPr>
        <w:pStyle w:val="Portada-Centrado"/>
        <w:spacing w:before="0" w:after="360" w:line="276" w:lineRule="auto"/>
      </w:pPr>
      <w:r>
        <w:t> </w:t>
      </w:r>
    </w:p>
    <w:p w14:paraId="6AC45F20" w14:textId="77777777" w:rsidR="00CA7350" w:rsidRDefault="00A134DE">
      <w:pPr>
        <w:pStyle w:val="Portada-Centrado"/>
        <w:spacing w:after="360" w:line="276" w:lineRule="auto"/>
      </w:pPr>
      <w:r>
        <w:rPr>
          <w:b/>
          <w:bCs/>
          <w:sz w:val="36"/>
        </w:rPr>
        <w:t>“MODELO DE INTEROPERABILIDAD BASADO EN HL7 FHIR PARA MEJORAR EL INTERCAMBIO DE INFORMACIÓN CLÍNICA EN CENTROS DE SALUD DEL MINSA - PERÚ”</w:t>
      </w:r>
    </w:p>
    <w:p w14:paraId="0A8248B0" w14:textId="77777777" w:rsidR="00CA7350" w:rsidRDefault="00A134DE">
      <w:pPr>
        <w:pStyle w:val="Portada-Centrado"/>
        <w:spacing w:before="0" w:after="360" w:line="276" w:lineRule="auto"/>
      </w:pPr>
      <w:r>
        <w:t> </w:t>
      </w:r>
    </w:p>
    <w:p w14:paraId="432B375E" w14:textId="77777777" w:rsidR="00CA7350" w:rsidRDefault="00A134DE">
      <w:pPr>
        <w:pStyle w:val="Portada-Centrado"/>
        <w:spacing w:after="240" w:line="276" w:lineRule="auto"/>
      </w:pPr>
      <w:r>
        <w:rPr>
          <w:sz w:val="28"/>
        </w:rPr>
        <w:t>PRESENTADO POR:</w:t>
      </w:r>
    </w:p>
    <w:p w14:paraId="6BF7EA29" w14:textId="77777777" w:rsidR="00CA7350" w:rsidRDefault="00A134DE">
      <w:pPr>
        <w:pStyle w:val="Portada-Centrado"/>
        <w:spacing w:after="140" w:line="276" w:lineRule="auto"/>
      </w:pPr>
      <w:r>
        <w:rPr>
          <w:b/>
          <w:bCs/>
          <w:sz w:val="28"/>
        </w:rPr>
        <w:t>Bach. Cangalaya Carrasco Henry Miguel</w:t>
      </w:r>
    </w:p>
    <w:p w14:paraId="20DF1F02" w14:textId="77777777" w:rsidR="00CA7350" w:rsidRPr="006F33B7" w:rsidRDefault="00A134DE">
      <w:pPr>
        <w:pStyle w:val="Portada-Centrado"/>
        <w:spacing w:after="140" w:line="276" w:lineRule="auto"/>
        <w:rPr>
          <w:lang w:val="en-US"/>
        </w:rPr>
      </w:pPr>
      <w:r w:rsidRPr="006F33B7">
        <w:rPr>
          <w:b/>
          <w:bCs/>
          <w:sz w:val="28"/>
          <w:lang w:val="en-US"/>
        </w:rPr>
        <w:t xml:space="preserve">Bach. Guzmán Vargas </w:t>
      </w:r>
      <w:proofErr w:type="spellStart"/>
      <w:r w:rsidRPr="006F33B7">
        <w:rPr>
          <w:b/>
          <w:bCs/>
          <w:sz w:val="28"/>
          <w:lang w:val="en-US"/>
        </w:rPr>
        <w:t>Jhessel</w:t>
      </w:r>
      <w:proofErr w:type="spellEnd"/>
    </w:p>
    <w:p w14:paraId="2AB549CC" w14:textId="77777777" w:rsidR="00CA7350" w:rsidRDefault="00A134DE">
      <w:pPr>
        <w:pStyle w:val="Portada-Centrado"/>
        <w:spacing w:after="140" w:line="276" w:lineRule="auto"/>
      </w:pPr>
      <w:r w:rsidRPr="006F33B7">
        <w:rPr>
          <w:b/>
          <w:bCs/>
          <w:sz w:val="28"/>
          <w:lang w:val="en-US"/>
        </w:rPr>
        <w:t xml:space="preserve">Bach. </w:t>
      </w:r>
      <w:r>
        <w:rPr>
          <w:b/>
          <w:bCs/>
          <w:sz w:val="28"/>
        </w:rPr>
        <w:t xml:space="preserve">Yanqui Rivera </w:t>
      </w:r>
      <w:proofErr w:type="spellStart"/>
      <w:r>
        <w:rPr>
          <w:b/>
          <w:bCs/>
          <w:sz w:val="28"/>
        </w:rPr>
        <w:t>Maria</w:t>
      </w:r>
      <w:proofErr w:type="spellEnd"/>
      <w:r>
        <w:rPr>
          <w:b/>
          <w:bCs/>
          <w:sz w:val="28"/>
        </w:rPr>
        <w:t xml:space="preserve"> de los </w:t>
      </w:r>
      <w:proofErr w:type="spellStart"/>
      <w:r>
        <w:rPr>
          <w:b/>
          <w:bCs/>
          <w:sz w:val="28"/>
        </w:rPr>
        <w:t>Angeles</w:t>
      </w:r>
      <w:proofErr w:type="spellEnd"/>
    </w:p>
    <w:p w14:paraId="07DCE82F" w14:textId="77777777" w:rsidR="00CA7350" w:rsidRDefault="00A134DE">
      <w:pPr>
        <w:pStyle w:val="Portada-Centrado"/>
        <w:spacing w:before="0" w:after="360" w:line="276" w:lineRule="auto"/>
      </w:pPr>
      <w:r>
        <w:t> </w:t>
      </w:r>
    </w:p>
    <w:p w14:paraId="40C41B15" w14:textId="77777777" w:rsidR="00CA7350" w:rsidRDefault="00A134DE">
      <w:pPr>
        <w:pStyle w:val="Portada-Centrado"/>
        <w:spacing w:before="200" w:after="240" w:line="276" w:lineRule="auto"/>
      </w:pPr>
      <w:r>
        <w:rPr>
          <w:sz w:val="28"/>
        </w:rPr>
        <w:t>PARA OPTAR EL GRADO ACADÉMICO DE:</w:t>
      </w:r>
    </w:p>
    <w:p w14:paraId="3E4FBD76" w14:textId="77777777" w:rsidR="00CA7350" w:rsidRDefault="00A134DE">
      <w:pPr>
        <w:pStyle w:val="Portada-Centrado"/>
        <w:spacing w:after="200" w:line="276" w:lineRule="auto"/>
      </w:pPr>
      <w:r>
        <w:rPr>
          <w:b/>
          <w:bCs/>
          <w:sz w:val="32"/>
        </w:rPr>
        <w:t>MAESTRO(A) EN INGENIERÍA DE SOFTWARE</w:t>
      </w:r>
    </w:p>
    <w:p w14:paraId="142420A0" w14:textId="77777777" w:rsidR="00CA7350" w:rsidRDefault="00A134DE">
      <w:pPr>
        <w:pStyle w:val="Portada-Centrado"/>
        <w:spacing w:before="0" w:after="360" w:line="276" w:lineRule="auto"/>
      </w:pPr>
      <w:r>
        <w:t> </w:t>
      </w:r>
    </w:p>
    <w:p w14:paraId="49045BE9" w14:textId="77777777" w:rsidR="00CA7350" w:rsidRDefault="00A134DE">
      <w:pPr>
        <w:pStyle w:val="Portada-Centrado"/>
        <w:spacing w:line="276" w:lineRule="auto"/>
      </w:pPr>
      <w:r>
        <w:rPr>
          <w:b/>
          <w:bCs/>
          <w:sz w:val="26"/>
        </w:rPr>
        <w:t>LIMA</w:t>
      </w:r>
    </w:p>
    <w:p w14:paraId="4746E5EA" w14:textId="77777777" w:rsidR="00CA7350" w:rsidRDefault="00A134DE">
      <w:pPr>
        <w:pStyle w:val="Portada-Centrado"/>
        <w:spacing w:line="276" w:lineRule="auto"/>
      </w:pPr>
      <w:r>
        <w:rPr>
          <w:b/>
          <w:bCs/>
          <w:sz w:val="26"/>
        </w:rPr>
        <w:t>2026</w:t>
      </w:r>
    </w:p>
    <w:p w14:paraId="5A514EE7" w14:textId="77777777" w:rsidR="00751FD9" w:rsidRDefault="006124A7">
      <w:pPr>
        <w:pStyle w:val="Ttulo1"/>
        <w:pageBreakBefore/>
      </w:pPr>
      <w:bookmarkStart w:id="0" w:name="índice"/>
      <w:bookmarkStart w:id="1" w:name="_Toc225537533"/>
      <w:r>
        <w:lastRenderedPageBreak/>
        <w:t>Índice</w:t>
      </w:r>
      <w:bookmarkEnd w:id="1"/>
    </w:p>
    <w:p w14:paraId="27B6E1FE" w14:textId="19793BCD" w:rsidR="00B36744" w:rsidRDefault="006124A7">
      <w:pPr>
        <w:pStyle w:val="TDC1"/>
        <w:tabs>
          <w:tab w:val="right" w:leader="dot" w:pos="8755"/>
        </w:tabs>
        <w:rPr>
          <w:rFonts w:eastAsiaTheme="minorEastAsia" w:cstheme="minorBidi"/>
          <w:b w:val="0"/>
          <w:bCs w:val="0"/>
          <w:caps w:val="0"/>
          <w:noProof/>
          <w:kern w:val="2"/>
          <w:sz w:val="24"/>
          <w:szCs w:val="24"/>
          <w:lang w:val="es-ES" w:eastAsia="es-ES"/>
          <w14:ligatures w14:val="standardContextual"/>
        </w:rPr>
      </w:pPr>
      <w:r>
        <w:fldChar w:fldCharType="begin"/>
      </w:r>
      <w:r>
        <w:instrText>TOC \o "1-3" \h \z \u</w:instrText>
      </w:r>
      <w:r>
        <w:fldChar w:fldCharType="separate"/>
      </w:r>
      <w:hyperlink w:anchor="_Toc225537533" w:history="1">
        <w:r w:rsidR="00B36744" w:rsidRPr="00BE52A3">
          <w:rPr>
            <w:rStyle w:val="Hipervnculo"/>
            <w:noProof/>
          </w:rPr>
          <w:t>Índice</w:t>
        </w:r>
        <w:r w:rsidR="00B36744">
          <w:rPr>
            <w:noProof/>
            <w:webHidden/>
          </w:rPr>
          <w:tab/>
        </w:r>
        <w:r w:rsidR="00B36744">
          <w:rPr>
            <w:noProof/>
            <w:webHidden/>
          </w:rPr>
          <w:fldChar w:fldCharType="begin"/>
        </w:r>
        <w:r w:rsidR="00B36744">
          <w:rPr>
            <w:noProof/>
            <w:webHidden/>
          </w:rPr>
          <w:instrText xml:space="preserve"> PAGEREF _Toc225537533 \h </w:instrText>
        </w:r>
        <w:r w:rsidR="00B36744">
          <w:rPr>
            <w:noProof/>
            <w:webHidden/>
          </w:rPr>
        </w:r>
        <w:r w:rsidR="00B36744">
          <w:rPr>
            <w:noProof/>
            <w:webHidden/>
          </w:rPr>
          <w:fldChar w:fldCharType="separate"/>
        </w:r>
        <w:r w:rsidR="001D61C6">
          <w:rPr>
            <w:noProof/>
            <w:webHidden/>
          </w:rPr>
          <w:t>2</w:t>
        </w:r>
        <w:r w:rsidR="00B36744">
          <w:rPr>
            <w:noProof/>
            <w:webHidden/>
          </w:rPr>
          <w:fldChar w:fldCharType="end"/>
        </w:r>
      </w:hyperlink>
    </w:p>
    <w:p w14:paraId="2E088FF6" w14:textId="090CF0F5" w:rsidR="00B36744" w:rsidRDefault="00B36744">
      <w:pPr>
        <w:pStyle w:val="TDC1"/>
        <w:tabs>
          <w:tab w:val="right" w:leader="dot" w:pos="8755"/>
        </w:tabs>
        <w:rPr>
          <w:rFonts w:eastAsiaTheme="minorEastAsia" w:cstheme="minorBidi"/>
          <w:b w:val="0"/>
          <w:bCs w:val="0"/>
          <w:caps w:val="0"/>
          <w:noProof/>
          <w:kern w:val="2"/>
          <w:sz w:val="24"/>
          <w:szCs w:val="24"/>
          <w:lang w:val="es-ES" w:eastAsia="es-ES"/>
          <w14:ligatures w14:val="standardContextual"/>
        </w:rPr>
      </w:pPr>
      <w:hyperlink w:anchor="_Toc225537534" w:history="1">
        <w:r w:rsidRPr="00BE52A3">
          <w:rPr>
            <w:rStyle w:val="Hipervnculo"/>
            <w:noProof/>
          </w:rPr>
          <w:t>Capítulo I.- Planteamiento del estudio</w:t>
        </w:r>
        <w:r>
          <w:rPr>
            <w:noProof/>
            <w:webHidden/>
          </w:rPr>
          <w:tab/>
        </w:r>
        <w:r>
          <w:rPr>
            <w:noProof/>
            <w:webHidden/>
          </w:rPr>
          <w:fldChar w:fldCharType="begin"/>
        </w:r>
        <w:r>
          <w:rPr>
            <w:noProof/>
            <w:webHidden/>
          </w:rPr>
          <w:instrText xml:space="preserve"> PAGEREF _Toc225537534 \h </w:instrText>
        </w:r>
        <w:r>
          <w:rPr>
            <w:noProof/>
            <w:webHidden/>
          </w:rPr>
        </w:r>
        <w:r>
          <w:rPr>
            <w:noProof/>
            <w:webHidden/>
          </w:rPr>
          <w:fldChar w:fldCharType="separate"/>
        </w:r>
        <w:r w:rsidR="001D61C6">
          <w:rPr>
            <w:noProof/>
            <w:webHidden/>
          </w:rPr>
          <w:t>3</w:t>
        </w:r>
        <w:r>
          <w:rPr>
            <w:noProof/>
            <w:webHidden/>
          </w:rPr>
          <w:fldChar w:fldCharType="end"/>
        </w:r>
      </w:hyperlink>
    </w:p>
    <w:p w14:paraId="19879D2C" w14:textId="00C4E263" w:rsidR="00B36744" w:rsidRDefault="00B36744">
      <w:pPr>
        <w:pStyle w:val="TDC2"/>
        <w:tabs>
          <w:tab w:val="right" w:leader="dot" w:pos="8755"/>
        </w:tabs>
        <w:rPr>
          <w:rFonts w:eastAsiaTheme="minorEastAsia" w:cstheme="minorBidi"/>
          <w:smallCaps w:val="0"/>
          <w:noProof/>
          <w:kern w:val="2"/>
          <w:sz w:val="24"/>
          <w:szCs w:val="24"/>
          <w:lang w:val="es-ES" w:eastAsia="es-ES"/>
          <w14:ligatures w14:val="standardContextual"/>
        </w:rPr>
      </w:pPr>
      <w:hyperlink w:anchor="_Toc225537535" w:history="1">
        <w:r w:rsidRPr="00BE52A3">
          <w:rPr>
            <w:rStyle w:val="Hipervnculo"/>
            <w:noProof/>
          </w:rPr>
          <w:t>1.1.Planteamiento y formulación del problema</w:t>
        </w:r>
        <w:r>
          <w:rPr>
            <w:noProof/>
            <w:webHidden/>
          </w:rPr>
          <w:tab/>
        </w:r>
        <w:r>
          <w:rPr>
            <w:noProof/>
            <w:webHidden/>
          </w:rPr>
          <w:fldChar w:fldCharType="begin"/>
        </w:r>
        <w:r>
          <w:rPr>
            <w:noProof/>
            <w:webHidden/>
          </w:rPr>
          <w:instrText xml:space="preserve"> PAGEREF _Toc225537535 \h </w:instrText>
        </w:r>
        <w:r>
          <w:rPr>
            <w:noProof/>
            <w:webHidden/>
          </w:rPr>
        </w:r>
        <w:r>
          <w:rPr>
            <w:noProof/>
            <w:webHidden/>
          </w:rPr>
          <w:fldChar w:fldCharType="separate"/>
        </w:r>
        <w:r w:rsidR="001D61C6">
          <w:rPr>
            <w:noProof/>
            <w:webHidden/>
          </w:rPr>
          <w:t>3</w:t>
        </w:r>
        <w:r>
          <w:rPr>
            <w:noProof/>
            <w:webHidden/>
          </w:rPr>
          <w:fldChar w:fldCharType="end"/>
        </w:r>
      </w:hyperlink>
    </w:p>
    <w:p w14:paraId="02A55B6F" w14:textId="1C2DA0E5" w:rsidR="00B36744" w:rsidRDefault="00B36744">
      <w:pPr>
        <w:pStyle w:val="TDC3"/>
        <w:tabs>
          <w:tab w:val="right" w:leader="dot" w:pos="8755"/>
        </w:tabs>
        <w:rPr>
          <w:rFonts w:eastAsiaTheme="minorEastAsia" w:cstheme="minorBidi"/>
          <w:i w:val="0"/>
          <w:iCs w:val="0"/>
          <w:noProof/>
          <w:kern w:val="2"/>
          <w:sz w:val="24"/>
          <w:szCs w:val="24"/>
          <w:lang w:val="es-ES" w:eastAsia="es-ES"/>
          <w14:ligatures w14:val="standardContextual"/>
        </w:rPr>
      </w:pPr>
      <w:hyperlink w:anchor="_Toc225537536" w:history="1">
        <w:r w:rsidRPr="00BE52A3">
          <w:rPr>
            <w:rStyle w:val="Hipervnculo"/>
            <w:noProof/>
          </w:rPr>
          <w:t>1.1.</w:t>
        </w:r>
        <w:r w:rsidRPr="00BE52A3">
          <w:rPr>
            <w:rStyle w:val="Hipervnculo"/>
            <w:noProof/>
          </w:rPr>
          <w:t>1</w:t>
        </w:r>
        <w:r w:rsidRPr="00BE52A3">
          <w:rPr>
            <w:rStyle w:val="Hipervnculo"/>
            <w:noProof/>
          </w:rPr>
          <w:t>.- Planteamiento del problema</w:t>
        </w:r>
        <w:r>
          <w:rPr>
            <w:noProof/>
            <w:webHidden/>
          </w:rPr>
          <w:tab/>
        </w:r>
        <w:r>
          <w:rPr>
            <w:noProof/>
            <w:webHidden/>
          </w:rPr>
          <w:fldChar w:fldCharType="begin"/>
        </w:r>
        <w:r>
          <w:rPr>
            <w:noProof/>
            <w:webHidden/>
          </w:rPr>
          <w:instrText xml:space="preserve"> PAGEREF _Toc225537536 \h </w:instrText>
        </w:r>
        <w:r>
          <w:rPr>
            <w:noProof/>
            <w:webHidden/>
          </w:rPr>
        </w:r>
        <w:r>
          <w:rPr>
            <w:noProof/>
            <w:webHidden/>
          </w:rPr>
          <w:fldChar w:fldCharType="separate"/>
        </w:r>
        <w:r w:rsidR="001D61C6">
          <w:rPr>
            <w:noProof/>
            <w:webHidden/>
          </w:rPr>
          <w:t>3</w:t>
        </w:r>
        <w:r>
          <w:rPr>
            <w:noProof/>
            <w:webHidden/>
          </w:rPr>
          <w:fldChar w:fldCharType="end"/>
        </w:r>
      </w:hyperlink>
    </w:p>
    <w:p w14:paraId="1CB15884" w14:textId="1D823C20" w:rsidR="00B36744" w:rsidRDefault="00B36744">
      <w:pPr>
        <w:pStyle w:val="TDC3"/>
        <w:tabs>
          <w:tab w:val="right" w:leader="dot" w:pos="8755"/>
        </w:tabs>
        <w:rPr>
          <w:rFonts w:eastAsiaTheme="minorEastAsia" w:cstheme="minorBidi"/>
          <w:i w:val="0"/>
          <w:iCs w:val="0"/>
          <w:noProof/>
          <w:kern w:val="2"/>
          <w:sz w:val="24"/>
          <w:szCs w:val="24"/>
          <w:lang w:val="es-ES" w:eastAsia="es-ES"/>
          <w14:ligatures w14:val="standardContextual"/>
        </w:rPr>
      </w:pPr>
      <w:hyperlink w:anchor="_Toc225537537" w:history="1">
        <w:r w:rsidRPr="00BE52A3">
          <w:rPr>
            <w:rStyle w:val="Hipervnculo"/>
            <w:noProof/>
          </w:rPr>
          <w:t>1.1.2.- Formulación del problema</w:t>
        </w:r>
        <w:r>
          <w:rPr>
            <w:noProof/>
            <w:webHidden/>
          </w:rPr>
          <w:tab/>
        </w:r>
        <w:r>
          <w:rPr>
            <w:noProof/>
            <w:webHidden/>
          </w:rPr>
          <w:fldChar w:fldCharType="begin"/>
        </w:r>
        <w:r>
          <w:rPr>
            <w:noProof/>
            <w:webHidden/>
          </w:rPr>
          <w:instrText xml:space="preserve"> PAGEREF _Toc225537537 \h </w:instrText>
        </w:r>
        <w:r>
          <w:rPr>
            <w:noProof/>
            <w:webHidden/>
          </w:rPr>
        </w:r>
        <w:r>
          <w:rPr>
            <w:noProof/>
            <w:webHidden/>
          </w:rPr>
          <w:fldChar w:fldCharType="separate"/>
        </w:r>
        <w:r w:rsidR="001D61C6">
          <w:rPr>
            <w:noProof/>
            <w:webHidden/>
          </w:rPr>
          <w:t>5</w:t>
        </w:r>
        <w:r>
          <w:rPr>
            <w:noProof/>
            <w:webHidden/>
          </w:rPr>
          <w:fldChar w:fldCharType="end"/>
        </w:r>
      </w:hyperlink>
    </w:p>
    <w:p w14:paraId="5A9D735B" w14:textId="284948D1" w:rsidR="00B36744" w:rsidRDefault="00B36744">
      <w:pPr>
        <w:pStyle w:val="TDC2"/>
        <w:tabs>
          <w:tab w:val="right" w:leader="dot" w:pos="8755"/>
        </w:tabs>
        <w:rPr>
          <w:rFonts w:eastAsiaTheme="minorEastAsia" w:cstheme="minorBidi"/>
          <w:smallCaps w:val="0"/>
          <w:noProof/>
          <w:kern w:val="2"/>
          <w:sz w:val="24"/>
          <w:szCs w:val="24"/>
          <w:lang w:val="es-ES" w:eastAsia="es-ES"/>
          <w14:ligatures w14:val="standardContextual"/>
        </w:rPr>
      </w:pPr>
      <w:hyperlink w:anchor="_Toc225537538" w:history="1">
        <w:r w:rsidRPr="00BE52A3">
          <w:rPr>
            <w:rStyle w:val="Hipervnculo"/>
            <w:noProof/>
          </w:rPr>
          <w:t>1.2.Determinación de objetivos</w:t>
        </w:r>
        <w:r>
          <w:rPr>
            <w:noProof/>
            <w:webHidden/>
          </w:rPr>
          <w:tab/>
        </w:r>
        <w:r>
          <w:rPr>
            <w:noProof/>
            <w:webHidden/>
          </w:rPr>
          <w:fldChar w:fldCharType="begin"/>
        </w:r>
        <w:r>
          <w:rPr>
            <w:noProof/>
            <w:webHidden/>
          </w:rPr>
          <w:instrText xml:space="preserve"> PAGEREF _Toc225537538 \h </w:instrText>
        </w:r>
        <w:r>
          <w:rPr>
            <w:noProof/>
            <w:webHidden/>
          </w:rPr>
        </w:r>
        <w:r>
          <w:rPr>
            <w:noProof/>
            <w:webHidden/>
          </w:rPr>
          <w:fldChar w:fldCharType="separate"/>
        </w:r>
        <w:r w:rsidR="001D61C6">
          <w:rPr>
            <w:noProof/>
            <w:webHidden/>
          </w:rPr>
          <w:t>6</w:t>
        </w:r>
        <w:r>
          <w:rPr>
            <w:noProof/>
            <w:webHidden/>
          </w:rPr>
          <w:fldChar w:fldCharType="end"/>
        </w:r>
      </w:hyperlink>
    </w:p>
    <w:p w14:paraId="655F4BC3" w14:textId="1E7B4A10" w:rsidR="00B36744" w:rsidRDefault="00B36744">
      <w:pPr>
        <w:pStyle w:val="TDC3"/>
        <w:tabs>
          <w:tab w:val="right" w:leader="dot" w:pos="8755"/>
        </w:tabs>
        <w:rPr>
          <w:rFonts w:eastAsiaTheme="minorEastAsia" w:cstheme="minorBidi"/>
          <w:i w:val="0"/>
          <w:iCs w:val="0"/>
          <w:noProof/>
          <w:kern w:val="2"/>
          <w:sz w:val="24"/>
          <w:szCs w:val="24"/>
          <w:lang w:val="es-ES" w:eastAsia="es-ES"/>
          <w14:ligatures w14:val="standardContextual"/>
        </w:rPr>
      </w:pPr>
      <w:hyperlink w:anchor="_Toc225537539" w:history="1">
        <w:r w:rsidRPr="00BE52A3">
          <w:rPr>
            <w:rStyle w:val="Hipervnculo"/>
            <w:noProof/>
          </w:rPr>
          <w:t>1.2.1.- Objetivo general</w:t>
        </w:r>
        <w:r>
          <w:rPr>
            <w:noProof/>
            <w:webHidden/>
          </w:rPr>
          <w:tab/>
        </w:r>
        <w:r>
          <w:rPr>
            <w:noProof/>
            <w:webHidden/>
          </w:rPr>
          <w:fldChar w:fldCharType="begin"/>
        </w:r>
        <w:r>
          <w:rPr>
            <w:noProof/>
            <w:webHidden/>
          </w:rPr>
          <w:instrText xml:space="preserve"> PAGEREF _Toc225537539 \h </w:instrText>
        </w:r>
        <w:r>
          <w:rPr>
            <w:noProof/>
            <w:webHidden/>
          </w:rPr>
        </w:r>
        <w:r>
          <w:rPr>
            <w:noProof/>
            <w:webHidden/>
          </w:rPr>
          <w:fldChar w:fldCharType="separate"/>
        </w:r>
        <w:r w:rsidR="001D61C6">
          <w:rPr>
            <w:noProof/>
            <w:webHidden/>
          </w:rPr>
          <w:t>6</w:t>
        </w:r>
        <w:r>
          <w:rPr>
            <w:noProof/>
            <w:webHidden/>
          </w:rPr>
          <w:fldChar w:fldCharType="end"/>
        </w:r>
      </w:hyperlink>
    </w:p>
    <w:p w14:paraId="13EA72A6" w14:textId="7AD5189F" w:rsidR="00B36744" w:rsidRDefault="00B36744">
      <w:pPr>
        <w:pStyle w:val="TDC3"/>
        <w:tabs>
          <w:tab w:val="right" w:leader="dot" w:pos="8755"/>
        </w:tabs>
        <w:rPr>
          <w:rFonts w:eastAsiaTheme="minorEastAsia" w:cstheme="minorBidi"/>
          <w:i w:val="0"/>
          <w:iCs w:val="0"/>
          <w:noProof/>
          <w:kern w:val="2"/>
          <w:sz w:val="24"/>
          <w:szCs w:val="24"/>
          <w:lang w:val="es-ES" w:eastAsia="es-ES"/>
          <w14:ligatures w14:val="standardContextual"/>
        </w:rPr>
      </w:pPr>
      <w:hyperlink w:anchor="_Toc225537540" w:history="1">
        <w:r w:rsidRPr="00BE52A3">
          <w:rPr>
            <w:rStyle w:val="Hipervnculo"/>
            <w:noProof/>
          </w:rPr>
          <w:t>1.2.2.- Objetivos específicos</w:t>
        </w:r>
        <w:r>
          <w:rPr>
            <w:noProof/>
            <w:webHidden/>
          </w:rPr>
          <w:tab/>
        </w:r>
        <w:r>
          <w:rPr>
            <w:noProof/>
            <w:webHidden/>
          </w:rPr>
          <w:fldChar w:fldCharType="begin"/>
        </w:r>
        <w:r>
          <w:rPr>
            <w:noProof/>
            <w:webHidden/>
          </w:rPr>
          <w:instrText xml:space="preserve"> PAGEREF _Toc225537540 \h </w:instrText>
        </w:r>
        <w:r>
          <w:rPr>
            <w:noProof/>
            <w:webHidden/>
          </w:rPr>
        </w:r>
        <w:r>
          <w:rPr>
            <w:noProof/>
            <w:webHidden/>
          </w:rPr>
          <w:fldChar w:fldCharType="separate"/>
        </w:r>
        <w:r w:rsidR="001D61C6">
          <w:rPr>
            <w:noProof/>
            <w:webHidden/>
          </w:rPr>
          <w:t>6</w:t>
        </w:r>
        <w:r>
          <w:rPr>
            <w:noProof/>
            <w:webHidden/>
          </w:rPr>
          <w:fldChar w:fldCharType="end"/>
        </w:r>
      </w:hyperlink>
    </w:p>
    <w:p w14:paraId="243D18FB" w14:textId="5C1E74EC" w:rsidR="00B36744" w:rsidRDefault="00B36744">
      <w:pPr>
        <w:pStyle w:val="TDC2"/>
        <w:tabs>
          <w:tab w:val="right" w:leader="dot" w:pos="8755"/>
        </w:tabs>
        <w:rPr>
          <w:rFonts w:eastAsiaTheme="minorEastAsia" w:cstheme="minorBidi"/>
          <w:smallCaps w:val="0"/>
          <w:noProof/>
          <w:kern w:val="2"/>
          <w:sz w:val="24"/>
          <w:szCs w:val="24"/>
          <w:lang w:val="es-ES" w:eastAsia="es-ES"/>
          <w14:ligatures w14:val="standardContextual"/>
        </w:rPr>
      </w:pPr>
      <w:hyperlink w:anchor="_Toc225537541" w:history="1">
        <w:r w:rsidRPr="00BE52A3">
          <w:rPr>
            <w:rStyle w:val="Hipervnculo"/>
            <w:noProof/>
          </w:rPr>
          <w:t>1.3.Justificación e importancia del estudio</w:t>
        </w:r>
        <w:r>
          <w:rPr>
            <w:noProof/>
            <w:webHidden/>
          </w:rPr>
          <w:tab/>
        </w:r>
        <w:r>
          <w:rPr>
            <w:noProof/>
            <w:webHidden/>
          </w:rPr>
          <w:fldChar w:fldCharType="begin"/>
        </w:r>
        <w:r>
          <w:rPr>
            <w:noProof/>
            <w:webHidden/>
          </w:rPr>
          <w:instrText xml:space="preserve"> PAGEREF _Toc225537541 \h </w:instrText>
        </w:r>
        <w:r>
          <w:rPr>
            <w:noProof/>
            <w:webHidden/>
          </w:rPr>
        </w:r>
        <w:r>
          <w:rPr>
            <w:noProof/>
            <w:webHidden/>
          </w:rPr>
          <w:fldChar w:fldCharType="separate"/>
        </w:r>
        <w:r w:rsidR="001D61C6">
          <w:rPr>
            <w:noProof/>
            <w:webHidden/>
          </w:rPr>
          <w:t>7</w:t>
        </w:r>
        <w:r>
          <w:rPr>
            <w:noProof/>
            <w:webHidden/>
          </w:rPr>
          <w:fldChar w:fldCharType="end"/>
        </w:r>
      </w:hyperlink>
    </w:p>
    <w:p w14:paraId="56F42462" w14:textId="17786C36" w:rsidR="00B36744" w:rsidRDefault="00B36744">
      <w:pPr>
        <w:pStyle w:val="TDC3"/>
        <w:tabs>
          <w:tab w:val="right" w:leader="dot" w:pos="8755"/>
        </w:tabs>
        <w:rPr>
          <w:rFonts w:eastAsiaTheme="minorEastAsia" w:cstheme="minorBidi"/>
          <w:i w:val="0"/>
          <w:iCs w:val="0"/>
          <w:noProof/>
          <w:kern w:val="2"/>
          <w:sz w:val="24"/>
          <w:szCs w:val="24"/>
          <w:lang w:val="es-ES" w:eastAsia="es-ES"/>
          <w14:ligatures w14:val="standardContextual"/>
        </w:rPr>
      </w:pPr>
      <w:hyperlink w:anchor="_Toc225537542" w:history="1">
        <w:r w:rsidRPr="00BE52A3">
          <w:rPr>
            <w:rStyle w:val="Hipervnculo"/>
            <w:noProof/>
          </w:rPr>
          <w:t>1.3.1.- Justificación teórica</w:t>
        </w:r>
        <w:r>
          <w:rPr>
            <w:noProof/>
            <w:webHidden/>
          </w:rPr>
          <w:tab/>
        </w:r>
        <w:r>
          <w:rPr>
            <w:noProof/>
            <w:webHidden/>
          </w:rPr>
          <w:fldChar w:fldCharType="begin"/>
        </w:r>
        <w:r>
          <w:rPr>
            <w:noProof/>
            <w:webHidden/>
          </w:rPr>
          <w:instrText xml:space="preserve"> PAGEREF _Toc225537542 \h </w:instrText>
        </w:r>
        <w:r>
          <w:rPr>
            <w:noProof/>
            <w:webHidden/>
          </w:rPr>
        </w:r>
        <w:r>
          <w:rPr>
            <w:noProof/>
            <w:webHidden/>
          </w:rPr>
          <w:fldChar w:fldCharType="separate"/>
        </w:r>
        <w:r w:rsidR="001D61C6">
          <w:rPr>
            <w:noProof/>
            <w:webHidden/>
          </w:rPr>
          <w:t>7</w:t>
        </w:r>
        <w:r>
          <w:rPr>
            <w:noProof/>
            <w:webHidden/>
          </w:rPr>
          <w:fldChar w:fldCharType="end"/>
        </w:r>
      </w:hyperlink>
    </w:p>
    <w:p w14:paraId="6F249D37" w14:textId="01DC0B5E" w:rsidR="00B36744" w:rsidRDefault="00B36744">
      <w:pPr>
        <w:pStyle w:val="TDC3"/>
        <w:tabs>
          <w:tab w:val="right" w:leader="dot" w:pos="8755"/>
        </w:tabs>
        <w:rPr>
          <w:rFonts w:eastAsiaTheme="minorEastAsia" w:cstheme="minorBidi"/>
          <w:i w:val="0"/>
          <w:iCs w:val="0"/>
          <w:noProof/>
          <w:kern w:val="2"/>
          <w:sz w:val="24"/>
          <w:szCs w:val="24"/>
          <w:lang w:val="es-ES" w:eastAsia="es-ES"/>
          <w14:ligatures w14:val="standardContextual"/>
        </w:rPr>
      </w:pPr>
      <w:hyperlink w:anchor="_Toc225537543" w:history="1">
        <w:r w:rsidRPr="00BE52A3">
          <w:rPr>
            <w:rStyle w:val="Hipervnculo"/>
            <w:noProof/>
          </w:rPr>
          <w:t>1.3.2.- Justificación metodológica</w:t>
        </w:r>
        <w:r>
          <w:rPr>
            <w:noProof/>
            <w:webHidden/>
          </w:rPr>
          <w:tab/>
        </w:r>
        <w:r>
          <w:rPr>
            <w:noProof/>
            <w:webHidden/>
          </w:rPr>
          <w:fldChar w:fldCharType="begin"/>
        </w:r>
        <w:r>
          <w:rPr>
            <w:noProof/>
            <w:webHidden/>
          </w:rPr>
          <w:instrText xml:space="preserve"> PAGEREF _Toc225537543 \h </w:instrText>
        </w:r>
        <w:r>
          <w:rPr>
            <w:noProof/>
            <w:webHidden/>
          </w:rPr>
        </w:r>
        <w:r>
          <w:rPr>
            <w:noProof/>
            <w:webHidden/>
          </w:rPr>
          <w:fldChar w:fldCharType="separate"/>
        </w:r>
        <w:r w:rsidR="001D61C6">
          <w:rPr>
            <w:noProof/>
            <w:webHidden/>
          </w:rPr>
          <w:t>8</w:t>
        </w:r>
        <w:r>
          <w:rPr>
            <w:noProof/>
            <w:webHidden/>
          </w:rPr>
          <w:fldChar w:fldCharType="end"/>
        </w:r>
      </w:hyperlink>
    </w:p>
    <w:p w14:paraId="6AB02A1C" w14:textId="71ACCE04" w:rsidR="00B36744" w:rsidRDefault="00B36744">
      <w:pPr>
        <w:pStyle w:val="TDC3"/>
        <w:tabs>
          <w:tab w:val="right" w:leader="dot" w:pos="8755"/>
        </w:tabs>
        <w:rPr>
          <w:rFonts w:eastAsiaTheme="minorEastAsia" w:cstheme="minorBidi"/>
          <w:i w:val="0"/>
          <w:iCs w:val="0"/>
          <w:noProof/>
          <w:kern w:val="2"/>
          <w:sz w:val="24"/>
          <w:szCs w:val="24"/>
          <w:lang w:val="es-ES" w:eastAsia="es-ES"/>
          <w14:ligatures w14:val="standardContextual"/>
        </w:rPr>
      </w:pPr>
      <w:hyperlink w:anchor="_Toc225537544" w:history="1">
        <w:r w:rsidRPr="00BE52A3">
          <w:rPr>
            <w:rStyle w:val="Hipervnculo"/>
            <w:noProof/>
          </w:rPr>
          <w:t>1.3.3.- Justificación social</w:t>
        </w:r>
        <w:r>
          <w:rPr>
            <w:noProof/>
            <w:webHidden/>
          </w:rPr>
          <w:tab/>
        </w:r>
        <w:r>
          <w:rPr>
            <w:noProof/>
            <w:webHidden/>
          </w:rPr>
          <w:fldChar w:fldCharType="begin"/>
        </w:r>
        <w:r>
          <w:rPr>
            <w:noProof/>
            <w:webHidden/>
          </w:rPr>
          <w:instrText xml:space="preserve"> PAGEREF _Toc225537544 \h </w:instrText>
        </w:r>
        <w:r>
          <w:rPr>
            <w:noProof/>
            <w:webHidden/>
          </w:rPr>
        </w:r>
        <w:r>
          <w:rPr>
            <w:noProof/>
            <w:webHidden/>
          </w:rPr>
          <w:fldChar w:fldCharType="separate"/>
        </w:r>
        <w:r w:rsidR="001D61C6">
          <w:rPr>
            <w:noProof/>
            <w:webHidden/>
          </w:rPr>
          <w:t>9</w:t>
        </w:r>
        <w:r>
          <w:rPr>
            <w:noProof/>
            <w:webHidden/>
          </w:rPr>
          <w:fldChar w:fldCharType="end"/>
        </w:r>
      </w:hyperlink>
    </w:p>
    <w:p w14:paraId="034C5A01" w14:textId="0D686A7E" w:rsidR="00B36744" w:rsidRDefault="00B36744">
      <w:pPr>
        <w:pStyle w:val="TDC2"/>
        <w:tabs>
          <w:tab w:val="right" w:leader="dot" w:pos="8755"/>
        </w:tabs>
        <w:rPr>
          <w:rFonts w:eastAsiaTheme="minorEastAsia" w:cstheme="minorBidi"/>
          <w:smallCaps w:val="0"/>
          <w:noProof/>
          <w:kern w:val="2"/>
          <w:sz w:val="24"/>
          <w:szCs w:val="24"/>
          <w:lang w:val="es-ES" w:eastAsia="es-ES"/>
          <w14:ligatures w14:val="standardContextual"/>
        </w:rPr>
      </w:pPr>
      <w:hyperlink w:anchor="_Toc225537545" w:history="1">
        <w:r w:rsidRPr="00BE52A3">
          <w:rPr>
            <w:rStyle w:val="Hipervnculo"/>
            <w:noProof/>
          </w:rPr>
          <w:t>1.4.Limitaciones de la presente investigación</w:t>
        </w:r>
        <w:r>
          <w:rPr>
            <w:noProof/>
            <w:webHidden/>
          </w:rPr>
          <w:tab/>
        </w:r>
        <w:r>
          <w:rPr>
            <w:noProof/>
            <w:webHidden/>
          </w:rPr>
          <w:fldChar w:fldCharType="begin"/>
        </w:r>
        <w:r>
          <w:rPr>
            <w:noProof/>
            <w:webHidden/>
          </w:rPr>
          <w:instrText xml:space="preserve"> PAGEREF _Toc225537545 \h </w:instrText>
        </w:r>
        <w:r>
          <w:rPr>
            <w:noProof/>
            <w:webHidden/>
          </w:rPr>
        </w:r>
        <w:r>
          <w:rPr>
            <w:noProof/>
            <w:webHidden/>
          </w:rPr>
          <w:fldChar w:fldCharType="separate"/>
        </w:r>
        <w:r w:rsidR="001D61C6">
          <w:rPr>
            <w:noProof/>
            <w:webHidden/>
          </w:rPr>
          <w:t>10</w:t>
        </w:r>
        <w:r>
          <w:rPr>
            <w:noProof/>
            <w:webHidden/>
          </w:rPr>
          <w:fldChar w:fldCharType="end"/>
        </w:r>
      </w:hyperlink>
    </w:p>
    <w:p w14:paraId="23258612" w14:textId="79CA11B4" w:rsidR="00B36744" w:rsidRDefault="00B36744">
      <w:pPr>
        <w:pStyle w:val="TDC3"/>
        <w:tabs>
          <w:tab w:val="right" w:leader="dot" w:pos="8755"/>
        </w:tabs>
        <w:rPr>
          <w:rFonts w:eastAsiaTheme="minorEastAsia" w:cstheme="minorBidi"/>
          <w:i w:val="0"/>
          <w:iCs w:val="0"/>
          <w:noProof/>
          <w:kern w:val="2"/>
          <w:sz w:val="24"/>
          <w:szCs w:val="24"/>
          <w:lang w:val="es-ES" w:eastAsia="es-ES"/>
          <w14:ligatures w14:val="standardContextual"/>
        </w:rPr>
      </w:pPr>
      <w:hyperlink w:anchor="_Toc225537546" w:history="1">
        <w:r w:rsidRPr="00BE52A3">
          <w:rPr>
            <w:rStyle w:val="Hipervnculo"/>
            <w:noProof/>
          </w:rPr>
          <w:t>1.4.1.- Disponibilidad y calidad de los datos</w:t>
        </w:r>
        <w:r>
          <w:rPr>
            <w:noProof/>
            <w:webHidden/>
          </w:rPr>
          <w:tab/>
        </w:r>
        <w:r>
          <w:rPr>
            <w:noProof/>
            <w:webHidden/>
          </w:rPr>
          <w:fldChar w:fldCharType="begin"/>
        </w:r>
        <w:r>
          <w:rPr>
            <w:noProof/>
            <w:webHidden/>
          </w:rPr>
          <w:instrText xml:space="preserve"> PAGEREF _Toc225537546 \h </w:instrText>
        </w:r>
        <w:r>
          <w:rPr>
            <w:noProof/>
            <w:webHidden/>
          </w:rPr>
        </w:r>
        <w:r>
          <w:rPr>
            <w:noProof/>
            <w:webHidden/>
          </w:rPr>
          <w:fldChar w:fldCharType="separate"/>
        </w:r>
        <w:r w:rsidR="001D61C6">
          <w:rPr>
            <w:noProof/>
            <w:webHidden/>
          </w:rPr>
          <w:t>10</w:t>
        </w:r>
        <w:r>
          <w:rPr>
            <w:noProof/>
            <w:webHidden/>
          </w:rPr>
          <w:fldChar w:fldCharType="end"/>
        </w:r>
      </w:hyperlink>
    </w:p>
    <w:p w14:paraId="719532BC" w14:textId="58160D7E" w:rsidR="00B36744" w:rsidRDefault="00B36744">
      <w:pPr>
        <w:pStyle w:val="TDC3"/>
        <w:tabs>
          <w:tab w:val="right" w:leader="dot" w:pos="8755"/>
        </w:tabs>
        <w:rPr>
          <w:rFonts w:eastAsiaTheme="minorEastAsia" w:cstheme="minorBidi"/>
          <w:i w:val="0"/>
          <w:iCs w:val="0"/>
          <w:noProof/>
          <w:kern w:val="2"/>
          <w:sz w:val="24"/>
          <w:szCs w:val="24"/>
          <w:lang w:val="es-ES" w:eastAsia="es-ES"/>
          <w14:ligatures w14:val="standardContextual"/>
        </w:rPr>
      </w:pPr>
      <w:hyperlink w:anchor="_Toc225537547" w:history="1">
        <w:r w:rsidRPr="00BE52A3">
          <w:rPr>
            <w:rStyle w:val="Hipervnculo"/>
            <w:noProof/>
          </w:rPr>
          <w:t>1.4.2.- Acceso a fuentes de información</w:t>
        </w:r>
        <w:r>
          <w:rPr>
            <w:noProof/>
            <w:webHidden/>
          </w:rPr>
          <w:tab/>
        </w:r>
        <w:r>
          <w:rPr>
            <w:noProof/>
            <w:webHidden/>
          </w:rPr>
          <w:fldChar w:fldCharType="begin"/>
        </w:r>
        <w:r>
          <w:rPr>
            <w:noProof/>
            <w:webHidden/>
          </w:rPr>
          <w:instrText xml:space="preserve"> PAGEREF _Toc225537547 \h </w:instrText>
        </w:r>
        <w:r>
          <w:rPr>
            <w:noProof/>
            <w:webHidden/>
          </w:rPr>
        </w:r>
        <w:r>
          <w:rPr>
            <w:noProof/>
            <w:webHidden/>
          </w:rPr>
          <w:fldChar w:fldCharType="separate"/>
        </w:r>
        <w:r w:rsidR="001D61C6">
          <w:rPr>
            <w:noProof/>
            <w:webHidden/>
          </w:rPr>
          <w:t>11</w:t>
        </w:r>
        <w:r>
          <w:rPr>
            <w:noProof/>
            <w:webHidden/>
          </w:rPr>
          <w:fldChar w:fldCharType="end"/>
        </w:r>
      </w:hyperlink>
    </w:p>
    <w:p w14:paraId="03C8511C" w14:textId="61107237" w:rsidR="00B36744" w:rsidRDefault="00B36744">
      <w:pPr>
        <w:pStyle w:val="TDC3"/>
        <w:tabs>
          <w:tab w:val="right" w:leader="dot" w:pos="8755"/>
        </w:tabs>
        <w:rPr>
          <w:rFonts w:eastAsiaTheme="minorEastAsia" w:cstheme="minorBidi"/>
          <w:i w:val="0"/>
          <w:iCs w:val="0"/>
          <w:noProof/>
          <w:kern w:val="2"/>
          <w:sz w:val="24"/>
          <w:szCs w:val="24"/>
          <w:lang w:val="es-ES" w:eastAsia="es-ES"/>
          <w14:ligatures w14:val="standardContextual"/>
        </w:rPr>
      </w:pPr>
      <w:hyperlink w:anchor="_Toc225537548" w:history="1">
        <w:r w:rsidRPr="00BE52A3">
          <w:rPr>
            <w:rStyle w:val="Hipervnculo"/>
            <w:noProof/>
          </w:rPr>
          <w:t>1.4.3.- Alcance geográfico</w:t>
        </w:r>
        <w:r>
          <w:rPr>
            <w:noProof/>
            <w:webHidden/>
          </w:rPr>
          <w:tab/>
        </w:r>
        <w:r>
          <w:rPr>
            <w:noProof/>
            <w:webHidden/>
          </w:rPr>
          <w:fldChar w:fldCharType="begin"/>
        </w:r>
        <w:r>
          <w:rPr>
            <w:noProof/>
            <w:webHidden/>
          </w:rPr>
          <w:instrText xml:space="preserve"> PAGEREF _Toc225537548 \h </w:instrText>
        </w:r>
        <w:r>
          <w:rPr>
            <w:noProof/>
            <w:webHidden/>
          </w:rPr>
        </w:r>
        <w:r>
          <w:rPr>
            <w:noProof/>
            <w:webHidden/>
          </w:rPr>
          <w:fldChar w:fldCharType="separate"/>
        </w:r>
        <w:r w:rsidR="001D61C6">
          <w:rPr>
            <w:noProof/>
            <w:webHidden/>
          </w:rPr>
          <w:t>12</w:t>
        </w:r>
        <w:r>
          <w:rPr>
            <w:noProof/>
            <w:webHidden/>
          </w:rPr>
          <w:fldChar w:fldCharType="end"/>
        </w:r>
      </w:hyperlink>
    </w:p>
    <w:p w14:paraId="36DC478F" w14:textId="4EFA80D8" w:rsidR="00B36744" w:rsidRDefault="00B36744">
      <w:pPr>
        <w:pStyle w:val="TDC3"/>
        <w:tabs>
          <w:tab w:val="right" w:leader="dot" w:pos="8755"/>
        </w:tabs>
        <w:rPr>
          <w:rFonts w:eastAsiaTheme="minorEastAsia" w:cstheme="minorBidi"/>
          <w:i w:val="0"/>
          <w:iCs w:val="0"/>
          <w:noProof/>
          <w:kern w:val="2"/>
          <w:sz w:val="24"/>
          <w:szCs w:val="24"/>
          <w:lang w:val="es-ES" w:eastAsia="es-ES"/>
          <w14:ligatures w14:val="standardContextual"/>
        </w:rPr>
      </w:pPr>
      <w:hyperlink w:anchor="_Toc225537549" w:history="1">
        <w:r w:rsidRPr="00BE52A3">
          <w:rPr>
            <w:rStyle w:val="Hipervnculo"/>
            <w:noProof/>
          </w:rPr>
          <w:t>1.4.4.- Limitaciones del modelo de interoperabilidad implementado</w:t>
        </w:r>
        <w:r>
          <w:rPr>
            <w:noProof/>
            <w:webHidden/>
          </w:rPr>
          <w:tab/>
        </w:r>
        <w:r>
          <w:rPr>
            <w:noProof/>
            <w:webHidden/>
          </w:rPr>
          <w:fldChar w:fldCharType="begin"/>
        </w:r>
        <w:r>
          <w:rPr>
            <w:noProof/>
            <w:webHidden/>
          </w:rPr>
          <w:instrText xml:space="preserve"> PAGEREF _Toc225537549 \h </w:instrText>
        </w:r>
        <w:r>
          <w:rPr>
            <w:noProof/>
            <w:webHidden/>
          </w:rPr>
        </w:r>
        <w:r>
          <w:rPr>
            <w:noProof/>
            <w:webHidden/>
          </w:rPr>
          <w:fldChar w:fldCharType="separate"/>
        </w:r>
        <w:r w:rsidR="001D61C6">
          <w:rPr>
            <w:noProof/>
            <w:webHidden/>
          </w:rPr>
          <w:t>13</w:t>
        </w:r>
        <w:r>
          <w:rPr>
            <w:noProof/>
            <w:webHidden/>
          </w:rPr>
          <w:fldChar w:fldCharType="end"/>
        </w:r>
      </w:hyperlink>
    </w:p>
    <w:p w14:paraId="3BB20F1E" w14:textId="7B2DC8A4" w:rsidR="00B36744" w:rsidRDefault="00B36744">
      <w:pPr>
        <w:pStyle w:val="TDC3"/>
        <w:tabs>
          <w:tab w:val="right" w:leader="dot" w:pos="8755"/>
        </w:tabs>
        <w:rPr>
          <w:rFonts w:eastAsiaTheme="minorEastAsia" w:cstheme="minorBidi"/>
          <w:i w:val="0"/>
          <w:iCs w:val="0"/>
          <w:noProof/>
          <w:kern w:val="2"/>
          <w:sz w:val="24"/>
          <w:szCs w:val="24"/>
          <w:lang w:val="es-ES" w:eastAsia="es-ES"/>
          <w14:ligatures w14:val="standardContextual"/>
        </w:rPr>
      </w:pPr>
      <w:hyperlink w:anchor="_Toc225537550" w:history="1">
        <w:r w:rsidRPr="00BE52A3">
          <w:rPr>
            <w:rStyle w:val="Hipervnculo"/>
            <w:noProof/>
          </w:rPr>
          <w:t>1.4.5.- Variables no identificadas</w:t>
        </w:r>
        <w:r>
          <w:rPr>
            <w:noProof/>
            <w:webHidden/>
          </w:rPr>
          <w:tab/>
        </w:r>
        <w:r>
          <w:rPr>
            <w:noProof/>
            <w:webHidden/>
          </w:rPr>
          <w:fldChar w:fldCharType="begin"/>
        </w:r>
        <w:r>
          <w:rPr>
            <w:noProof/>
            <w:webHidden/>
          </w:rPr>
          <w:instrText xml:space="preserve"> PAGEREF _Toc225537550 \h </w:instrText>
        </w:r>
        <w:r>
          <w:rPr>
            <w:noProof/>
            <w:webHidden/>
          </w:rPr>
        </w:r>
        <w:r>
          <w:rPr>
            <w:noProof/>
            <w:webHidden/>
          </w:rPr>
          <w:fldChar w:fldCharType="separate"/>
        </w:r>
        <w:r w:rsidR="001D61C6">
          <w:rPr>
            <w:noProof/>
            <w:webHidden/>
          </w:rPr>
          <w:t>14</w:t>
        </w:r>
        <w:r>
          <w:rPr>
            <w:noProof/>
            <w:webHidden/>
          </w:rPr>
          <w:fldChar w:fldCharType="end"/>
        </w:r>
      </w:hyperlink>
    </w:p>
    <w:p w14:paraId="38FAC764" w14:textId="2677242E" w:rsidR="00B36744" w:rsidRDefault="00B36744">
      <w:pPr>
        <w:pStyle w:val="TDC3"/>
        <w:tabs>
          <w:tab w:val="right" w:leader="dot" w:pos="8755"/>
        </w:tabs>
        <w:rPr>
          <w:rFonts w:eastAsiaTheme="minorEastAsia" w:cstheme="minorBidi"/>
          <w:i w:val="0"/>
          <w:iCs w:val="0"/>
          <w:noProof/>
          <w:kern w:val="2"/>
          <w:sz w:val="24"/>
          <w:szCs w:val="24"/>
          <w:lang w:val="es-ES" w:eastAsia="es-ES"/>
          <w14:ligatures w14:val="standardContextual"/>
        </w:rPr>
      </w:pPr>
      <w:hyperlink w:anchor="_Toc225537551" w:history="1">
        <w:r w:rsidRPr="00BE52A3">
          <w:rPr>
            <w:rStyle w:val="Hipervnculo"/>
            <w:noProof/>
          </w:rPr>
          <w:t>1.4.6.- Restricciones de tiempo y recursos</w:t>
        </w:r>
        <w:r>
          <w:rPr>
            <w:noProof/>
            <w:webHidden/>
          </w:rPr>
          <w:tab/>
        </w:r>
        <w:r>
          <w:rPr>
            <w:noProof/>
            <w:webHidden/>
          </w:rPr>
          <w:fldChar w:fldCharType="begin"/>
        </w:r>
        <w:r>
          <w:rPr>
            <w:noProof/>
            <w:webHidden/>
          </w:rPr>
          <w:instrText xml:space="preserve"> PAGEREF _Toc225537551 \h </w:instrText>
        </w:r>
        <w:r>
          <w:rPr>
            <w:noProof/>
            <w:webHidden/>
          </w:rPr>
        </w:r>
        <w:r>
          <w:rPr>
            <w:noProof/>
            <w:webHidden/>
          </w:rPr>
          <w:fldChar w:fldCharType="separate"/>
        </w:r>
        <w:r w:rsidR="001D61C6">
          <w:rPr>
            <w:noProof/>
            <w:webHidden/>
          </w:rPr>
          <w:t>14</w:t>
        </w:r>
        <w:r>
          <w:rPr>
            <w:noProof/>
            <w:webHidden/>
          </w:rPr>
          <w:fldChar w:fldCharType="end"/>
        </w:r>
      </w:hyperlink>
    </w:p>
    <w:p w14:paraId="07C02AD6" w14:textId="5CAF9C73" w:rsidR="00B36744" w:rsidRDefault="00B36744">
      <w:pPr>
        <w:pStyle w:val="TDC1"/>
        <w:tabs>
          <w:tab w:val="right" w:leader="dot" w:pos="8755"/>
        </w:tabs>
        <w:rPr>
          <w:rFonts w:eastAsiaTheme="minorEastAsia" w:cstheme="minorBidi"/>
          <w:b w:val="0"/>
          <w:bCs w:val="0"/>
          <w:caps w:val="0"/>
          <w:noProof/>
          <w:kern w:val="2"/>
          <w:sz w:val="24"/>
          <w:szCs w:val="24"/>
          <w:lang w:val="es-ES" w:eastAsia="es-ES"/>
          <w14:ligatures w14:val="standardContextual"/>
        </w:rPr>
      </w:pPr>
      <w:hyperlink w:anchor="_Toc225537552" w:history="1">
        <w:r w:rsidRPr="00BE52A3">
          <w:rPr>
            <w:rStyle w:val="Hipervnculo"/>
            <w:noProof/>
          </w:rPr>
          <w:t>Capítulo II.- Marco teórico</w:t>
        </w:r>
        <w:r>
          <w:rPr>
            <w:noProof/>
            <w:webHidden/>
          </w:rPr>
          <w:tab/>
        </w:r>
        <w:r>
          <w:rPr>
            <w:noProof/>
            <w:webHidden/>
          </w:rPr>
          <w:fldChar w:fldCharType="begin"/>
        </w:r>
        <w:r>
          <w:rPr>
            <w:noProof/>
            <w:webHidden/>
          </w:rPr>
          <w:instrText xml:space="preserve"> PAGEREF _Toc225537552 \h </w:instrText>
        </w:r>
        <w:r>
          <w:rPr>
            <w:noProof/>
            <w:webHidden/>
          </w:rPr>
        </w:r>
        <w:r>
          <w:rPr>
            <w:noProof/>
            <w:webHidden/>
          </w:rPr>
          <w:fldChar w:fldCharType="separate"/>
        </w:r>
        <w:r w:rsidR="001D61C6">
          <w:rPr>
            <w:noProof/>
            <w:webHidden/>
          </w:rPr>
          <w:t>16</w:t>
        </w:r>
        <w:r>
          <w:rPr>
            <w:noProof/>
            <w:webHidden/>
          </w:rPr>
          <w:fldChar w:fldCharType="end"/>
        </w:r>
      </w:hyperlink>
    </w:p>
    <w:p w14:paraId="72380F9B" w14:textId="43B3C211" w:rsidR="00B36744" w:rsidRDefault="00B36744">
      <w:pPr>
        <w:pStyle w:val="TDC2"/>
        <w:tabs>
          <w:tab w:val="right" w:leader="dot" w:pos="8755"/>
        </w:tabs>
        <w:rPr>
          <w:rFonts w:eastAsiaTheme="minorEastAsia" w:cstheme="minorBidi"/>
          <w:smallCaps w:val="0"/>
          <w:noProof/>
          <w:kern w:val="2"/>
          <w:sz w:val="24"/>
          <w:szCs w:val="24"/>
          <w:lang w:val="es-ES" w:eastAsia="es-ES"/>
          <w14:ligatures w14:val="standardContextual"/>
        </w:rPr>
      </w:pPr>
      <w:hyperlink w:anchor="_Toc225537553" w:history="1">
        <w:r w:rsidRPr="00BE52A3">
          <w:rPr>
            <w:rStyle w:val="Hipervnculo"/>
            <w:noProof/>
          </w:rPr>
          <w:t>2.1.Antecedentes del problema</w:t>
        </w:r>
        <w:r>
          <w:rPr>
            <w:noProof/>
            <w:webHidden/>
          </w:rPr>
          <w:tab/>
        </w:r>
        <w:r>
          <w:rPr>
            <w:noProof/>
            <w:webHidden/>
          </w:rPr>
          <w:fldChar w:fldCharType="begin"/>
        </w:r>
        <w:r>
          <w:rPr>
            <w:noProof/>
            <w:webHidden/>
          </w:rPr>
          <w:instrText xml:space="preserve"> PAGEREF _Toc225537553 \h </w:instrText>
        </w:r>
        <w:r>
          <w:rPr>
            <w:noProof/>
            <w:webHidden/>
          </w:rPr>
        </w:r>
        <w:r>
          <w:rPr>
            <w:noProof/>
            <w:webHidden/>
          </w:rPr>
          <w:fldChar w:fldCharType="separate"/>
        </w:r>
        <w:r w:rsidR="001D61C6">
          <w:rPr>
            <w:noProof/>
            <w:webHidden/>
          </w:rPr>
          <w:t>16</w:t>
        </w:r>
        <w:r>
          <w:rPr>
            <w:noProof/>
            <w:webHidden/>
          </w:rPr>
          <w:fldChar w:fldCharType="end"/>
        </w:r>
      </w:hyperlink>
    </w:p>
    <w:p w14:paraId="6BBBB287" w14:textId="6228D958" w:rsidR="00B36744" w:rsidRDefault="00B36744">
      <w:pPr>
        <w:pStyle w:val="TDC3"/>
        <w:tabs>
          <w:tab w:val="right" w:leader="dot" w:pos="8755"/>
        </w:tabs>
        <w:rPr>
          <w:rFonts w:eastAsiaTheme="minorEastAsia" w:cstheme="minorBidi"/>
          <w:i w:val="0"/>
          <w:iCs w:val="0"/>
          <w:noProof/>
          <w:kern w:val="2"/>
          <w:sz w:val="24"/>
          <w:szCs w:val="24"/>
          <w:lang w:val="es-ES" w:eastAsia="es-ES"/>
          <w14:ligatures w14:val="standardContextual"/>
        </w:rPr>
      </w:pPr>
      <w:hyperlink w:anchor="_Toc225537554" w:history="1">
        <w:r w:rsidRPr="00BE52A3">
          <w:rPr>
            <w:rStyle w:val="Hipervnculo"/>
            <w:noProof/>
          </w:rPr>
          <w:t>2.1.1.Internacionales</w:t>
        </w:r>
        <w:r>
          <w:rPr>
            <w:noProof/>
            <w:webHidden/>
          </w:rPr>
          <w:tab/>
        </w:r>
        <w:r>
          <w:rPr>
            <w:noProof/>
            <w:webHidden/>
          </w:rPr>
          <w:fldChar w:fldCharType="begin"/>
        </w:r>
        <w:r>
          <w:rPr>
            <w:noProof/>
            <w:webHidden/>
          </w:rPr>
          <w:instrText xml:space="preserve"> PAGEREF _Toc225537554 \h </w:instrText>
        </w:r>
        <w:r>
          <w:rPr>
            <w:noProof/>
            <w:webHidden/>
          </w:rPr>
        </w:r>
        <w:r>
          <w:rPr>
            <w:noProof/>
            <w:webHidden/>
          </w:rPr>
          <w:fldChar w:fldCharType="separate"/>
        </w:r>
        <w:r w:rsidR="001D61C6">
          <w:rPr>
            <w:noProof/>
            <w:webHidden/>
          </w:rPr>
          <w:t>16</w:t>
        </w:r>
        <w:r>
          <w:rPr>
            <w:noProof/>
            <w:webHidden/>
          </w:rPr>
          <w:fldChar w:fldCharType="end"/>
        </w:r>
      </w:hyperlink>
    </w:p>
    <w:p w14:paraId="1ABCE3C0" w14:textId="5426F6A2" w:rsidR="00B36744" w:rsidRDefault="00B36744">
      <w:pPr>
        <w:pStyle w:val="TDC3"/>
        <w:tabs>
          <w:tab w:val="right" w:leader="dot" w:pos="8755"/>
        </w:tabs>
        <w:rPr>
          <w:rFonts w:eastAsiaTheme="minorEastAsia" w:cstheme="minorBidi"/>
          <w:i w:val="0"/>
          <w:iCs w:val="0"/>
          <w:noProof/>
          <w:kern w:val="2"/>
          <w:sz w:val="24"/>
          <w:szCs w:val="24"/>
          <w:lang w:val="es-ES" w:eastAsia="es-ES"/>
          <w14:ligatures w14:val="standardContextual"/>
        </w:rPr>
      </w:pPr>
      <w:hyperlink w:anchor="_Toc225537555" w:history="1">
        <w:r w:rsidRPr="00BE52A3">
          <w:rPr>
            <w:rStyle w:val="Hipervnculo"/>
            <w:noProof/>
          </w:rPr>
          <w:t>2.1.2.Nacionales</w:t>
        </w:r>
        <w:r>
          <w:rPr>
            <w:noProof/>
            <w:webHidden/>
          </w:rPr>
          <w:tab/>
        </w:r>
        <w:r>
          <w:rPr>
            <w:noProof/>
            <w:webHidden/>
          </w:rPr>
          <w:fldChar w:fldCharType="begin"/>
        </w:r>
        <w:r>
          <w:rPr>
            <w:noProof/>
            <w:webHidden/>
          </w:rPr>
          <w:instrText xml:space="preserve"> PAGEREF _Toc225537555 \h </w:instrText>
        </w:r>
        <w:r>
          <w:rPr>
            <w:noProof/>
            <w:webHidden/>
          </w:rPr>
        </w:r>
        <w:r>
          <w:rPr>
            <w:noProof/>
            <w:webHidden/>
          </w:rPr>
          <w:fldChar w:fldCharType="separate"/>
        </w:r>
        <w:r w:rsidR="001D61C6">
          <w:rPr>
            <w:noProof/>
            <w:webHidden/>
          </w:rPr>
          <w:t>22</w:t>
        </w:r>
        <w:r>
          <w:rPr>
            <w:noProof/>
            <w:webHidden/>
          </w:rPr>
          <w:fldChar w:fldCharType="end"/>
        </w:r>
      </w:hyperlink>
    </w:p>
    <w:p w14:paraId="5B79F638" w14:textId="75D093BE" w:rsidR="00B36744" w:rsidRDefault="00B36744">
      <w:pPr>
        <w:pStyle w:val="TDC3"/>
        <w:tabs>
          <w:tab w:val="right" w:leader="dot" w:pos="8755"/>
        </w:tabs>
        <w:rPr>
          <w:rFonts w:eastAsiaTheme="minorEastAsia" w:cstheme="minorBidi"/>
          <w:i w:val="0"/>
          <w:iCs w:val="0"/>
          <w:noProof/>
          <w:kern w:val="2"/>
          <w:sz w:val="24"/>
          <w:szCs w:val="24"/>
          <w:lang w:val="es-ES" w:eastAsia="es-ES"/>
          <w14:ligatures w14:val="standardContextual"/>
        </w:rPr>
      </w:pPr>
      <w:hyperlink w:anchor="_Toc225537556" w:history="1">
        <w:r w:rsidRPr="00BE52A3">
          <w:rPr>
            <w:rStyle w:val="Hipervnculo"/>
            <w:noProof/>
          </w:rPr>
          <w:t>2.1.3.Síntesis crítica de antecedentes</w:t>
        </w:r>
        <w:r>
          <w:rPr>
            <w:noProof/>
            <w:webHidden/>
          </w:rPr>
          <w:tab/>
        </w:r>
        <w:r>
          <w:rPr>
            <w:noProof/>
            <w:webHidden/>
          </w:rPr>
          <w:fldChar w:fldCharType="begin"/>
        </w:r>
        <w:r>
          <w:rPr>
            <w:noProof/>
            <w:webHidden/>
          </w:rPr>
          <w:instrText xml:space="preserve"> PAGEREF _Toc225537556 \h </w:instrText>
        </w:r>
        <w:r>
          <w:rPr>
            <w:noProof/>
            <w:webHidden/>
          </w:rPr>
        </w:r>
        <w:r>
          <w:rPr>
            <w:noProof/>
            <w:webHidden/>
          </w:rPr>
          <w:fldChar w:fldCharType="separate"/>
        </w:r>
        <w:r w:rsidR="001D61C6">
          <w:rPr>
            <w:noProof/>
            <w:webHidden/>
          </w:rPr>
          <w:t>26</w:t>
        </w:r>
        <w:r>
          <w:rPr>
            <w:noProof/>
            <w:webHidden/>
          </w:rPr>
          <w:fldChar w:fldCharType="end"/>
        </w:r>
      </w:hyperlink>
    </w:p>
    <w:p w14:paraId="70E7A865" w14:textId="5DC0D9A1" w:rsidR="00B36744" w:rsidRDefault="00B36744">
      <w:pPr>
        <w:pStyle w:val="TDC2"/>
        <w:tabs>
          <w:tab w:val="right" w:leader="dot" w:pos="8755"/>
        </w:tabs>
        <w:rPr>
          <w:rFonts w:eastAsiaTheme="minorEastAsia" w:cstheme="minorBidi"/>
          <w:smallCaps w:val="0"/>
          <w:noProof/>
          <w:kern w:val="2"/>
          <w:sz w:val="24"/>
          <w:szCs w:val="24"/>
          <w:lang w:val="es-ES" w:eastAsia="es-ES"/>
          <w14:ligatures w14:val="standardContextual"/>
        </w:rPr>
      </w:pPr>
      <w:hyperlink w:anchor="_Toc225537557" w:history="1">
        <w:r w:rsidRPr="00BE52A3">
          <w:rPr>
            <w:rStyle w:val="Hipervnculo"/>
            <w:noProof/>
          </w:rPr>
          <w:t>2.2.Bases teóricas</w:t>
        </w:r>
        <w:r>
          <w:rPr>
            <w:noProof/>
            <w:webHidden/>
          </w:rPr>
          <w:tab/>
        </w:r>
        <w:r>
          <w:rPr>
            <w:noProof/>
            <w:webHidden/>
          </w:rPr>
          <w:fldChar w:fldCharType="begin"/>
        </w:r>
        <w:r>
          <w:rPr>
            <w:noProof/>
            <w:webHidden/>
          </w:rPr>
          <w:instrText xml:space="preserve"> PAGEREF _Toc225537557 \h </w:instrText>
        </w:r>
        <w:r>
          <w:rPr>
            <w:noProof/>
            <w:webHidden/>
          </w:rPr>
        </w:r>
        <w:r>
          <w:rPr>
            <w:noProof/>
            <w:webHidden/>
          </w:rPr>
          <w:fldChar w:fldCharType="separate"/>
        </w:r>
        <w:r w:rsidR="001D61C6">
          <w:rPr>
            <w:noProof/>
            <w:webHidden/>
          </w:rPr>
          <w:t>28</w:t>
        </w:r>
        <w:r>
          <w:rPr>
            <w:noProof/>
            <w:webHidden/>
          </w:rPr>
          <w:fldChar w:fldCharType="end"/>
        </w:r>
      </w:hyperlink>
    </w:p>
    <w:p w14:paraId="023413AC" w14:textId="4A69EE33" w:rsidR="00B36744" w:rsidRDefault="00B36744">
      <w:pPr>
        <w:pStyle w:val="TDC3"/>
        <w:tabs>
          <w:tab w:val="right" w:leader="dot" w:pos="8755"/>
        </w:tabs>
        <w:rPr>
          <w:rFonts w:eastAsiaTheme="minorEastAsia" w:cstheme="minorBidi"/>
          <w:i w:val="0"/>
          <w:iCs w:val="0"/>
          <w:noProof/>
          <w:kern w:val="2"/>
          <w:sz w:val="24"/>
          <w:szCs w:val="24"/>
          <w:lang w:val="es-ES" w:eastAsia="es-ES"/>
          <w14:ligatures w14:val="standardContextual"/>
        </w:rPr>
      </w:pPr>
      <w:hyperlink w:anchor="_Toc225537558" w:history="1">
        <w:r w:rsidRPr="00BE52A3">
          <w:rPr>
            <w:rStyle w:val="Hipervnculo"/>
            <w:noProof/>
          </w:rPr>
          <w:t>2.2.1.Desarrollo histórico</w:t>
        </w:r>
        <w:r>
          <w:rPr>
            <w:noProof/>
            <w:webHidden/>
          </w:rPr>
          <w:tab/>
        </w:r>
        <w:r>
          <w:rPr>
            <w:noProof/>
            <w:webHidden/>
          </w:rPr>
          <w:fldChar w:fldCharType="begin"/>
        </w:r>
        <w:r>
          <w:rPr>
            <w:noProof/>
            <w:webHidden/>
          </w:rPr>
          <w:instrText xml:space="preserve"> PAGEREF _Toc225537558 \h </w:instrText>
        </w:r>
        <w:r>
          <w:rPr>
            <w:noProof/>
            <w:webHidden/>
          </w:rPr>
        </w:r>
        <w:r>
          <w:rPr>
            <w:noProof/>
            <w:webHidden/>
          </w:rPr>
          <w:fldChar w:fldCharType="separate"/>
        </w:r>
        <w:r w:rsidR="001D61C6">
          <w:rPr>
            <w:noProof/>
            <w:webHidden/>
          </w:rPr>
          <w:t>28</w:t>
        </w:r>
        <w:r>
          <w:rPr>
            <w:noProof/>
            <w:webHidden/>
          </w:rPr>
          <w:fldChar w:fldCharType="end"/>
        </w:r>
      </w:hyperlink>
    </w:p>
    <w:p w14:paraId="22E34D08" w14:textId="5CE3E5E7" w:rsidR="00B36744" w:rsidRDefault="00B36744">
      <w:pPr>
        <w:pStyle w:val="TDC3"/>
        <w:tabs>
          <w:tab w:val="right" w:leader="dot" w:pos="8755"/>
        </w:tabs>
        <w:rPr>
          <w:rFonts w:eastAsiaTheme="minorEastAsia" w:cstheme="minorBidi"/>
          <w:i w:val="0"/>
          <w:iCs w:val="0"/>
          <w:noProof/>
          <w:kern w:val="2"/>
          <w:sz w:val="24"/>
          <w:szCs w:val="24"/>
          <w:lang w:val="es-ES" w:eastAsia="es-ES"/>
          <w14:ligatures w14:val="standardContextual"/>
        </w:rPr>
      </w:pPr>
      <w:hyperlink w:anchor="_Toc225537559" w:history="1">
        <w:r w:rsidRPr="00BE52A3">
          <w:rPr>
            <w:rStyle w:val="Hipervnculo"/>
            <w:noProof/>
          </w:rPr>
          <w:t>2.2.2.Fundamentación teórica</w:t>
        </w:r>
        <w:r>
          <w:rPr>
            <w:noProof/>
            <w:webHidden/>
          </w:rPr>
          <w:tab/>
        </w:r>
        <w:r>
          <w:rPr>
            <w:noProof/>
            <w:webHidden/>
          </w:rPr>
          <w:fldChar w:fldCharType="begin"/>
        </w:r>
        <w:r>
          <w:rPr>
            <w:noProof/>
            <w:webHidden/>
          </w:rPr>
          <w:instrText xml:space="preserve"> PAGEREF _Toc225537559 \h </w:instrText>
        </w:r>
        <w:r>
          <w:rPr>
            <w:noProof/>
            <w:webHidden/>
          </w:rPr>
        </w:r>
        <w:r>
          <w:rPr>
            <w:noProof/>
            <w:webHidden/>
          </w:rPr>
          <w:fldChar w:fldCharType="separate"/>
        </w:r>
        <w:r w:rsidR="001D61C6">
          <w:rPr>
            <w:noProof/>
            <w:webHidden/>
          </w:rPr>
          <w:t>29</w:t>
        </w:r>
        <w:r>
          <w:rPr>
            <w:noProof/>
            <w:webHidden/>
          </w:rPr>
          <w:fldChar w:fldCharType="end"/>
        </w:r>
      </w:hyperlink>
    </w:p>
    <w:p w14:paraId="050EF172" w14:textId="2DF7C4C8" w:rsidR="00B36744" w:rsidRDefault="00B36744">
      <w:pPr>
        <w:pStyle w:val="TDC3"/>
        <w:tabs>
          <w:tab w:val="right" w:leader="dot" w:pos="8755"/>
        </w:tabs>
        <w:rPr>
          <w:rFonts w:eastAsiaTheme="minorEastAsia" w:cstheme="minorBidi"/>
          <w:i w:val="0"/>
          <w:iCs w:val="0"/>
          <w:noProof/>
          <w:kern w:val="2"/>
          <w:sz w:val="24"/>
          <w:szCs w:val="24"/>
          <w:lang w:val="es-ES" w:eastAsia="es-ES"/>
          <w14:ligatures w14:val="standardContextual"/>
        </w:rPr>
      </w:pPr>
      <w:hyperlink w:anchor="_Toc225537560" w:history="1">
        <w:r w:rsidRPr="00BE52A3">
          <w:rPr>
            <w:rStyle w:val="Hipervnculo"/>
            <w:noProof/>
          </w:rPr>
          <w:t>2.2.3.Marco conceptual</w:t>
        </w:r>
        <w:r>
          <w:rPr>
            <w:noProof/>
            <w:webHidden/>
          </w:rPr>
          <w:tab/>
        </w:r>
        <w:r>
          <w:rPr>
            <w:noProof/>
            <w:webHidden/>
          </w:rPr>
          <w:fldChar w:fldCharType="begin"/>
        </w:r>
        <w:r>
          <w:rPr>
            <w:noProof/>
            <w:webHidden/>
          </w:rPr>
          <w:instrText xml:space="preserve"> PAGEREF _Toc225537560 \h </w:instrText>
        </w:r>
        <w:r>
          <w:rPr>
            <w:noProof/>
            <w:webHidden/>
          </w:rPr>
        </w:r>
        <w:r>
          <w:rPr>
            <w:noProof/>
            <w:webHidden/>
          </w:rPr>
          <w:fldChar w:fldCharType="separate"/>
        </w:r>
        <w:r w:rsidR="001D61C6">
          <w:rPr>
            <w:noProof/>
            <w:webHidden/>
          </w:rPr>
          <w:t>33</w:t>
        </w:r>
        <w:r>
          <w:rPr>
            <w:noProof/>
            <w:webHidden/>
          </w:rPr>
          <w:fldChar w:fldCharType="end"/>
        </w:r>
      </w:hyperlink>
    </w:p>
    <w:p w14:paraId="29515C1C" w14:textId="1544FBC9" w:rsidR="00B36744" w:rsidRDefault="00B36744">
      <w:pPr>
        <w:pStyle w:val="TDC2"/>
        <w:tabs>
          <w:tab w:val="right" w:leader="dot" w:pos="8755"/>
        </w:tabs>
        <w:rPr>
          <w:rFonts w:eastAsiaTheme="minorEastAsia" w:cstheme="minorBidi"/>
          <w:smallCaps w:val="0"/>
          <w:noProof/>
          <w:kern w:val="2"/>
          <w:sz w:val="24"/>
          <w:szCs w:val="24"/>
          <w:lang w:val="es-ES" w:eastAsia="es-ES"/>
          <w14:ligatures w14:val="standardContextual"/>
        </w:rPr>
      </w:pPr>
      <w:hyperlink w:anchor="_Toc225537561" w:history="1">
        <w:r w:rsidRPr="00BE52A3">
          <w:rPr>
            <w:rStyle w:val="Hipervnculo"/>
            <w:noProof/>
          </w:rPr>
          <w:t>2.3.Definición de términos básicos</w:t>
        </w:r>
        <w:r>
          <w:rPr>
            <w:noProof/>
            <w:webHidden/>
          </w:rPr>
          <w:tab/>
        </w:r>
        <w:r>
          <w:rPr>
            <w:noProof/>
            <w:webHidden/>
          </w:rPr>
          <w:fldChar w:fldCharType="begin"/>
        </w:r>
        <w:r>
          <w:rPr>
            <w:noProof/>
            <w:webHidden/>
          </w:rPr>
          <w:instrText xml:space="preserve"> PAGEREF _Toc225537561 \h </w:instrText>
        </w:r>
        <w:r>
          <w:rPr>
            <w:noProof/>
            <w:webHidden/>
          </w:rPr>
        </w:r>
        <w:r>
          <w:rPr>
            <w:noProof/>
            <w:webHidden/>
          </w:rPr>
          <w:fldChar w:fldCharType="separate"/>
        </w:r>
        <w:r w:rsidR="001D61C6">
          <w:rPr>
            <w:noProof/>
            <w:webHidden/>
          </w:rPr>
          <w:t>34</w:t>
        </w:r>
        <w:r>
          <w:rPr>
            <w:noProof/>
            <w:webHidden/>
          </w:rPr>
          <w:fldChar w:fldCharType="end"/>
        </w:r>
      </w:hyperlink>
    </w:p>
    <w:p w14:paraId="314772C4" w14:textId="127BFA4E" w:rsidR="00B36744" w:rsidRDefault="00B36744">
      <w:pPr>
        <w:pStyle w:val="TDC3"/>
        <w:tabs>
          <w:tab w:val="right" w:leader="dot" w:pos="8755"/>
        </w:tabs>
        <w:rPr>
          <w:rFonts w:eastAsiaTheme="minorEastAsia" w:cstheme="minorBidi"/>
          <w:i w:val="0"/>
          <w:iCs w:val="0"/>
          <w:noProof/>
          <w:kern w:val="2"/>
          <w:sz w:val="24"/>
          <w:szCs w:val="24"/>
          <w:lang w:val="es-ES" w:eastAsia="es-ES"/>
          <w14:ligatures w14:val="standardContextual"/>
        </w:rPr>
      </w:pPr>
      <w:hyperlink w:anchor="_Toc225537562" w:history="1">
        <w:r w:rsidRPr="00BE52A3">
          <w:rPr>
            <w:rStyle w:val="Hipervnculo"/>
            <w:noProof/>
          </w:rPr>
          <w:t>2.3.1.Definiciones operacionales de los indicadores de calidad del intercambio</w:t>
        </w:r>
        <w:r>
          <w:rPr>
            <w:noProof/>
            <w:webHidden/>
          </w:rPr>
          <w:tab/>
        </w:r>
        <w:r>
          <w:rPr>
            <w:noProof/>
            <w:webHidden/>
          </w:rPr>
          <w:fldChar w:fldCharType="begin"/>
        </w:r>
        <w:r>
          <w:rPr>
            <w:noProof/>
            <w:webHidden/>
          </w:rPr>
          <w:instrText xml:space="preserve"> PAGEREF _Toc225537562 \h </w:instrText>
        </w:r>
        <w:r>
          <w:rPr>
            <w:noProof/>
            <w:webHidden/>
          </w:rPr>
        </w:r>
        <w:r>
          <w:rPr>
            <w:noProof/>
            <w:webHidden/>
          </w:rPr>
          <w:fldChar w:fldCharType="separate"/>
        </w:r>
        <w:r w:rsidR="001D61C6">
          <w:rPr>
            <w:noProof/>
            <w:webHidden/>
          </w:rPr>
          <w:t>39</w:t>
        </w:r>
        <w:r>
          <w:rPr>
            <w:noProof/>
            <w:webHidden/>
          </w:rPr>
          <w:fldChar w:fldCharType="end"/>
        </w:r>
      </w:hyperlink>
    </w:p>
    <w:p w14:paraId="1D0AA5D1" w14:textId="798D04BC" w:rsidR="00B36744" w:rsidRDefault="00B36744">
      <w:pPr>
        <w:pStyle w:val="TDC1"/>
        <w:tabs>
          <w:tab w:val="right" w:leader="dot" w:pos="8755"/>
        </w:tabs>
        <w:rPr>
          <w:rFonts w:eastAsiaTheme="minorEastAsia" w:cstheme="minorBidi"/>
          <w:b w:val="0"/>
          <w:bCs w:val="0"/>
          <w:caps w:val="0"/>
          <w:noProof/>
          <w:kern w:val="2"/>
          <w:sz w:val="24"/>
          <w:szCs w:val="24"/>
          <w:lang w:val="es-ES" w:eastAsia="es-ES"/>
          <w14:ligatures w14:val="standardContextual"/>
        </w:rPr>
      </w:pPr>
      <w:hyperlink w:anchor="_Toc225537563" w:history="1">
        <w:r w:rsidRPr="00BE52A3">
          <w:rPr>
            <w:rStyle w:val="Hipervnculo"/>
            <w:noProof/>
          </w:rPr>
          <w:t>Referencias</w:t>
        </w:r>
        <w:r>
          <w:rPr>
            <w:noProof/>
            <w:webHidden/>
          </w:rPr>
          <w:tab/>
        </w:r>
        <w:r>
          <w:rPr>
            <w:noProof/>
            <w:webHidden/>
          </w:rPr>
          <w:fldChar w:fldCharType="begin"/>
        </w:r>
        <w:r>
          <w:rPr>
            <w:noProof/>
            <w:webHidden/>
          </w:rPr>
          <w:instrText xml:space="preserve"> PAGEREF _Toc225537563 \h </w:instrText>
        </w:r>
        <w:r>
          <w:rPr>
            <w:noProof/>
            <w:webHidden/>
          </w:rPr>
        </w:r>
        <w:r>
          <w:rPr>
            <w:noProof/>
            <w:webHidden/>
          </w:rPr>
          <w:fldChar w:fldCharType="separate"/>
        </w:r>
        <w:r w:rsidR="001D61C6">
          <w:rPr>
            <w:noProof/>
            <w:webHidden/>
          </w:rPr>
          <w:t>41</w:t>
        </w:r>
        <w:r>
          <w:rPr>
            <w:noProof/>
            <w:webHidden/>
          </w:rPr>
          <w:fldChar w:fldCharType="end"/>
        </w:r>
      </w:hyperlink>
    </w:p>
    <w:p w14:paraId="13D2C773" w14:textId="3C8809E2" w:rsidR="00751FD9" w:rsidRDefault="006124A7">
      <w:r>
        <w:fldChar w:fldCharType="end"/>
      </w:r>
    </w:p>
    <w:p w14:paraId="45F6906B" w14:textId="77777777" w:rsidR="00751FD9" w:rsidRDefault="006124A7">
      <w:pPr>
        <w:pStyle w:val="Ttulo1"/>
        <w:pageBreakBefore/>
      </w:pPr>
      <w:bookmarkStart w:id="2" w:name="capítulo-i-planteamiento-del-estudio"/>
      <w:bookmarkStart w:id="3" w:name="_Toc225537534"/>
      <w:bookmarkEnd w:id="0"/>
      <w:r>
        <w:lastRenderedPageBreak/>
        <w:t>Capítulo I.- Planteamiento del estudio</w:t>
      </w:r>
      <w:bookmarkEnd w:id="3"/>
    </w:p>
    <w:p w14:paraId="1F0F3329" w14:textId="75AE058E" w:rsidR="00751FD9" w:rsidRDefault="006124A7">
      <w:pPr>
        <w:pStyle w:val="Ttulo2"/>
      </w:pPr>
      <w:bookmarkStart w:id="4" w:name="planteamiento-y-formulación-del-problema"/>
      <w:bookmarkStart w:id="5" w:name="_Toc225537535"/>
      <w:r>
        <w:t>1.</w:t>
      </w:r>
      <w:proofErr w:type="gramStart"/>
      <w:r>
        <w:t>1.Planteamiento</w:t>
      </w:r>
      <w:proofErr w:type="gramEnd"/>
      <w:r>
        <w:t xml:space="preserve"> y formulación del problema</w:t>
      </w:r>
      <w:bookmarkEnd w:id="5"/>
    </w:p>
    <w:p w14:paraId="252A8104" w14:textId="06AA9656" w:rsidR="00751FD9" w:rsidRDefault="006124A7">
      <w:pPr>
        <w:pStyle w:val="Ttulo3"/>
      </w:pPr>
      <w:bookmarkStart w:id="6" w:name="planteamiento-del-problema"/>
      <w:bookmarkStart w:id="7" w:name="_Toc225537536"/>
      <w:r>
        <w:t>1.1.1.</w:t>
      </w:r>
      <w:r w:rsidR="001D61C6">
        <w:t xml:space="preserve">- </w:t>
      </w:r>
      <w:r>
        <w:t>Planteamiento del problema</w:t>
      </w:r>
      <w:bookmarkEnd w:id="7"/>
    </w:p>
    <w:p w14:paraId="6AA4371D" w14:textId="77777777" w:rsidR="00751FD9" w:rsidRDefault="006124A7">
      <w:r>
        <w:t xml:space="preserve">Actualmente, en los centros de salud del Ministerio de Salud (MINSA) del Perú, los sistemas de gestión de historias clínicas operan con una interoperabilidad limitada. Si bien el MINSA ha establecido un marco normativo para la interoperabilidad (IEDS, RNIEDS, PIDESALUD), su implementación operativa es heterogénea y, en la práctica, no se ha logrado una adopción sistemática de estándares internacionales como HL7 FHIR (Fast </w:t>
      </w:r>
      <w:proofErr w:type="spellStart"/>
      <w:r>
        <w:t>Healthcare</w:t>
      </w:r>
      <w:proofErr w:type="spellEnd"/>
      <w:r>
        <w:t xml:space="preserve"> </w:t>
      </w:r>
      <w:proofErr w:type="spellStart"/>
      <w:r>
        <w:t>Interoperability</w:t>
      </w:r>
      <w:proofErr w:type="spellEnd"/>
      <w:r>
        <w:t xml:space="preserve"> </w:t>
      </w:r>
      <w:proofErr w:type="spellStart"/>
      <w:r>
        <w:t>Resources</w:t>
      </w:r>
      <w:proofErr w:type="spellEnd"/>
      <w:r>
        <w:t xml:space="preserve">) que habilite un intercambio de información clínica con niveles adecuados de integridad, consistencia, disponibilidad y continuidad asistencial. Esta condición genera fragmentación de la información clínica del paciente, si bien cabe advertir que la sola adopción de un estándar no garantiza por sí misma la interoperabilidad efectiva sin la gestión adecuada de perfiles, terminologías y gobernanza institucional (Kramer y </w:t>
      </w:r>
      <w:proofErr w:type="spellStart"/>
      <w:r>
        <w:t>Moesel</w:t>
      </w:r>
      <w:proofErr w:type="spellEnd"/>
      <w:r>
        <w:t>, 2023).</w:t>
      </w:r>
    </w:p>
    <w:p w14:paraId="38E34A5F" w14:textId="77777777" w:rsidR="00751FD9" w:rsidRDefault="006124A7">
      <w:r>
        <w:t xml:space="preserve">En el ámbito global, la ausencia de una integración fluida de datos se reconoce como un obstáculo crítico para la digitalización de la salud. Pimenta et al. (2023) señalan que, sin una regulación uniforme, los establecimientos adoptan sistemas heterogéneos según criterios propios, produciendo registros segregados y fragmentación informacional. Por su parte, </w:t>
      </w:r>
      <w:proofErr w:type="spellStart"/>
      <w:r>
        <w:t>Torab-Miandoab</w:t>
      </w:r>
      <w:proofErr w:type="spellEnd"/>
      <w:r>
        <w:t xml:space="preserve"> et al. (2023) subrayan que esta desarticulación no solo reduce la calidad de la atención y desperdicia recursos financieros, sino que hace imperativa la adopción de estándares como HL7 FHIR, CDA y SNOMED-CT para lograr una integración efectiva.</w:t>
      </w:r>
    </w:p>
    <w:p w14:paraId="02A8FB80" w14:textId="77777777" w:rsidR="00751FD9" w:rsidRDefault="006124A7">
      <w:r>
        <w:t xml:space="preserve">El panorama peruano refleja esta problemática de manera crítica. Bayona Castañeda (2019) documenta que un paciente puede tener tantas historias clínicas como establecimientos visita, como resultado de un sistema segmentado y fragmentado. Arrué Pajares y Vargas Rioja (2022) señalan la ausencia de sistemas interoperables que optimicen la gestión de citas, camas y referencias. Mauricio et al. (2024) advierten que actualmente no existe un sistema integrado de historias clínicas electrónicas compartible entre establecimientos, lo que incrementa costos por exámenes duplicados y tiempos adicionales de gestión clínica. Porras Gamarra </w:t>
      </w:r>
      <w:r>
        <w:lastRenderedPageBreak/>
        <w:t>(2024), con experiencia directa en interoperabilidad europea, contrasta que, durante la pandemia, mientras Europa debatía sobre estándares de mensajería, en Perú se construían sistemas aislados sin planificación ni estándares.</w:t>
      </w:r>
    </w:p>
    <w:p w14:paraId="27C520F0" w14:textId="77777777" w:rsidR="00751FD9" w:rsidRDefault="006124A7">
      <w:r>
        <w:t xml:space="preserve">Si bien el MINSA ha establecido un marco normativo para la interoperabilidad mediante la Infraestructura de Estándares de Datos en Salud (IEDS), la Red Nacional de Interoperabilidad en Datos de Salud (RNIEDS) y la Plataforma de Interoperabilidad de Datos Estándares de Salud (PIDESALUD), reguladas por la RM </w:t>
      </w:r>
      <w:proofErr w:type="spellStart"/>
      <w:r>
        <w:t>N°</w:t>
      </w:r>
      <w:proofErr w:type="spellEnd"/>
      <w:r>
        <w:t xml:space="preserve"> 1104-2018-MINSA, RM </w:t>
      </w:r>
      <w:proofErr w:type="spellStart"/>
      <w:r>
        <w:t>N°</w:t>
      </w:r>
      <w:proofErr w:type="spellEnd"/>
      <w:r>
        <w:t xml:space="preserve"> 464-2019-MINSA y RM </w:t>
      </w:r>
      <w:proofErr w:type="spellStart"/>
      <w:r>
        <w:t>N°</w:t>
      </w:r>
      <w:proofErr w:type="spellEnd"/>
      <w:r>
        <w:t xml:space="preserve"> 1193-2019-MINSA, su implementación no es uniforme. Como resultado, persisten brechas operativas concretas en los centros de salud del MINSA:</w:t>
      </w:r>
    </w:p>
    <w:p w14:paraId="508D5CF3" w14:textId="77777777" w:rsidR="00751FD9" w:rsidRDefault="006124A7" w:rsidP="001D61C6">
      <w:pPr>
        <w:numPr>
          <w:ilvl w:val="0"/>
          <w:numId w:val="68"/>
        </w:numPr>
      </w:pPr>
      <w:r>
        <w:rPr>
          <w:b/>
          <w:bCs/>
        </w:rPr>
        <w:t>Completitud de registros clínicos:</w:t>
      </w:r>
      <w:r>
        <w:t xml:space="preserve"> Información incompleta en historias clínicas que impide una visión integral del paciente.</w:t>
      </w:r>
    </w:p>
    <w:p w14:paraId="5A33A4E0" w14:textId="77777777" w:rsidR="00751FD9" w:rsidRDefault="006124A7" w:rsidP="001D61C6">
      <w:pPr>
        <w:numPr>
          <w:ilvl w:val="0"/>
          <w:numId w:val="68"/>
        </w:numPr>
      </w:pPr>
      <w:r>
        <w:rPr>
          <w:b/>
          <w:bCs/>
        </w:rPr>
        <w:t>Inconsistencias en codificación clínica:</w:t>
      </w:r>
      <w:r>
        <w:t xml:space="preserve"> Uso heterogéneo de CIE-10 y CPMS, afectando el registro y la trazabilidad diagnóstica.</w:t>
      </w:r>
    </w:p>
    <w:p w14:paraId="0A4913F9" w14:textId="77777777" w:rsidR="00751FD9" w:rsidRDefault="006124A7" w:rsidP="001D61C6">
      <w:pPr>
        <w:numPr>
          <w:ilvl w:val="0"/>
          <w:numId w:val="68"/>
        </w:numPr>
      </w:pPr>
      <w:r>
        <w:rPr>
          <w:b/>
          <w:bCs/>
        </w:rPr>
        <w:t>Duplicidad de información:</w:t>
      </w:r>
      <w:r>
        <w:t xml:space="preserve"> Múltiples registros de un mismo paciente y exámenes repetidos entre establecimientos.</w:t>
      </w:r>
    </w:p>
    <w:p w14:paraId="308FEED5" w14:textId="77777777" w:rsidR="00751FD9" w:rsidRDefault="006124A7" w:rsidP="001D61C6">
      <w:pPr>
        <w:numPr>
          <w:ilvl w:val="0"/>
          <w:numId w:val="68"/>
        </w:numPr>
      </w:pPr>
      <w:r>
        <w:rPr>
          <w:b/>
          <w:bCs/>
        </w:rPr>
        <w:t>Limitaciones en trazabilidad y continuidad:</w:t>
      </w:r>
      <w:r>
        <w:t xml:space="preserve"> Dificultad para dar seguimiento a la atención entre distintos niveles y redes de salud.</w:t>
      </w:r>
    </w:p>
    <w:p w14:paraId="1CCA1DC6" w14:textId="77777777" w:rsidR="00751FD9" w:rsidRDefault="006124A7">
      <w:r>
        <w:t>La Organización Panamericana de la Salud (OPS, 2024) define la interoperabilidad como la capacidad de diferentes sistemas para intercambiar datos con exactitud, efectividad y consistencia, distinguiendo entre interoperabilidad técnica (transferencia fiable) e interoperabilidad semántica (comprensión mutua de la información). HL7 FHIR emerge como el estándar internacional más prometedor para abordar ambas dimensiones, tal como evidencian Vorisek et al. (2022) en su revisión sobre usos de FHIR en investigación, y Holmgren et al. (2023) en el análisis de marcos de políticas de interoperabilidad en países con mayor madurez.</w:t>
      </w:r>
    </w:p>
    <w:p w14:paraId="10E4F7D8" w14:textId="77777777" w:rsidR="00751FD9" w:rsidRDefault="006124A7">
      <w:r>
        <w:t xml:space="preserve">Esta evidencia se complementa con hallazgos recientes sobre gobernanza e implementación: Richwine et al. (2025) muestran que la participación institucional en organizaciones de intercambio (HIO) incrementa de forma significativa el intercambio clínico efectivo; Raab et al. (2023) plantean arquitecturas federadas </w:t>
      </w:r>
      <w:r>
        <w:lastRenderedPageBreak/>
        <w:t xml:space="preserve">orientadas al control ciudadano de datos en el EHDS; Pedrera-Jiménez et al. (2023) demuestran la viabilidad de enfoques agnósticos donde </w:t>
      </w:r>
      <w:proofErr w:type="spellStart"/>
      <w:r>
        <w:t>OpenEHR</w:t>
      </w:r>
      <w:proofErr w:type="spellEnd"/>
      <w:r>
        <w:t>, ISO 13606 y FHIR coexisten por capas; y Chatterjee et al. (2022) validan, en prueba de concepto, que la combinación FHIR + SNOMED-CT reduce pérdidas semánticas en intercambio bidireccional.</w:t>
      </w:r>
    </w:p>
    <w:p w14:paraId="3B04D4D0" w14:textId="77777777" w:rsidR="00751FD9" w:rsidRDefault="006124A7">
      <w:r>
        <w:t>A pesar de la existencia de la normativa y avances en estándares de interoperabilidad, no se evidencian propuestas aplicadas y evaluadas en el contexto de los centros de salud del MINSA que integren un modelo basado en HL7 FHIR alineado a la normativa nacional y que demuestren empíricamente mejoras en la calidad del intercambio de información clínica. Esta ausencia constituye una brecha tanto práctica como científica que limita la toma de decisiones basada en evidencia en procesos de transformación digital en salud.</w:t>
      </w:r>
    </w:p>
    <w:p w14:paraId="43650402" w14:textId="77777777" w:rsidR="00751FD9" w:rsidRDefault="006124A7">
      <w:r>
        <w:t>Frente a este panorama, se requiere una propuesta de intervención fundamentada en la evidencia que permita:</w:t>
      </w:r>
    </w:p>
    <w:p w14:paraId="15578F67" w14:textId="77777777" w:rsidR="00751FD9" w:rsidRDefault="006124A7">
      <w:r>
        <w:t>1.- Diagnosticar las brechas de interoperabilidad con instrumentos validados.</w:t>
      </w:r>
    </w:p>
    <w:p w14:paraId="5B25319E" w14:textId="77777777" w:rsidR="00751FD9" w:rsidRDefault="006124A7">
      <w:r>
        <w:t>2.- Implementar una capa de integración basada en HL7 FHIR alineada con los estándares internacionales y el marco normativo nacional.</w:t>
      </w:r>
    </w:p>
    <w:p w14:paraId="3CED5403" w14:textId="77777777" w:rsidR="00751FD9" w:rsidRDefault="006124A7">
      <w:r>
        <w:t>3.- Evaluar sus efectos medibles en la calidad del intercambio de información clínica del paciente.</w:t>
      </w:r>
    </w:p>
    <w:p w14:paraId="77BCDA38" w14:textId="77777777" w:rsidR="00751FD9" w:rsidRDefault="006124A7">
      <w:r>
        <w:t>La presente investigación responde a esta necesidad integrando las tres fases en un modelo coherente y replicable.</w:t>
      </w:r>
    </w:p>
    <w:p w14:paraId="230C7C19" w14:textId="1943D248" w:rsidR="00751FD9" w:rsidRDefault="006124A7">
      <w:pPr>
        <w:pStyle w:val="Ttulo3"/>
      </w:pPr>
      <w:bookmarkStart w:id="8" w:name="formulación-del-problema"/>
      <w:bookmarkStart w:id="9" w:name="_Toc225537537"/>
      <w:bookmarkEnd w:id="6"/>
      <w:r>
        <w:t>1.1.2.- Formulación del problema</w:t>
      </w:r>
      <w:bookmarkEnd w:id="9"/>
    </w:p>
    <w:p w14:paraId="31019856" w14:textId="77777777" w:rsidR="00751FD9" w:rsidRDefault="006124A7">
      <w:r>
        <w:t xml:space="preserve">1.- </w:t>
      </w:r>
      <w:r>
        <w:rPr>
          <w:i/>
          <w:iCs/>
        </w:rPr>
        <w:t>Problema general</w:t>
      </w:r>
    </w:p>
    <w:p w14:paraId="253DD923" w14:textId="77777777" w:rsidR="00751FD9" w:rsidRDefault="006124A7">
      <w:r>
        <w:t>¿De qué manera un modelo de interoperabilidad basado en HL7 FHIR contribuye a mejorar el intercambio de información clínica en los centros de salud del MINSA del Perú, considerando las brechas de interoperabilidad existentes, los requerimientos técnicos y normativos, y los efectos medibles en la calidad del intercambio?</w:t>
      </w:r>
    </w:p>
    <w:p w14:paraId="50BFC88A" w14:textId="77777777" w:rsidR="00751FD9" w:rsidRDefault="006124A7">
      <w:r>
        <w:t xml:space="preserve">2.- </w:t>
      </w:r>
      <w:r>
        <w:rPr>
          <w:i/>
          <w:iCs/>
        </w:rPr>
        <w:t>Problemas específicos</w:t>
      </w:r>
    </w:p>
    <w:p w14:paraId="687D3225" w14:textId="77777777" w:rsidR="00751FD9" w:rsidRDefault="006124A7" w:rsidP="001D61C6">
      <w:pPr>
        <w:numPr>
          <w:ilvl w:val="0"/>
          <w:numId w:val="59"/>
        </w:numPr>
      </w:pPr>
      <w:r>
        <w:lastRenderedPageBreak/>
        <w:t>¿Cuáles son las brechas de interoperabilidad actuales en los centros de salud del MINSA del Perú en cuanto a completitud, codificación, duplicidad y trazabilidad de la información clínica?</w:t>
      </w:r>
    </w:p>
    <w:p w14:paraId="25F99161" w14:textId="77777777" w:rsidR="00751FD9" w:rsidRDefault="006124A7" w:rsidP="001D61C6">
      <w:pPr>
        <w:numPr>
          <w:ilvl w:val="0"/>
          <w:numId w:val="59"/>
        </w:numPr>
      </w:pPr>
      <w:r>
        <w:t>¿Cuáles son los requerimientos técnicos, funcionales y normativos que debe satisfacer un modelo de interoperabilidad basado en HL7 FHIR para ser compatible con la infraestructura existente y el marco regulatorio nacional (IEDS, RNIEDS, PIDESALUD)?</w:t>
      </w:r>
    </w:p>
    <w:p w14:paraId="724B0B34" w14:textId="77777777" w:rsidR="00751FD9" w:rsidRDefault="006124A7" w:rsidP="001D61C6">
      <w:pPr>
        <w:numPr>
          <w:ilvl w:val="0"/>
          <w:numId w:val="59"/>
        </w:numPr>
      </w:pPr>
      <w:r>
        <w:t>¿Cómo debe diseñarse e implementarse una capa de interoperabilidad basada en HL7 FHIR que integre sistemas heterogéneos en centros de salud del MINSA?</w:t>
      </w:r>
    </w:p>
    <w:p w14:paraId="43F9C958" w14:textId="77777777" w:rsidR="00751FD9" w:rsidRDefault="006124A7" w:rsidP="001D61C6">
      <w:pPr>
        <w:numPr>
          <w:ilvl w:val="0"/>
          <w:numId w:val="59"/>
        </w:numPr>
      </w:pPr>
      <w:r>
        <w:t>¿Cuál es el efecto de la implementación del modelo propuesto en indicadores de calidad del intercambio de información clínica (integridad, consistencia, disponibilidad y continuidad)?</w:t>
      </w:r>
    </w:p>
    <w:p w14:paraId="60AE0DC2" w14:textId="62BEDFF4" w:rsidR="00751FD9" w:rsidRDefault="006124A7">
      <w:pPr>
        <w:pStyle w:val="Ttulo2"/>
      </w:pPr>
      <w:bookmarkStart w:id="10" w:name="determinación-de-objetivos"/>
      <w:bookmarkStart w:id="11" w:name="_Toc225537538"/>
      <w:bookmarkEnd w:id="4"/>
      <w:bookmarkEnd w:id="8"/>
      <w:r>
        <w:t>1.2. Determinación de objetivos</w:t>
      </w:r>
      <w:bookmarkEnd w:id="11"/>
    </w:p>
    <w:p w14:paraId="1052AEAF" w14:textId="7778309B" w:rsidR="00751FD9" w:rsidRDefault="006124A7">
      <w:pPr>
        <w:pStyle w:val="Ttulo3"/>
      </w:pPr>
      <w:bookmarkStart w:id="12" w:name="objetivo-general"/>
      <w:bookmarkStart w:id="13" w:name="_Toc225537539"/>
      <w:r>
        <w:t>1.2.1.- Objetivo general</w:t>
      </w:r>
      <w:bookmarkEnd w:id="13"/>
    </w:p>
    <w:p w14:paraId="4F0435EE" w14:textId="77777777" w:rsidR="00751FD9" w:rsidRDefault="006124A7">
      <w:r>
        <w:t>Proponer un modelo de interoperabilidad basado en HL7 FHIR para mejorar el intercambio de información clínica en centros de salud del MINSA del Perú, mediante un proceso estructurado de diagnóstico de brechas, diseño e implementación de una capa de integración piloto, y evaluación de sus efectos en indicadores de calidad de la información.</w:t>
      </w:r>
    </w:p>
    <w:p w14:paraId="6F95DACD" w14:textId="3E53245D" w:rsidR="00751FD9" w:rsidRDefault="006124A7">
      <w:pPr>
        <w:pStyle w:val="Ttulo3"/>
      </w:pPr>
      <w:bookmarkStart w:id="14" w:name="objetivos-específicos"/>
      <w:bookmarkStart w:id="15" w:name="_Toc225537540"/>
      <w:bookmarkEnd w:id="12"/>
      <w:r>
        <w:t>1.2.2.- Objetivos específicos</w:t>
      </w:r>
      <w:bookmarkEnd w:id="15"/>
    </w:p>
    <w:p w14:paraId="62F7E787" w14:textId="77777777" w:rsidR="00751FD9" w:rsidRDefault="006124A7">
      <w:pPr>
        <w:numPr>
          <w:ilvl w:val="0"/>
          <w:numId w:val="60"/>
        </w:numPr>
      </w:pPr>
      <w:r>
        <w:t>Diagnosticar las brechas de interoperabilidad en los centros de salud del MINSA del Perú, particularmente en las dimensiones de completitud de registros, consistencia en la codificación clínica (CIE-10, CPMS), duplicidad de información y trazabilidad de la atención.</w:t>
      </w:r>
    </w:p>
    <w:p w14:paraId="5B7A0606" w14:textId="77777777" w:rsidR="00751FD9" w:rsidRDefault="006124A7">
      <w:pPr>
        <w:numPr>
          <w:ilvl w:val="0"/>
          <w:numId w:val="60"/>
        </w:numPr>
      </w:pPr>
      <w:r>
        <w:t>Diseñar e implementar una capa de integración piloto basada en HL7 FHIR que atienda las brechas de interoperabilidad identificadas en la fase diagnóstica, considerando los requerimientos técnicos y el marco normativo vigente (IEDS, RNIEDS, PIDESALUD).</w:t>
      </w:r>
    </w:p>
    <w:p w14:paraId="7346082A" w14:textId="77777777" w:rsidR="00751FD9" w:rsidRDefault="006124A7">
      <w:pPr>
        <w:numPr>
          <w:ilvl w:val="0"/>
          <w:numId w:val="60"/>
        </w:numPr>
      </w:pPr>
      <w:r>
        <w:lastRenderedPageBreak/>
        <w:t xml:space="preserve">Evaluar el efecto del modelo de interoperabilidad implementado mediante un diseño </w:t>
      </w:r>
      <w:proofErr w:type="spellStart"/>
      <w:r>
        <w:t>pre-post</w:t>
      </w:r>
      <w:proofErr w:type="spellEnd"/>
      <w:r>
        <w:t xml:space="preserve"> intervención, a través de indicadores cuantitativos de integridad, consistencia, disponibilidad y continuidad de la información clínica intercambiada.</w:t>
      </w:r>
    </w:p>
    <w:p w14:paraId="60B43A5A" w14:textId="77777777" w:rsidR="00751FD9" w:rsidRDefault="006124A7">
      <w:pPr>
        <w:numPr>
          <w:ilvl w:val="0"/>
          <w:numId w:val="60"/>
        </w:numPr>
      </w:pPr>
      <w:r>
        <w:t>Formular lineamientos técnicos y operativos para la escalabilidad del modelo de interoperabilidad propuesto, basados en los resultados de la implementación piloto y alineados con la infraestructura de estándares de datos en salud del MINSA.</w:t>
      </w:r>
    </w:p>
    <w:p w14:paraId="7D2F7BB6" w14:textId="48D1AE54" w:rsidR="00751FD9" w:rsidRDefault="006124A7">
      <w:pPr>
        <w:pStyle w:val="Ttulo2"/>
      </w:pPr>
      <w:bookmarkStart w:id="16" w:name="justificación-e-importancia-del-estudio"/>
      <w:bookmarkStart w:id="17" w:name="_Toc225537541"/>
      <w:bookmarkEnd w:id="10"/>
      <w:bookmarkEnd w:id="14"/>
      <w:r>
        <w:t>1.3. Justificación e importancia del estudio</w:t>
      </w:r>
      <w:bookmarkEnd w:id="17"/>
    </w:p>
    <w:p w14:paraId="21AA0056" w14:textId="0BAA715A" w:rsidR="00751FD9" w:rsidRDefault="006124A7">
      <w:pPr>
        <w:pStyle w:val="Ttulo3"/>
      </w:pPr>
      <w:bookmarkStart w:id="18" w:name="justificación-teórica"/>
      <w:bookmarkStart w:id="19" w:name="_Toc225537542"/>
      <w:r>
        <w:t>1.3.1.- Justificación teórica</w:t>
      </w:r>
      <w:bookmarkEnd w:id="19"/>
    </w:p>
    <w:p w14:paraId="11DBA99A" w14:textId="77777777" w:rsidR="00751FD9" w:rsidRDefault="006124A7">
      <w:r>
        <w:t>Como se evidenció en el planteamiento del problema (sección 1.1), la ausencia de propuestas aplicadas y evaluadas que integren un modelo basado en HL7 FHIR alineado a la normativa nacional constituye una brecha tanto práctica como científica. La presente investigación aporta al cierre de esta brecha al articular, en un marco analítico conjunto, las dimensiones estructural, semántica y tecnológica de la interoperabilidad con la evaluación de su impacto en las cuatro brechas diagnósticas identificadas: completitud de registros, consistencia en la codificación clínica, duplicidad de información y trazabilidad de la atención.</w:t>
      </w:r>
    </w:p>
    <w:p w14:paraId="330641ED" w14:textId="77777777" w:rsidR="00751FD9" w:rsidRDefault="006124A7">
      <w:r>
        <w:t xml:space="preserve">A través de una revisión de mapeo sistemático de más de 70 estudios sobre FHIR e interoperabilidad semántica, Amar et al. (2024) identificaron seis tipos de estrategias: mapeo (24,6%), servicios terminológicos (14,3%), enfoques con RDF/OWL (19%), mecanismos de anotación (14,3%), técnicas de aprendizaje automático y procesamiento del lenguaje natural (15,9%), y ontologías (11,9%). No obstante, los autores subrayan la falta de marcos que integren estas estrategias con la evaluación de impactos en contextos de operación específicos. De manera convergente, Tabari et al. (2024), en su revisión comprensiva sobre modelos de datos en FHIR, sostienen que, si bien el estándar posee un alto potencial transformador, aún se requieren ajustes contextuales para superar sus limitaciones y lograr implementaciones efectivas. La presente investigación aborda esta carencia al conectar estándares internacionales (HL7 FHIR, HL7 CDA, DICOM) con el marco regulatorio peruano (RM </w:t>
      </w:r>
      <w:proofErr w:type="spellStart"/>
      <w:r>
        <w:t>N.°</w:t>
      </w:r>
      <w:proofErr w:type="spellEnd"/>
      <w:r>
        <w:t xml:space="preserve"> 1104-2018-MINSA, RM </w:t>
      </w:r>
      <w:proofErr w:type="spellStart"/>
      <w:r>
        <w:t>N.°</w:t>
      </w:r>
      <w:proofErr w:type="spellEnd"/>
      <w:r>
        <w:t xml:space="preserve"> 464-2019-</w:t>
      </w:r>
      <w:r>
        <w:lastRenderedPageBreak/>
        <w:t xml:space="preserve">MINSA, RM </w:t>
      </w:r>
      <w:proofErr w:type="spellStart"/>
      <w:r>
        <w:t>N.°</w:t>
      </w:r>
      <w:proofErr w:type="spellEnd"/>
      <w:r>
        <w:t xml:space="preserve"> 1193-2019-MINSA), generando evidencia sobre su implementación práctica en sistemas públicos gestionados por el MINSA.</w:t>
      </w:r>
    </w:p>
    <w:p w14:paraId="121BF7CB" w14:textId="77777777" w:rsidR="00751FD9" w:rsidRDefault="006124A7">
      <w:r>
        <w:t>Complementariamente, Gaudet-</w:t>
      </w:r>
      <w:proofErr w:type="spellStart"/>
      <w:r>
        <w:t>Blavignac</w:t>
      </w:r>
      <w:proofErr w:type="spellEnd"/>
      <w:r>
        <w:t xml:space="preserve"> et al. (2021) proponen una estrategia semántica de tres pilares para el uso secundario de datos en redes nacionales, y Monsen et al. (2023) demuestran que el uso de terminologías estandarizadas en FHIR incrementa la reutilización de datos clínicos para analítica y toma de decisiones. Estos aportes refuerzan la pertinencia de un modelo que no solo atienda la integración técnica de sistemas, sino que preserve el significado clínico —aspecto directamente vinculado a las dimensiones de codificación y trazabilidad planteadas en los objetivos específicos— y habilite el valor posterior del dato.</w:t>
      </w:r>
    </w:p>
    <w:p w14:paraId="55FDE04A" w14:textId="734426A3" w:rsidR="00751FD9" w:rsidRDefault="006124A7">
      <w:pPr>
        <w:pStyle w:val="Ttulo3"/>
      </w:pPr>
      <w:bookmarkStart w:id="20" w:name="justificación-metodológica"/>
      <w:bookmarkStart w:id="21" w:name="_Toc225537543"/>
      <w:bookmarkEnd w:id="18"/>
      <w:r>
        <w:t>1.3.2.- Justificación metodológica</w:t>
      </w:r>
      <w:bookmarkEnd w:id="21"/>
    </w:p>
    <w:p w14:paraId="079263E8" w14:textId="77777777" w:rsidR="00751FD9" w:rsidRDefault="006124A7">
      <w:r>
        <w:t xml:space="preserve">El enfoque metodológico de la presente investigación se estructura en tres fases secuenciales —diagnóstico de brechas, implementación piloto y evaluación de efectos— alineadas con el proceso lógico establecido en los objetivos (sección 1.2). Este diseño es consistente con las metodologías predominantes en estudios recientes del sector. </w:t>
      </w:r>
      <w:proofErr w:type="spellStart"/>
      <w:r>
        <w:t>Adelusi</w:t>
      </w:r>
      <w:proofErr w:type="spellEnd"/>
      <w:r>
        <w:t xml:space="preserve"> et al. (2025) evaluaron una arquitectura de interoperabilidad federada basada en FHIR, analizando velocidad de respuesta, precisión de datos y escalabilidad, obteniendo más del 95% de exactitud en la captura de información y una reducción del 38% en la latencia respecto de arquitecturas centralizadas. Asimismo, Liu et al. (2023) validaron un sistema de registros médicos electrónicos basado en FHIR mediante pruebas de carga con Apache </w:t>
      </w:r>
      <w:proofErr w:type="spellStart"/>
      <w:r>
        <w:t>JMeter</w:t>
      </w:r>
      <w:proofErr w:type="spellEnd"/>
      <w:r>
        <w:t xml:space="preserve">, demostrando que la sustitución de </w:t>
      </w:r>
      <w:proofErr w:type="spellStart"/>
      <w:r>
        <w:t>gateways</w:t>
      </w:r>
      <w:proofErr w:type="spellEnd"/>
      <w:r>
        <w:t xml:space="preserve"> por servidores FHIR reduce significativamente los tiempos y costos asociados con la transformación de datos.</w:t>
      </w:r>
    </w:p>
    <w:p w14:paraId="160F79C6" w14:textId="77777777" w:rsidR="00751FD9" w:rsidRDefault="006124A7">
      <w:r>
        <w:t xml:space="preserve">La presente investigación adopta un diseño </w:t>
      </w:r>
      <w:proofErr w:type="spellStart"/>
      <w:r>
        <w:t>pre-experimental</w:t>
      </w:r>
      <w:proofErr w:type="spellEnd"/>
      <w:r>
        <w:t xml:space="preserve"> con comparación </w:t>
      </w:r>
      <w:proofErr w:type="spellStart"/>
      <w:r>
        <w:t>pre-post</w:t>
      </w:r>
      <w:proofErr w:type="spellEnd"/>
      <w:r>
        <w:t xml:space="preserve"> intervención, que permite medir los cambios en los indicadores de calidad definidos en los objetivos específicos —integridad, consistencia, disponibilidad y continuidad de la información clínica— antes y después de la implementación de la capa FHIR. Este diseño garantiza replicabilidad en otros entornos de atención, al especificar herramientas, parámetros e indicadores con total claridad. La </w:t>
      </w:r>
      <w:r>
        <w:lastRenderedPageBreak/>
        <w:t xml:space="preserve">comparación </w:t>
      </w:r>
      <w:proofErr w:type="spellStart"/>
      <w:r>
        <w:t>pre-post</w:t>
      </w:r>
      <w:proofErr w:type="spellEnd"/>
      <w:r>
        <w:t xml:space="preserve"> proporciona evidencia empírica sobre la efectividad del modelo en las dimensiones diagnosticadas.</w:t>
      </w:r>
    </w:p>
    <w:p w14:paraId="6ABF6723" w14:textId="77777777" w:rsidR="00751FD9" w:rsidRDefault="006124A7">
      <w:r>
        <w:t xml:space="preserve">Adicionalmente, </w:t>
      </w:r>
      <w:proofErr w:type="spellStart"/>
      <w:r>
        <w:t>Mukhiya</w:t>
      </w:r>
      <w:proofErr w:type="spellEnd"/>
      <w:r>
        <w:t xml:space="preserve"> et al. (2021) evidencian que capas de interoperabilidad basadas en FHIR con interfaces flexibles (</w:t>
      </w:r>
      <w:proofErr w:type="spellStart"/>
      <w:r>
        <w:t>GraphQL</w:t>
      </w:r>
      <w:proofErr w:type="spellEnd"/>
      <w:r>
        <w:t>) reducen el acoplamiento entre sistemas heterogéneos, y Richwine et al. (2025) reportan que los mayores beneficios se materializan cuando la integración técnica se acompaña de mecanismos de gobernanza del intercambio. Ambos hallazgos respaldan el enfoque metodológico del estudio, que combina diseño técnico de integración con evaluación operacional de resultados alineada a las brechas específicas identificadas en la fase diagnóstica.</w:t>
      </w:r>
    </w:p>
    <w:p w14:paraId="2EFD9A6E" w14:textId="5D0B2B77" w:rsidR="001D61C6" w:rsidRDefault="001D61C6">
      <w:r>
        <w:rPr>
          <w:noProof/>
        </w:rPr>
        <w:drawing>
          <wp:inline distT="0" distB="0" distL="0" distR="0" wp14:anchorId="1C267499" wp14:editId="773ADCF4">
            <wp:extent cx="5565775" cy="1738630"/>
            <wp:effectExtent l="0" t="0" r="0" b="0"/>
            <wp:docPr id="1688462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65775" cy="1738630"/>
                    </a:xfrm>
                    <a:prstGeom prst="rect">
                      <a:avLst/>
                    </a:prstGeom>
                    <a:noFill/>
                    <a:ln>
                      <a:noFill/>
                    </a:ln>
                  </pic:spPr>
                </pic:pic>
              </a:graphicData>
            </a:graphic>
          </wp:inline>
        </w:drawing>
      </w:r>
    </w:p>
    <w:p w14:paraId="19BA0333" w14:textId="77777777" w:rsidR="00751FD9" w:rsidRPr="001D61C6" w:rsidRDefault="006124A7" w:rsidP="001D61C6">
      <w:pPr>
        <w:jc w:val="center"/>
        <w:rPr>
          <w:i/>
          <w:iCs/>
        </w:rPr>
      </w:pPr>
      <w:r w:rsidRPr="001D61C6">
        <w:rPr>
          <w:i/>
          <w:iCs/>
        </w:rPr>
        <w:t>Fases del enfoque metodológico</w:t>
      </w:r>
    </w:p>
    <w:p w14:paraId="10197454" w14:textId="4C75EE2B" w:rsidR="00751FD9" w:rsidRDefault="006124A7">
      <w:pPr>
        <w:pStyle w:val="Ttulo3"/>
      </w:pPr>
      <w:bookmarkStart w:id="22" w:name="justificación-social"/>
      <w:bookmarkStart w:id="23" w:name="_Toc225537544"/>
      <w:bookmarkEnd w:id="20"/>
      <w:r>
        <w:t>1.3.3.- Justificación social</w:t>
      </w:r>
      <w:bookmarkEnd w:id="23"/>
    </w:p>
    <w:p w14:paraId="3B9061DB" w14:textId="77777777" w:rsidR="00751FD9" w:rsidRDefault="006124A7">
      <w:r>
        <w:t xml:space="preserve">Las brechas de interoperabilidad descritas en el planteamiento del problema —registros incompletos, codificación heterogénea, duplicidad de información y limitaciones en la trazabilidad— tienen consecuencias directas sobre la calidad de atención a los usuarios de los establecimientos del MINSA, especialmente en poblaciones vulnerables con cobertura financiera del SIS. De acuerdo con Holmgren et al. (2023), una interoperabilidad eficiente puede frenar el aumento de los gastos en salud al disminuir el uso innecesario de servicios y aliviar la carga administrativa para los pacientes al permitir que sus datos los acompañen de manera consistente a lo largo de su atención. De igual manera, Pimenta et al. (2023) argumentan que el tratamiento adecuado de un paciente solo se logra cuando los profesionales de la salud tienen acceso a la información más reciente y </w:t>
      </w:r>
      <w:r>
        <w:lastRenderedPageBreak/>
        <w:t>completa, siendo la interoperabilidad condición esencial para una atención de calidad.</w:t>
      </w:r>
    </w:p>
    <w:p w14:paraId="2D06CFE6" w14:textId="77777777" w:rsidR="00751FD9" w:rsidRDefault="006124A7">
      <w:r>
        <w:t>La OPS (2024) resalta que la interoperabilidad posibilita que los sistemas de información crucen los límites organizacionales y fomenten la prestación de servicios eficaces, al proporcionar la información pertinente a los proveedores de atención para que puedan entender y atender la salud de los individuos y las comunidades. Contar con información clínica más íntegra, consistente, disponible y trazable —las cuatro dimensiones de calidad que evalúa esta investigación— mejora la seguridad del paciente, disminuye la posibilidad de errores derivados de información fragmentada y promueve una atención más equitativa dentro del sistema público de salud peruano.</w:t>
      </w:r>
    </w:p>
    <w:p w14:paraId="79626D03" w14:textId="77777777" w:rsidR="00751FD9" w:rsidRDefault="006124A7">
      <w:r>
        <w:t>En el plano nacional, la evidencia reciente vincula la madurez de la historia clínica electrónica con resultados de gestión y atención: Esparza Morgan (2025) identifica una asociación positiva entre el uso de HCE única y la mejora de la gestión de calidad hospitalaria, Arias Geronimo (2025) reporta una relación significativa entre la confiabilidad del registro electrónico y el desempeño en servicios preventivos, y Morales-Camargo y Meneses-Claudio (2023) destacan efectos favorables de los registros médicos electrónicos en eficiencia y soporte a la decisión clínica cuando existen condiciones de estandarización y capacitación. Estos hallazgos refuerzan que mejorar la interoperabilidad en los centros de salud del MINSA —objetivo central de esta tesis— no solo es una necesidad técnica, sino una condición para fortalecer la calidad, equidad y continuidad asistencial en el sistema público de salud del Perú.</w:t>
      </w:r>
    </w:p>
    <w:p w14:paraId="4FFD10B6" w14:textId="27FABF08" w:rsidR="00751FD9" w:rsidRDefault="006124A7">
      <w:pPr>
        <w:pStyle w:val="Ttulo2"/>
      </w:pPr>
      <w:bookmarkStart w:id="24" w:name="X1166850eae083e51f6b1ddc224ad8ea5ed19ed6"/>
      <w:bookmarkStart w:id="25" w:name="_Toc225537545"/>
      <w:bookmarkEnd w:id="16"/>
      <w:bookmarkEnd w:id="22"/>
      <w:r>
        <w:t>1.4. Limitaciones de la presente investigación</w:t>
      </w:r>
      <w:bookmarkEnd w:id="25"/>
    </w:p>
    <w:p w14:paraId="3A770370" w14:textId="54B635AF" w:rsidR="00751FD9" w:rsidRDefault="006124A7">
      <w:pPr>
        <w:pStyle w:val="Ttulo3"/>
      </w:pPr>
      <w:bookmarkStart w:id="26" w:name="disponibilidad-y-calidad-de-los-datos"/>
      <w:bookmarkStart w:id="27" w:name="_Toc225537546"/>
      <w:r>
        <w:t>1.4.1.- Disponibilidad y calidad de los datos</w:t>
      </w:r>
      <w:bookmarkEnd w:id="27"/>
    </w:p>
    <w:p w14:paraId="02CBBA0E" w14:textId="77777777" w:rsidR="00751FD9" w:rsidRDefault="006124A7">
      <w:r>
        <w:t xml:space="preserve">Los registros clínico-administrativos de los establecimientos del MINSA presentan deficiencias estructurales, inconsistencias semánticas y ausencia de estándares uniformes, lo que afecta la exactitud de la fase diagnóstica de brechas definida en el objetivo específico 1. </w:t>
      </w:r>
      <w:proofErr w:type="spellStart"/>
      <w:r>
        <w:t>Torab-Miandoab</w:t>
      </w:r>
      <w:proofErr w:type="spellEnd"/>
      <w:r>
        <w:t xml:space="preserve"> et al. (2023), en su revisión sistemática de 45 estudios sobre sistemas EHR heterogéneos, documentan que los esquemas propietarios y la variabilidad en las convenciones de registro (por ejemplo, </w:t>
      </w:r>
      <w:r>
        <w:lastRenderedPageBreak/>
        <w:t>diferencias de nomenclatura entre establecimientos para un mismo diagnóstico) incrementan sustancialmente la complejidad de normalización y mapeo de datos, lo cual es directamente relevante para las brechas de codificación y completitud identificadas en el planteamiento del problema.</w:t>
      </w:r>
    </w:p>
    <w:p w14:paraId="5CAD60CF" w14:textId="77777777" w:rsidR="00751FD9" w:rsidRDefault="006124A7">
      <w:r>
        <w:t>En el contexto peruano, esta limitación se manifiesta de manera concreta: los sistemas emplean esquemas propietarios no estandarizados que dificultan la extracción uniforme de datos, y la variabilidad en nomenclaturas clínicas entre establecimientos exige mapeos manuales que pueden introducir errores. Adicionalmente, la proporción de registros con campos incompletos en los sistemas del MINSA compromete la representatividad de la muestra diagnóstica y podría subestimar —o sobreestimar— la magnitud real de las brechas de completitud y codificación.</w:t>
      </w:r>
    </w:p>
    <w:p w14:paraId="0267C81C" w14:textId="77777777" w:rsidR="00751FD9" w:rsidRDefault="006124A7">
      <w:r>
        <w:rPr>
          <w:b/>
          <w:bCs/>
        </w:rPr>
        <w:t>Estrategia de mitigación:</w:t>
      </w:r>
      <w:r>
        <w:t xml:space="preserve"> Se implementarán criterios de exclusión para registros con grado de incompletitud superior a un umbral previamente definido, y se documentará el porcentaje de datos excluidos para delimitar con transparencia el alcance real de la muestra analizada.</w:t>
      </w:r>
    </w:p>
    <w:p w14:paraId="62749BA8" w14:textId="07C1E666" w:rsidR="00751FD9" w:rsidRDefault="006124A7" w:rsidP="001D61C6">
      <w:pPr>
        <w:pStyle w:val="Ttulo3"/>
        <w:ind w:left="708" w:hanging="708"/>
      </w:pPr>
      <w:bookmarkStart w:id="28" w:name="acceso-a-fuentes-de-información"/>
      <w:bookmarkStart w:id="29" w:name="_Toc225537547"/>
      <w:bookmarkEnd w:id="26"/>
      <w:r>
        <w:t>1.4.2.- Acceso a fuentes de información</w:t>
      </w:r>
      <w:bookmarkEnd w:id="29"/>
    </w:p>
    <w:p w14:paraId="2E8472CC" w14:textId="77777777" w:rsidR="00751FD9" w:rsidRDefault="006124A7">
      <w:r>
        <w:t xml:space="preserve">La obtención de autorizaciones para acceder a los datos de los sistemas del MINSA enfrenta retrasos regulatorios derivados de las revisiones de comités de ética (IRB) y el cumplimiento de la Ley 29733 de Protección de Datos Personales. A estos plazos se suman restricciones técnicas específicas, como límites de velocidad en puntos de acceso o permisos de solo lectura en </w:t>
      </w:r>
      <w:proofErr w:type="spellStart"/>
      <w:r>
        <w:t>endpoints</w:t>
      </w:r>
      <w:proofErr w:type="spellEnd"/>
      <w:r>
        <w:t xml:space="preserve"> FHIR disponibles. Esta situación dificulta la incorporación oportuna de datos, especialmente en un entorno con divisiones verticales entre aseguramiento (SIS) y prestación (MINSA/HIS).</w:t>
      </w:r>
    </w:p>
    <w:p w14:paraId="2A34C2C5" w14:textId="77777777" w:rsidR="00751FD9" w:rsidRDefault="006124A7">
      <w:r>
        <w:t>Mauricio et al. (2024), con base en su encuesta a 120 proveedores de salud en Perú, reportan hallazgos que dimensionan esta limitación:</w:t>
      </w:r>
    </w:p>
    <w:p w14:paraId="4520BE0E" w14:textId="77777777" w:rsidR="00751FD9" w:rsidRDefault="006124A7">
      <w:pPr>
        <w:numPr>
          <w:ilvl w:val="0"/>
          <w:numId w:val="61"/>
        </w:numPr>
      </w:pPr>
      <w:r>
        <w:t xml:space="preserve">Apenas el 42 % de las instalaciones urbanas y el 18 % de las rurales cuentan con sistemas EHR operativos; en regiones de sierra y selva, el 65 % aún depende de registros en papel o planillas sin </w:t>
      </w:r>
      <w:proofErr w:type="spellStart"/>
      <w:r>
        <w:t>APIs</w:t>
      </w:r>
      <w:proofErr w:type="spellEnd"/>
      <w:r>
        <w:t xml:space="preserve"> disponibles, lo que restringe la verificación de las dimensiones de completitud y codificación.</w:t>
      </w:r>
    </w:p>
    <w:p w14:paraId="14280BA9" w14:textId="77777777" w:rsidR="00751FD9" w:rsidRDefault="006124A7">
      <w:pPr>
        <w:numPr>
          <w:ilvl w:val="0"/>
          <w:numId w:val="61"/>
        </w:numPr>
      </w:pPr>
      <w:r>
        <w:lastRenderedPageBreak/>
        <w:t>Las zonas rurales reportan que el 72 % de las interrupciones afectan la continuidad de la atención —por ejemplo, traslados interhospitalarios sin historial digital—, con tiempos de conciliación manual de 48 a 72 horas, situación que compromete directamente la trazabilidad.</w:t>
      </w:r>
    </w:p>
    <w:p w14:paraId="5F540D70" w14:textId="77777777" w:rsidR="00751FD9" w:rsidRDefault="006124A7">
      <w:pPr>
        <w:numPr>
          <w:ilvl w:val="0"/>
          <w:numId w:val="61"/>
        </w:numPr>
      </w:pPr>
      <w:r>
        <w:t>Solo el 22 % de los establecimientos posee integraciones HL7/FHIR; el resto recurre a documentos PDF escaneados, lo que eleva la tasa de errores en la entrada de datos al 35 % y dificulta la evaluación de la codificación estandarizada.</w:t>
      </w:r>
    </w:p>
    <w:p w14:paraId="3694609F" w14:textId="77777777" w:rsidR="00751FD9" w:rsidRDefault="006124A7">
      <w:pPr>
        <w:numPr>
          <w:ilvl w:val="0"/>
          <w:numId w:val="61"/>
        </w:numPr>
      </w:pPr>
      <w:r>
        <w:t>El 55 % de los pacientes crónicos (diabetes, tuberculosis) experimenta pérdida de datos durante las transiciones de atención, con un 28 % de probabilidad adicional de readmisión atribuida a información incompleta, evidenciando el impacto de la baja integridad y consistencia de los registros.</w:t>
      </w:r>
    </w:p>
    <w:p w14:paraId="754B92EB" w14:textId="77777777" w:rsidR="00751FD9" w:rsidRDefault="006124A7">
      <w:r>
        <w:t>Esta situación puede retrasar la fase diagnóstica y limitar las pruebas de integración. En la fase piloto, el uso de datos sintéticos para simular escenarios iniciales resulta necesario, aunque podría subestimar las latencias reales en conexiones de bajo ancho de banda.</w:t>
      </w:r>
    </w:p>
    <w:p w14:paraId="6F50356F" w14:textId="77777777" w:rsidR="00751FD9" w:rsidRDefault="006124A7">
      <w:r>
        <w:rPr>
          <w:b/>
          <w:bCs/>
        </w:rPr>
        <w:t>Estrategia de mitigación:</w:t>
      </w:r>
      <w:r>
        <w:t xml:space="preserve"> Se gestionarán los permisos institucionales desde la fase inicial del proyecto y se establecerán acuerdos de confidencialidad. En caso de restricciones de acceso, se emplearán datos anonimizados o sintéticos para las pruebas técnicas, siguiendo el enfoque de </w:t>
      </w:r>
      <w:proofErr w:type="spellStart"/>
      <w:r>
        <w:t>datasets</w:t>
      </w:r>
      <w:proofErr w:type="spellEnd"/>
      <w:r>
        <w:t xml:space="preserve"> sintéticos HHIMS documentado por Jayathissa y </w:t>
      </w:r>
      <w:proofErr w:type="spellStart"/>
      <w:r>
        <w:t>Hewapathrana</w:t>
      </w:r>
      <w:proofErr w:type="spellEnd"/>
      <w:r>
        <w:t xml:space="preserve"> (2024).</w:t>
      </w:r>
    </w:p>
    <w:p w14:paraId="731ECB19" w14:textId="1DE5EBC8" w:rsidR="00751FD9" w:rsidRDefault="006124A7">
      <w:pPr>
        <w:pStyle w:val="Ttulo3"/>
      </w:pPr>
      <w:bookmarkStart w:id="30" w:name="alcance-geográfico"/>
      <w:bookmarkStart w:id="31" w:name="_Toc225537548"/>
      <w:bookmarkEnd w:id="28"/>
      <w:r>
        <w:t>1.4.3.- Alcance geográfico</w:t>
      </w:r>
      <w:bookmarkEnd w:id="31"/>
    </w:p>
    <w:p w14:paraId="7F626DF2" w14:textId="77777777" w:rsidR="00751FD9" w:rsidRDefault="006124A7">
      <w:r>
        <w:t xml:space="preserve">El estudio se focaliza en centros de salud del MINSA ubicados en Lima, lo que limita la generalización de los hallazgos a otras regiones del país. Las condiciones de infraestructura tecnológica difieren sustancialmente entre zonas urbanas y rurales del Perú: mientras que Lima dispone de conectividad estable, equipamiento actualizado y personal con mayor familiarización digital, las regiones de sierra y selva enfrentan cortes de energía frecuentes, conexiones de baja velocidad y uso extendido de registros manuales (Mauricio et al., 2024). Holmgren et al. (2023), en su análisis comparado de políticas de intercambio en cinco países, corroboran que </w:t>
      </w:r>
      <w:r>
        <w:lastRenderedPageBreak/>
        <w:t>los modelos de interoperabilidad diseñados para entornos urbanos con infraestructura madura presentan dificultades significativas de transferencia a contextos con menor madurez digital.</w:t>
      </w:r>
    </w:p>
    <w:p w14:paraId="7E20E475" w14:textId="77777777" w:rsidR="00751FD9" w:rsidRDefault="006124A7">
      <w:r>
        <w:t xml:space="preserve">En consecuencia, el modelo propuesto —y los resultados de la evaluación </w:t>
      </w:r>
      <w:proofErr w:type="spellStart"/>
      <w:r>
        <w:t>pre-post</w:t>
      </w:r>
      <w:proofErr w:type="spellEnd"/>
      <w:r>
        <w:t xml:space="preserve"> intervención— son válidos para el contexto específico del estudio, pero requieren adaptaciones para su escalabilidad a otras localidades, aspecto que se aborda como lineamiento en el objetivo específico 4.</w:t>
      </w:r>
    </w:p>
    <w:p w14:paraId="4EE94CF8" w14:textId="77777777" w:rsidR="00751FD9" w:rsidRDefault="006124A7">
      <w:r>
        <w:rPr>
          <w:b/>
          <w:bCs/>
        </w:rPr>
        <w:t>Estrategia de mitigación:</w:t>
      </w:r>
      <w:r>
        <w:t xml:space="preserve"> Se seleccionarán establecimientos que representen al menos dos o tres niveles de complejidad dentro de Lima, para captar variabilidad representativa, y se formularán directrices explícitas de escalabilidad como parte de los lineamientos derivados del piloto.</w:t>
      </w:r>
    </w:p>
    <w:p w14:paraId="673AB8A8" w14:textId="189309F0" w:rsidR="00751FD9" w:rsidRDefault="006124A7">
      <w:pPr>
        <w:pStyle w:val="Ttulo3"/>
      </w:pPr>
      <w:bookmarkStart w:id="32" w:name="X7f33e2368f10322af7e6e3aba6829813438fbe7"/>
      <w:bookmarkStart w:id="33" w:name="_Toc225537549"/>
      <w:bookmarkEnd w:id="30"/>
      <w:r>
        <w:t>1.4.4.- Limitaciones del modelo de interoperabilidad implementado</w:t>
      </w:r>
      <w:bookmarkEnd w:id="33"/>
    </w:p>
    <w:p w14:paraId="52CAFAD1" w14:textId="77777777" w:rsidR="00751FD9" w:rsidRDefault="006124A7">
      <w:r>
        <w:t xml:space="preserve">La adopción de HL7 FHIR no garantiza por sí sola la interoperabilidad efectiva entre sistemas. Kramer y </w:t>
      </w:r>
      <w:proofErr w:type="spellStart"/>
      <w:r>
        <w:t>Moesel</w:t>
      </w:r>
      <w:proofErr w:type="spellEnd"/>
      <w:r>
        <w:t xml:space="preserve"> (2023) demuestran que aplicaciones conformes con distintas Guías de Implementación FHIR pueden resultar incompatibles entre sí, dado que la verificación de conformidad individual de dos sistemas con sus respectivas especificaciones no asegura que logren intercambiar datos. Este riesgo es relevante para el presente estudio, ya que la capa de integración piloto interactuará con sistemas heterogéneos cuyos perfiles FHIR podrían diferir en interpretación.</w:t>
      </w:r>
    </w:p>
    <w:p w14:paraId="50051272" w14:textId="77777777" w:rsidR="00751FD9" w:rsidRDefault="006124A7">
      <w:r>
        <w:t>Adicionalmente, Vorisek et al. (2022) señalan como limitaciones inherentes a FHIR el posible cambio en el contenido de los recursos entre versiones del estándar, los requisitos de seguridad para proteger información clínica sensible y la dependencia de un servidor FHIR como punto de articulación. En el contexto peruano, donde coexisten sistemas con distinto nivel de madurez tecnológica, estas limitaciones pueden amplificarse al momento de integrar establecimientos de diferente complejidad.</w:t>
      </w:r>
    </w:p>
    <w:p w14:paraId="6DA1762E" w14:textId="77777777" w:rsidR="00751FD9" w:rsidRDefault="006124A7">
      <w:r>
        <w:rPr>
          <w:b/>
          <w:bCs/>
        </w:rPr>
        <w:t>Estrategia de mitigación:</w:t>
      </w:r>
      <w:r>
        <w:t xml:space="preserve"> Se emplearán perfiles FHIR alineados con estándares de uso extendido (US Core, International Patient </w:t>
      </w:r>
      <w:proofErr w:type="spellStart"/>
      <w:r>
        <w:t>Summary</w:t>
      </w:r>
      <w:proofErr w:type="spellEnd"/>
      <w:r>
        <w:t xml:space="preserve">) y se documentarán de </w:t>
      </w:r>
      <w:r>
        <w:lastRenderedPageBreak/>
        <w:t>forma explícita las decisiones de diseño, las versiones de recursos utilizadas y las limitaciones de compatibilidad conocidas.</w:t>
      </w:r>
    </w:p>
    <w:p w14:paraId="663FA996" w14:textId="5BF0EB17" w:rsidR="00751FD9" w:rsidRDefault="006124A7">
      <w:pPr>
        <w:pStyle w:val="Ttulo3"/>
      </w:pPr>
      <w:bookmarkStart w:id="34" w:name="variables-no-identificadas"/>
      <w:bookmarkStart w:id="35" w:name="_Toc225537550"/>
      <w:bookmarkEnd w:id="32"/>
      <w:r>
        <w:t>1.4.5.- Variables no identificadas</w:t>
      </w:r>
      <w:bookmarkEnd w:id="35"/>
    </w:p>
    <w:p w14:paraId="3359C878" w14:textId="77777777" w:rsidR="00751FD9" w:rsidRDefault="006124A7">
      <w:r>
        <w:t xml:space="preserve">Es posible que factores organizativos, culturales o técnicos no contemplados en el diseño inicial incidan sobre los resultados del piloto. </w:t>
      </w:r>
      <w:proofErr w:type="spellStart"/>
      <w:r>
        <w:t>Heryawan</w:t>
      </w:r>
      <w:proofErr w:type="spellEnd"/>
      <w:r>
        <w:t xml:space="preserve"> et al. (2025), en su análisis de contenido sobre incidencias reportadas en la plataforma nacional de salud digital de Indonesia (</w:t>
      </w:r>
      <w:proofErr w:type="spellStart"/>
      <w:r>
        <w:t>Satusehat</w:t>
      </w:r>
      <w:proofErr w:type="spellEnd"/>
      <w:r>
        <w:t>), identifican que las dificultades más frecuentes en implementaciones FHIR se relacionan con fallos de servidor (57%), problemas de mapeo de datos heredados (34%) y selección inadecuada de perfiles (9%). Estos problemas tienden a manifestarse durante la operación real y no durante las pruebas controladas, lo que subraya la necesidad de contemplar variables emergentes que solo se identifican en la interacción cotidiana con el personal de salud y los sistemas en producción.</w:t>
      </w:r>
    </w:p>
    <w:p w14:paraId="166C696E" w14:textId="77777777" w:rsidR="00751FD9" w:rsidRDefault="006124A7">
      <w:r>
        <w:t>En el caso peruano, donde los sistemas son diversos y en muchos casos obsoletos, la probabilidad de que surjan obstáculos no anticipados durante la implementación piloto es relevante y debe ser explícitamente reconocida como limitación del diseño.</w:t>
      </w:r>
    </w:p>
    <w:p w14:paraId="58155F86" w14:textId="77777777" w:rsidR="00751FD9" w:rsidRDefault="006124A7">
      <w:r>
        <w:rPr>
          <w:b/>
          <w:bCs/>
        </w:rPr>
        <w:t>Estrategia de mitigación:</w:t>
      </w:r>
      <w:r>
        <w:t xml:space="preserve"> Se incorporará un componente cualitativo mediante entrevistas semiestructuradas al personal de salud participante, orientado a captar factores emergentes, barreras no anticipadas y condiciones contextuales que puedan incidir en la efectividad del modelo.</w:t>
      </w:r>
    </w:p>
    <w:p w14:paraId="46FE8B38" w14:textId="4477C652" w:rsidR="00751FD9" w:rsidRDefault="006124A7">
      <w:pPr>
        <w:pStyle w:val="Ttulo3"/>
      </w:pPr>
      <w:bookmarkStart w:id="36" w:name="restricciones-de-tiempo-y-recursos"/>
      <w:bookmarkStart w:id="37" w:name="_Toc225537551"/>
      <w:bookmarkEnd w:id="34"/>
      <w:r>
        <w:t>1.4.6.- Restricciones de tiempo y recursos</w:t>
      </w:r>
      <w:bookmarkEnd w:id="37"/>
    </w:p>
    <w:p w14:paraId="2E2FC0A2" w14:textId="77777777" w:rsidR="00751FD9" w:rsidRDefault="006124A7">
      <w:r>
        <w:t>La implementación del proyecto piloto está circunscrita al periodo académico de la investigación, lo cual impone restricciones sobre el alcance de la intervención y el seguimiento de resultados. La OPS (2024) reconoce que los procesos de interoperabilidad en salud requieren fases de planificación, adaptación local y estabilización que habitualmente exceden un ciclo académico. A este desfase se añaden los plazos de gestión administrativa propios del MINSA —autorizaciones institucionales, revisiones éticas y periodos de familiarización del personal con nuevos sistemas— que pueden consumir una proporción significativa del tiempo disponible.</w:t>
      </w:r>
    </w:p>
    <w:p w14:paraId="78FDBFCB" w14:textId="77777777" w:rsidR="00751FD9" w:rsidRDefault="006124A7">
      <w:r>
        <w:lastRenderedPageBreak/>
        <w:t xml:space="preserve">La experiencia nacional respalda esta restricción. Porras Gamarra (2024) documenta que la implementación de interoperabilidad HL7 FHIR y </w:t>
      </w:r>
      <w:proofErr w:type="spellStart"/>
      <w:r>
        <w:t>openEHR</w:t>
      </w:r>
      <w:proofErr w:type="spellEnd"/>
      <w:r>
        <w:t xml:space="preserve"> en un entorno hospitalario real involucró múltiples iteraciones de ajuste y validación, y Arrué Pajares y Vargas Rioja (2022) reportan que su implementación de HIS interoperable basado en HL7 v2 requirió una fase extensa de configuración y pruebas adaptadas a la infraestructura local. En contextos internacionales con desafíos similares de madurez digital, </w:t>
      </w:r>
      <w:proofErr w:type="spellStart"/>
      <w:r>
        <w:t>Heryawan</w:t>
      </w:r>
      <w:proofErr w:type="spellEnd"/>
      <w:r>
        <w:t xml:space="preserve"> et al. (2025) muestran que la adopción de FHIR en Indonesia avanzó de forma incremental, priorizando funcionalidades críticas en cada iteración.</w:t>
      </w:r>
    </w:p>
    <w:p w14:paraId="39B3D0BF" w14:textId="77777777" w:rsidR="00751FD9" w:rsidRDefault="006124A7">
      <w:r>
        <w:rPr>
          <w:b/>
          <w:bCs/>
        </w:rPr>
        <w:t>Estrategia de mitigación:</w:t>
      </w:r>
      <w:r>
        <w:t xml:space="preserve"> Se priorizarán las brechas con mayor impacto y viabilidad mediante una matriz de priorización, concentrando los recursos en un piloto funcional y acotado que pueda generar evidencia evaluable dentro del periodo académico y ser escalado en fases subsiguientes, en coherencia con los lineamientos de escalabilidad planteados en el objetivo específico 4.</w:t>
      </w:r>
    </w:p>
    <w:p w14:paraId="425C0EEC" w14:textId="77777777" w:rsidR="00751FD9" w:rsidRDefault="006124A7">
      <w:pPr>
        <w:pStyle w:val="Ttulo1"/>
        <w:pageBreakBefore/>
      </w:pPr>
      <w:bookmarkStart w:id="38" w:name="capítulo-ii-marco-teórico"/>
      <w:bookmarkStart w:id="39" w:name="_Toc225537552"/>
      <w:bookmarkEnd w:id="2"/>
      <w:bookmarkEnd w:id="24"/>
      <w:bookmarkEnd w:id="36"/>
      <w:r>
        <w:lastRenderedPageBreak/>
        <w:t>Capítulo II.- Marco teórico</w:t>
      </w:r>
      <w:bookmarkEnd w:id="39"/>
    </w:p>
    <w:p w14:paraId="60B53DE9" w14:textId="393E4339" w:rsidR="00751FD9" w:rsidRDefault="006124A7">
      <w:pPr>
        <w:pStyle w:val="Ttulo2"/>
      </w:pPr>
      <w:bookmarkStart w:id="40" w:name="antecedentes-del-problema"/>
      <w:bookmarkStart w:id="41" w:name="_Toc225537553"/>
      <w:r>
        <w:t>2.1.</w:t>
      </w:r>
      <w:r w:rsidR="001D61C6">
        <w:t xml:space="preserve"> </w:t>
      </w:r>
      <w:proofErr w:type="gramStart"/>
      <w:r>
        <w:t>Antecedentes</w:t>
      </w:r>
      <w:proofErr w:type="gramEnd"/>
      <w:r>
        <w:t xml:space="preserve"> del problema</w:t>
      </w:r>
      <w:bookmarkEnd w:id="41"/>
    </w:p>
    <w:p w14:paraId="24150D1B" w14:textId="06D3679E" w:rsidR="00751FD9" w:rsidRDefault="006124A7">
      <w:pPr>
        <w:pStyle w:val="Ttulo3"/>
      </w:pPr>
      <w:bookmarkStart w:id="42" w:name="internacionales"/>
      <w:bookmarkStart w:id="43" w:name="_Toc225537554"/>
      <w:r>
        <w:t>2.1.1.</w:t>
      </w:r>
      <w:r w:rsidR="001D61C6">
        <w:t xml:space="preserve">- </w:t>
      </w:r>
      <w:r>
        <w:t>Internacionales</w:t>
      </w:r>
      <w:bookmarkEnd w:id="43"/>
    </w:p>
    <w:p w14:paraId="56A48924" w14:textId="77777777" w:rsidR="00751FD9" w:rsidRDefault="006124A7">
      <w:r>
        <w:rPr>
          <w:b/>
          <w:bCs/>
        </w:rPr>
        <w:t>ADELUSI ET AL. (2025)</w:t>
      </w:r>
      <w:r>
        <w:t xml:space="preserve"> Como aporte, proponen un </w:t>
      </w:r>
      <w:proofErr w:type="spellStart"/>
      <w:r>
        <w:t>framework</w:t>
      </w:r>
      <w:proofErr w:type="spellEnd"/>
      <w:r>
        <w:t xml:space="preserve"> federado basado en HL7 FHIR para intercambio seguro entre hospitales heterogéneos. El objetivo del estudio fue demostrar que una arquitectura federada mejora interoperabilidad sin centralizar datos clínicos crudos. El problema abordado fue fragmentación de EHR y riesgos de seguridad en modelos centralizados de intercambio. La metodología utilizada consistió en diseño y evaluación de </w:t>
      </w:r>
      <w:proofErr w:type="spellStart"/>
      <w:r>
        <w:t>framework</w:t>
      </w:r>
      <w:proofErr w:type="spellEnd"/>
      <w:r>
        <w:t xml:space="preserve"> en entorno simulado </w:t>
      </w:r>
      <w:proofErr w:type="spellStart"/>
      <w:r>
        <w:t>multi-hospital</w:t>
      </w:r>
      <w:proofErr w:type="spellEnd"/>
      <w:r>
        <w:t>. Los instrumentos de validación incluyeron pruebas de recuperación de datos, latencia, cumplimiento FHIR y escalabilidad. En cuanto a resultados, &gt;95% de precisión en recuperación y 38% de reducción de latencia frente a enfoque centralizado.</w:t>
      </w:r>
    </w:p>
    <w:p w14:paraId="012E1D19" w14:textId="77777777" w:rsidR="00751FD9" w:rsidRDefault="006124A7">
      <w:r>
        <w:rPr>
          <w:b/>
          <w:bCs/>
        </w:rPr>
        <w:t>HERYAWAN ET AL. (2025)</w:t>
      </w:r>
      <w:r>
        <w:t xml:space="preserve"> Como aporte, caracterizan barreras reales de implementación FHIR en la plataforma nacional </w:t>
      </w:r>
      <w:proofErr w:type="spellStart"/>
      <w:r>
        <w:t>Satusehat</w:t>
      </w:r>
      <w:proofErr w:type="spellEnd"/>
      <w:r>
        <w:t xml:space="preserve"> (Indonesia). El objetivo del estudio fue identificar puntos críticos de adopción e integración para mejorar el despliegue interoperable nacional. El problema abordado fue dificultades técnicas recurrentes en el uso de servidores, perfiles y mapeo semántico de datos. La metodología utilizada consistió en análisis de contenido de interacciones del </w:t>
      </w:r>
      <w:proofErr w:type="spellStart"/>
      <w:r>
        <w:t>Developer</w:t>
      </w:r>
      <w:proofErr w:type="spellEnd"/>
      <w:r>
        <w:t xml:space="preserve"> </w:t>
      </w:r>
      <w:proofErr w:type="gramStart"/>
      <w:r>
        <w:t>Hub</w:t>
      </w:r>
      <w:proofErr w:type="gramEnd"/>
      <w:r>
        <w:t xml:space="preserve"> y documentación técnica. Los instrumentos de validación incluyeron categorización temática de incidencias y frecuencia de problemas reportados. En cuanto a resultados, problemas en servidor FHIR (57%), mapeo de datos (34%) y selección de perfiles (9%).</w:t>
      </w:r>
    </w:p>
    <w:p w14:paraId="611EF496" w14:textId="77777777" w:rsidR="00751FD9" w:rsidRDefault="006124A7">
      <w:r>
        <w:rPr>
          <w:b/>
          <w:bCs/>
        </w:rPr>
        <w:t>AMAR ET AL. (2024)</w:t>
      </w:r>
      <w:r>
        <w:t xml:space="preserve"> Como aporte, ofrecen taxonomía de enfoques para interoperabilidad semántica con FHIR en literatura reciente. El objetivo del estudio fue mapear tendencias metodológicas y tecnológicas en integración semántica de datos clínicos. El problema abordado fue ausencia de consolidación sobre qué enfoques semánticos se usan y con qué peso relativo. La metodología utilizada consistió en revisión de mapeo sistemático de estudios publicados entre 2012 y 2022. Los instrumentos de validación incluyeron extracción estandarizada y clasificación por categorías de enfoque semántico. En cuanto a resultados, n=70 </w:t>
      </w:r>
      <w:r>
        <w:lastRenderedPageBreak/>
        <w:t>estudios; mapeo (24,6%), RDF/OWL (19%), NLP/ML (15,9%), terminologías y anotación (14,3%).</w:t>
      </w:r>
    </w:p>
    <w:p w14:paraId="7B9A1AA5" w14:textId="77777777" w:rsidR="00751FD9" w:rsidRDefault="006124A7">
      <w:r>
        <w:rPr>
          <w:b/>
          <w:bCs/>
        </w:rPr>
        <w:t>TABARI ET AL. (2024)</w:t>
      </w:r>
      <w:r>
        <w:t xml:space="preserve"> Como aporte, sistematizan modelos de datos FHIR y priorización de recursos en implementación EHR. El objetivo del estudio fue describir estructuras de modelado FHIR usadas para integración, transmisión y análisis clínico. El problema abordado fue dispersión de enfoques de modelado que dificulta diseño coherente en proyectos de interoperabilidad. La metodología utilizada consistió en </w:t>
      </w:r>
      <w:proofErr w:type="spellStart"/>
      <w:r>
        <w:t>scoping</w:t>
      </w:r>
      <w:proofErr w:type="spellEnd"/>
      <w:r>
        <w:t xml:space="preserve"> </w:t>
      </w:r>
      <w:proofErr w:type="spellStart"/>
      <w:r>
        <w:t>review</w:t>
      </w:r>
      <w:proofErr w:type="spellEnd"/>
      <w:r>
        <w:t xml:space="preserve"> en PubMed, </w:t>
      </w:r>
      <w:proofErr w:type="spellStart"/>
      <w:r>
        <w:t>Scopus</w:t>
      </w:r>
      <w:proofErr w:type="spellEnd"/>
      <w:r>
        <w:t xml:space="preserve">, WoS, IEEE, ACM y Google Scholar. Los instrumentos de validación incluyeron matriz de extracción comparativa por tipo de modelo y recurso FHIR utilizado. En cuanto a resultados, identifican 2 familias (dinámicos/estáticos) y mayor uso de </w:t>
      </w:r>
      <w:proofErr w:type="spellStart"/>
      <w:r>
        <w:t>Observation</w:t>
      </w:r>
      <w:proofErr w:type="spellEnd"/>
      <w:r>
        <w:t xml:space="preserve">, </w:t>
      </w:r>
      <w:proofErr w:type="spellStart"/>
      <w:r>
        <w:t>Condition</w:t>
      </w:r>
      <w:proofErr w:type="spellEnd"/>
      <w:r>
        <w:t xml:space="preserve"> y Patient.</w:t>
      </w:r>
    </w:p>
    <w:p w14:paraId="61FD36C8" w14:textId="77777777" w:rsidR="00751FD9" w:rsidRDefault="006124A7">
      <w:r>
        <w:rPr>
          <w:b/>
          <w:bCs/>
        </w:rPr>
        <w:t>BOSSENKO ET AL. (2024)</w:t>
      </w:r>
      <w:r>
        <w:t xml:space="preserve"> Como aporte, desarrollan herramienta visual reutilizable para transformar HL7 CDA hacia recursos HL7 FHIR. El objetivo del estudio fue facilitar transición nacional de interoperabilidad documental a </w:t>
      </w:r>
      <w:proofErr w:type="spellStart"/>
      <w:r>
        <w:t>APIs</w:t>
      </w:r>
      <w:proofErr w:type="spellEnd"/>
      <w:r>
        <w:t xml:space="preserve"> FHIR con menor fricción técnica. El problema abordado fue complejidad del mapeo CDA-FHIR para equipos clínicos y técnicos en despliegues a escala. La metodología utilizada consistió en desarrollo y validación aplicada en la transición del sistema nacional de Estonia. Los instrumentos de validación incluyeron evaluación por expertos de dominio sobre usabilidad y valor operativo. En cuanto a resultados, validación positiva de usabilidad y utilidad para transformación semántica reutilizable.</w:t>
      </w:r>
    </w:p>
    <w:p w14:paraId="4A2B86D3" w14:textId="77777777" w:rsidR="00751FD9" w:rsidRDefault="006124A7">
      <w:r>
        <w:rPr>
          <w:b/>
          <w:bCs/>
        </w:rPr>
        <w:t>JAYATHISSA Y HEWAPATHRANA (2024)</w:t>
      </w:r>
      <w:r>
        <w:t xml:space="preserve"> Como aporte, presentan caso técnico de servidor HAPI-FHIR para atención primaria en contexto de recursos limitados. El objetivo del estudio fue mejorar interoperabilidad entre sistemas primarios integrando identidad, seguridad y flujo de datos. El problema abordado fue sistemas no integrados, debilidades de autenticación y baja estandarización de intercambio clínico. La metodología utilizada consistió en revisión técnica con implementación de caso de uso e integración progresiva. Los instrumentos de validación incluyeron pruebas funcionales con </w:t>
      </w:r>
      <w:proofErr w:type="spellStart"/>
      <w:r>
        <w:t>datasets</w:t>
      </w:r>
      <w:proofErr w:type="spellEnd"/>
      <w:r>
        <w:t xml:space="preserve"> sintéticos HHIMS y validación de intercambio. En cuanto a resultados, factibilidad técnica confirmada para integración FHIR en primer nivel con enfoque escalable.</w:t>
      </w:r>
    </w:p>
    <w:p w14:paraId="02E02346" w14:textId="77777777" w:rsidR="00751FD9" w:rsidRDefault="006124A7">
      <w:r>
        <w:rPr>
          <w:b/>
          <w:bCs/>
        </w:rPr>
        <w:lastRenderedPageBreak/>
        <w:t>TORAB-MIANDOAB ET AL. (2023)</w:t>
      </w:r>
      <w:r>
        <w:t xml:space="preserve"> Como aporte, consolidan requisitos de interoperabilidad para sistemas de salud heterogéneos en múltiples países. El objetivo del estudio fue identificar tecnologías y estándares críticos para habilitar HCE interoperable de forma sostenible. El problema abordado fue falta de interoperabilidad entre sistemas propietarios y heterogéneos con impacto en calidad asistencial. La metodología utilizada consistió en revisión sistemática en seis bases biomédicas y de ingeniería. Los instrumentos de validación incluyeron selección PRISMA y síntesis temática de requisitos técnicos y semánticos. En cuanto a resultados, n=36 estudios; FHIR, CDA, SNOMED-CT y SOA aparecen como requisitos prioritarios.</w:t>
      </w:r>
    </w:p>
    <w:p w14:paraId="6BB5E701" w14:textId="77777777" w:rsidR="00751FD9" w:rsidRDefault="006124A7">
      <w:r>
        <w:rPr>
          <w:b/>
          <w:bCs/>
        </w:rPr>
        <w:t>HOLMGREN ET AL. (2023)</w:t>
      </w:r>
      <w:r>
        <w:t xml:space="preserve"> Como aporte, comparan políticas de intercambio en cinco países para extraer factores de éxito en HIE. El objetivo del estudio fue entender cómo el diseño de política pública condiciona la adopción de interoperabilidad nacional. El problema abordado fue variabilidad regulatoria y organizacional que limita escalamiento homogéneo del intercambio clínico. La metodología utilizada consistió en revisión narrativa comparada de marcos de política sanitaria internacional. Los instrumentos de validación incluyeron análisis transversal de diseño institucional, gobernanza y madurez de intercambio. En cuanto a resultados, n=5 países; la priorización gubernamental centralizada se asocia a mayor avance interoperable.</w:t>
      </w:r>
    </w:p>
    <w:p w14:paraId="3C6C0282" w14:textId="77777777" w:rsidR="00751FD9" w:rsidRDefault="006124A7">
      <w:r>
        <w:rPr>
          <w:b/>
          <w:bCs/>
        </w:rPr>
        <w:t>RICHWINE ET AL. (2025)</w:t>
      </w:r>
      <w:r>
        <w:t xml:space="preserve"> Como aporte, cuantifican el valor de las organizaciones de intercambio (HIO) para interoperabilidad hospitalaria. El objetivo del estudio fue estimar la contribución de las HIO en intercambio clínico y reporte de datos en hospitales. El problema abordado fue dificultad para demostrar impacto operativo de la gobernanza del intercambio interinstitucional. La metodología utilizada consistió en estudio observacional con análisis comparativo de hospitales participantes y no participantes. Los instrumentos de validación incluyeron indicadores de intercambio clínico, reporte de salud pública y uso de datos sociales. En cuanto a resultados, la participación en HIO se asocia con mayor interoperabilidad reportada y mejor intercambio de datos críticos.</w:t>
      </w:r>
    </w:p>
    <w:p w14:paraId="16A90A6C" w14:textId="77777777" w:rsidR="00751FD9" w:rsidRDefault="006124A7">
      <w:r>
        <w:rPr>
          <w:b/>
          <w:bCs/>
        </w:rPr>
        <w:t>RAAB ET AL. (2023)</w:t>
      </w:r>
      <w:r>
        <w:t xml:space="preserve"> Como aporte, proponen un enfoque federado para el EHDS con control ciudadano del dato de salud. El objetivo del estudio fue diseñar una </w:t>
      </w:r>
      <w:r>
        <w:lastRenderedPageBreak/>
        <w:t>arquitectura interoperable que reduzca dependencia de silos centralizados. El problema abordado fue riesgos de concentración de datos y baja portabilidad efectiva entre sistemas heterogéneos. La metodología utilizada consistió en desarrollo conceptual y técnico de arquitectura para espacios federados. Los instrumentos de validación incluyeron evaluación de factibilidad arquitectónica y criterios de gobernanza de datos. En cuanto a resultados, definen lineamientos para interoperabilidad federada con mejor control de acceso y compartición.</w:t>
      </w:r>
    </w:p>
    <w:p w14:paraId="6E0198DD" w14:textId="77777777" w:rsidR="00751FD9" w:rsidRDefault="006124A7">
      <w:r>
        <w:rPr>
          <w:b/>
          <w:bCs/>
        </w:rPr>
        <w:t>MONSEN ET AL. (2023)</w:t>
      </w:r>
      <w:r>
        <w:t xml:space="preserve"> Como aporte, integran terminologías estandarizadas de enfermería con FHIR para aumentar reutilización del dato. El objetivo del estudio fue mejorar interoperabilidad semántica en flujos clínicos y analíticos. El problema abordado fue subutilización de datos clínicos por baja normalización terminológica en implementaciones FHIR. La metodología utilizada consistió en estudio aplicado de integración terminológica en recursos FHIR. Los instrumentos de validación incluyeron verificación de consistencia semántica y reutilización para analítica clínica. En cuanto a resultados, muestran mejora en representación estandarizada y uso secundario de información clínica.</w:t>
      </w:r>
    </w:p>
    <w:p w14:paraId="4E524900" w14:textId="77777777" w:rsidR="00751FD9" w:rsidRDefault="006124A7">
      <w:r>
        <w:rPr>
          <w:b/>
          <w:bCs/>
        </w:rPr>
        <w:t>VORISEK ET AL. (2022)</w:t>
      </w:r>
      <w:r>
        <w:t xml:space="preserve"> Como aporte, ofrecen panorama cuantitativo robusto de usos de FHIR en investigación en salud. El objetivo del estudio fue medir áreas de aplicación, terminologías complementarias y madurez de adopción científica de FHIR. El problema abordado fue escasa consolidación cuantitativa sobre para qué y cómo se usa FHIR en investigación aplicada. La metodología utilizada consistió en revisión sistemática de literatura 2011-2022 en cinco bases. Los instrumentos de validación incluyeron extracción estructurada de variables de uso, dominio y terminologías asociadas. En cuanto a resultados, n=49; 73% investigación clínica; usos: estandarización 41%, captura 29%, análisis 12%.</w:t>
      </w:r>
    </w:p>
    <w:p w14:paraId="45C76270" w14:textId="77777777" w:rsidR="00751FD9" w:rsidRDefault="006124A7">
      <w:r>
        <w:rPr>
          <w:b/>
          <w:bCs/>
        </w:rPr>
        <w:t>GAZZARATA ET AL. (2024)</w:t>
      </w:r>
      <w:r>
        <w:t xml:space="preserve"> Como aporte, vinculan FHIR con continuidad asistencial en ecosistemas de enfermedades crónicas. El objetivo del estudio fue evaluar el rol de FHIR en integración longitudinal de datos y coordinación entre niveles de atención. El problema abordado fue discontinuidad clínica por fragmentación de información en trayectorias de atención crónica. La metodología utilizada consistió en </w:t>
      </w:r>
      <w:proofErr w:type="spellStart"/>
      <w:r>
        <w:t>scoping</w:t>
      </w:r>
      <w:proofErr w:type="spellEnd"/>
      <w:r>
        <w:t xml:space="preserve"> </w:t>
      </w:r>
      <w:proofErr w:type="spellStart"/>
      <w:r>
        <w:t>review</w:t>
      </w:r>
      <w:proofErr w:type="spellEnd"/>
      <w:r>
        <w:t xml:space="preserve"> centrada en aplicaciones FHIR para gestión clínica crónica. Los instrumentos de validación incluyeron síntesis estructurada por </w:t>
      </w:r>
      <w:r>
        <w:lastRenderedPageBreak/>
        <w:t>dominios de uso, capacidades técnicas y gobernanza. En cuanto a resultados, evidencian mejora de continuidad y articulación de red; sin KPI único universal reportado.</w:t>
      </w:r>
    </w:p>
    <w:p w14:paraId="0D182993" w14:textId="77777777" w:rsidR="00751FD9" w:rsidRDefault="006124A7">
      <w:r>
        <w:rPr>
          <w:b/>
          <w:bCs/>
        </w:rPr>
        <w:t>PEDRERA-JIMÉNEZ ET AL. (2023)</w:t>
      </w:r>
      <w:r>
        <w:t xml:space="preserve"> Como aporte, proponen enfoque agnóstico para combinar </w:t>
      </w:r>
      <w:proofErr w:type="spellStart"/>
      <w:r>
        <w:t>OpenEHR</w:t>
      </w:r>
      <w:proofErr w:type="spellEnd"/>
      <w:r>
        <w:t>, ISO 13606 y FHIR sin tratarlos como excluyentes. El objetivo del estudio fue definir criterios de selección y coexistencia de estándares en espacios de datos de nueva generación. El problema abordado fue decisiones de arquitectura basadas en falsa dicotomía entre estándares clínicos complementarios. La metodología utilizada consistió en análisis técnico-conceptual comparativo de capacidades y capas de los estándares. Los instrumentos de validación incluyeron matriz de compatibilidad funcional por modelado, intercambio y reutilización. En cuanto a resultados, recomiendan arquitectura por capas; cada estándar aporta valor diferencial y complementario.</w:t>
      </w:r>
    </w:p>
    <w:p w14:paraId="72FF996E" w14:textId="77777777" w:rsidR="00751FD9" w:rsidRDefault="006124A7">
      <w:r>
        <w:rPr>
          <w:b/>
          <w:bCs/>
        </w:rPr>
        <w:t>CHATTERJEE ET AL. (2022)</w:t>
      </w:r>
      <w:r>
        <w:t xml:space="preserve"> Como aporte, integran HL7 FHIR y SNOMED-CT para lograr interoperabilidad estructural y semántica simultánea. El objetivo del estudio fue validar transferencia bidireccional de datos personales de salud sin pérdida semántica. El problema abordado fue intercambio clínico con pérdida de significado al pasar entre sistemas heterogéneos. La metodología utilizada consistió en prueba de concepto con mapeo semántico y flujo bidireccional entre componentes. Los instrumentos de validación incluyeron pruebas de consistencia de conceptos y verificación de integridad de datos. En cuanto a resultados, logran intercambio bidireccional sin pérdida de datos y con consistencia semántica.</w:t>
      </w:r>
    </w:p>
    <w:p w14:paraId="52AE1788" w14:textId="77777777" w:rsidR="00751FD9" w:rsidRDefault="006124A7">
      <w:r>
        <w:rPr>
          <w:b/>
          <w:bCs/>
        </w:rPr>
        <w:t>GAUDET-BLAVIGNAC ET AL. (2021)</w:t>
      </w:r>
      <w:r>
        <w:t xml:space="preserve"> Como aporte, diseñan estrategia nacional de tres pilares para uso secundario interoperable de datos de salud. El objetivo del estudio fue habilitar investigación multicéntrica con datos clínicos interoperables en red nacional. El problema abordado fue baja reutilización de datos clínicos por heterogeneidad semántica y barreras organizativas. La metodología utilizada consistió en estudio metodológico en contexto de la Swiss </w:t>
      </w:r>
      <w:proofErr w:type="spellStart"/>
      <w:r>
        <w:t>Personalized</w:t>
      </w:r>
      <w:proofErr w:type="spellEnd"/>
      <w:r>
        <w:t xml:space="preserve"> Health Network. Los instrumentos de validación incluyeron diseño de gobernanza, normalización semántica y evaluación de factibilidad operativa. En cuanto a resultados, propuesta operativa validada para escalar interoperabilidad de uso secundario.</w:t>
      </w:r>
    </w:p>
    <w:p w14:paraId="7BC99EEF" w14:textId="77777777" w:rsidR="00751FD9" w:rsidRDefault="006124A7">
      <w:r>
        <w:rPr>
          <w:b/>
          <w:bCs/>
        </w:rPr>
        <w:lastRenderedPageBreak/>
        <w:t>MUKHIYA ET AL. (2021)</w:t>
      </w:r>
      <w:r>
        <w:t xml:space="preserve"> Como aporte, combinan FHIR con </w:t>
      </w:r>
      <w:proofErr w:type="spellStart"/>
      <w:r>
        <w:t>GraphQL</w:t>
      </w:r>
      <w:proofErr w:type="spellEnd"/>
      <w:r>
        <w:t xml:space="preserve"> para consultas clínicas flexibles sobre EHR heterogéneos. El objetivo del estudio fue reducir acoplamiento entre sistemas y facilitar integración incremental vía capa API. El problema abordado fue rigidez en integración de datos cuando se depende de conectores punto a punto. La metodología utilizada consistió en desarrollo de aproximación arquitectónica y validación de interoperabilidad funcional. Los instrumentos de validación incluyeron pruebas de consulta, compatibilidad de intercambio y consistencia de respuesta. En cuanto a resultados, demuestran viabilidad de integración flexible con menor dependencia entre plataformas.</w:t>
      </w:r>
    </w:p>
    <w:p w14:paraId="00E33190" w14:textId="77777777" w:rsidR="00751FD9" w:rsidRDefault="006124A7">
      <w:r>
        <w:rPr>
          <w:b/>
          <w:bCs/>
        </w:rPr>
        <w:t>LIU ET AL. (2023)</w:t>
      </w:r>
      <w:r>
        <w:t xml:space="preserve"> Como aporte, implementan un EMR intercambiable en formato FHIR con enfoque de desempeño y visualización. El objetivo del estudio fue validar que una arquitectura basada en servidor FHIR mejore tiempos de transformación de datos. El problema abordado fue costos y latencias elevadas en integración cuando se depende de </w:t>
      </w:r>
      <w:proofErr w:type="spellStart"/>
      <w:r>
        <w:t>gateways</w:t>
      </w:r>
      <w:proofErr w:type="spellEnd"/>
      <w:r>
        <w:t xml:space="preserve"> tradicionales. La metodología utilizada consistió en implementación experimental con pruebas de carga y comparación de arquitectura. Los instrumentos de validación incluyeron pruebas Apache </w:t>
      </w:r>
      <w:proofErr w:type="spellStart"/>
      <w:r>
        <w:t>JMeter</w:t>
      </w:r>
      <w:proofErr w:type="spellEnd"/>
      <w:r>
        <w:t xml:space="preserve"> y métricas de tiempo/costo de conversión. En cuanto a resultados, reportan reducción significativa en tiempos y costos de transformación de datos clínicos.</w:t>
      </w:r>
    </w:p>
    <w:p w14:paraId="26F102CF" w14:textId="77777777" w:rsidR="00751FD9" w:rsidRDefault="006124A7">
      <w:r>
        <w:rPr>
          <w:b/>
          <w:bCs/>
        </w:rPr>
        <w:t>ANAND Y SADHNA (2023)</w:t>
      </w:r>
      <w:r>
        <w:t xml:space="preserve"> Como aporte, analizan </w:t>
      </w:r>
      <w:proofErr w:type="spellStart"/>
      <w:r>
        <w:t>bibliométricamente</w:t>
      </w:r>
      <w:proofErr w:type="spellEnd"/>
      <w:r>
        <w:t xml:space="preserve"> la convergencia entre FHIR y </w:t>
      </w:r>
      <w:proofErr w:type="spellStart"/>
      <w:r>
        <w:t>blockchain</w:t>
      </w:r>
      <w:proofErr w:type="spellEnd"/>
      <w:r>
        <w:t xml:space="preserve"> en interoperabilidad EHR. El objetivo del estudio fue identificar tendencias, vacíos y líneas emergentes de investigación en interoperabilidad segura. El problema abordado fue dispersión de evidencia sobre madurez de enfoques </w:t>
      </w:r>
      <w:proofErr w:type="spellStart"/>
      <w:r>
        <w:t>blockchain</w:t>
      </w:r>
      <w:proofErr w:type="spellEnd"/>
      <w:r>
        <w:t xml:space="preserve"> + FHIR para intercambio clínico. La metodología utilizada consistió en estudio bibliométrico y análisis temático de literatura especializada. Los instrumentos de validación incluyeron mapas temáticos, coocurrencia de términos y evolución temporal. En cuanto a resultados, confirman crecimiento del campo y centralidad de interoperabilidad y seguridad como ejes de investigación.</w:t>
      </w:r>
    </w:p>
    <w:p w14:paraId="07057A19" w14:textId="77777777" w:rsidR="00751FD9" w:rsidRDefault="006124A7">
      <w:r>
        <w:rPr>
          <w:b/>
          <w:bCs/>
        </w:rPr>
        <w:t>SURISETTY (2026)</w:t>
      </w:r>
      <w:r>
        <w:t xml:space="preserve"> Como aporte, propone </w:t>
      </w:r>
      <w:proofErr w:type="spellStart"/>
      <w:r>
        <w:t>blueprint</w:t>
      </w:r>
      <w:proofErr w:type="spellEnd"/>
      <w:r>
        <w:t xml:space="preserve"> de interoperabilidad de extremo a extremo con HL7, FHIR, CCD y EHR. El objetivo del estudio fue integrar lineamientos técnicos en una secuencia práctica de implementación por fases. El problema abordado fue brecha entre recomendaciones de alto nivel y guías </w:t>
      </w:r>
      <w:r>
        <w:lastRenderedPageBreak/>
        <w:t>operativas de implementación real. La metodología utilizada consistió en propuesta aplicada de arquitectura y flujo de integración integral. Los instrumentos de validación incluyeron definición de flujo técnico, componentes e hitos operativos de despliegue. En cuanto a resultados, ofrece hoja de ruta replicable para proyectos de interoperabilidad clínica por etapas.</w:t>
      </w:r>
    </w:p>
    <w:p w14:paraId="7829C737" w14:textId="77777777" w:rsidR="00751FD9" w:rsidRDefault="006124A7">
      <w:r>
        <w:rPr>
          <w:b/>
          <w:bCs/>
        </w:rPr>
        <w:t>FERNANDEZ ET AL. (2025)</w:t>
      </w:r>
      <w:r>
        <w:t xml:space="preserve"> Como aporte, aportan evidencia aplicada de interoperabilidad en sistema universal con el caso brasileño. El objetivo del estudio fue analizar integración entre atención primaria y hospitalaria para continuidad clínica poblacional. El problema abordado fue fragmentación </w:t>
      </w:r>
      <w:proofErr w:type="spellStart"/>
      <w:r>
        <w:t>inter-nivel</w:t>
      </w:r>
      <w:proofErr w:type="spellEnd"/>
      <w:r>
        <w:t xml:space="preserve"> que limita seguimiento clínico y gestión integral del paciente. La metodología utilizada consistió en análisis de experiencia nacional y lecciones de implementación en red pública. Los instrumentos de validación incluyeron evaluación comparativa de flujos de información y coordinación asistencial. En cuanto a resultados, identifican que estándares + procesos + gobernanza sostenida son condición de impacto.</w:t>
      </w:r>
    </w:p>
    <w:p w14:paraId="75CC7F07" w14:textId="46620CFA" w:rsidR="00751FD9" w:rsidRDefault="006124A7">
      <w:pPr>
        <w:pStyle w:val="Ttulo3"/>
      </w:pPr>
      <w:bookmarkStart w:id="44" w:name="nacionales"/>
      <w:bookmarkStart w:id="45" w:name="_Toc225537555"/>
      <w:bookmarkEnd w:id="42"/>
      <w:r>
        <w:t>2.1.</w:t>
      </w:r>
      <w:proofErr w:type="gramStart"/>
      <w:r>
        <w:t>2.Nacionales</w:t>
      </w:r>
      <w:bookmarkEnd w:id="45"/>
      <w:proofErr w:type="gramEnd"/>
    </w:p>
    <w:p w14:paraId="4132234F" w14:textId="77777777" w:rsidR="00751FD9" w:rsidRDefault="006124A7">
      <w:r>
        <w:rPr>
          <w:b/>
          <w:bCs/>
        </w:rPr>
        <w:t>MAURICIO ET AL. (2024)</w:t>
      </w:r>
      <w:r>
        <w:t xml:space="preserve"> Como aporte, proponen sistema peruano de interoperabilidad EHR con HL7 FHIR y </w:t>
      </w:r>
      <w:proofErr w:type="spellStart"/>
      <w:r>
        <w:t>blockchain</w:t>
      </w:r>
      <w:proofErr w:type="spellEnd"/>
      <w:r>
        <w:t xml:space="preserve">. El objetivo del estudio fue permitir intercambio entre clínicas heterogéneas garantizando seguridad y privacidad de datos. El problema abordado fue en Perú no existe integración automática de historias clínicas entre establecimientos. La metodología utilizada consistió en diseño de arquitectura, homologación a recursos FHIR y simulación de caso. Los instrumentos de validación incluyeron encuesta de adopción (n=30 pacientes) y usabilidad (n=10 médicos). En cuanto a resultados, reportan niveles muy altos de adopción/usabilidad y factibilidad sin reemplazar sistemas legados. En relación con las brechas objeto de esta tesis, el estudio aporta evidencia sobre </w:t>
      </w:r>
      <w:r>
        <w:rPr>
          <w:i/>
          <w:iCs/>
        </w:rPr>
        <w:t>trazabilidad</w:t>
      </w:r>
      <w:r>
        <w:t xml:space="preserve"> (el componente </w:t>
      </w:r>
      <w:proofErr w:type="spellStart"/>
      <w:r>
        <w:t>blockchain</w:t>
      </w:r>
      <w:proofErr w:type="spellEnd"/>
      <w:r>
        <w:t xml:space="preserve"> genera registro inmutable de transacciones) y </w:t>
      </w:r>
      <w:r>
        <w:rPr>
          <w:i/>
          <w:iCs/>
        </w:rPr>
        <w:t>codificación</w:t>
      </w:r>
      <w:r>
        <w:t xml:space="preserve"> (la homologación a recursos FHIR estandariza la representación de datos), aunque no mide el efecto sobre </w:t>
      </w:r>
      <w:r>
        <w:rPr>
          <w:i/>
          <w:iCs/>
        </w:rPr>
        <w:t>completitud</w:t>
      </w:r>
      <w:r>
        <w:t xml:space="preserve"> ni </w:t>
      </w:r>
      <w:r>
        <w:rPr>
          <w:i/>
          <w:iCs/>
        </w:rPr>
        <w:t>duplicidad</w:t>
      </w:r>
      <w:r>
        <w:t xml:space="preserve"> de los registros clínicos.</w:t>
      </w:r>
    </w:p>
    <w:p w14:paraId="3B81599A" w14:textId="77777777" w:rsidR="00751FD9" w:rsidRDefault="006124A7">
      <w:r>
        <w:rPr>
          <w:b/>
          <w:bCs/>
        </w:rPr>
        <w:t>PORRAS GAMARRA (2024)</w:t>
      </w:r>
      <w:r>
        <w:t xml:space="preserve"> Como aporte, documenta implementación de interoperabilidad HL7 FHIR + </w:t>
      </w:r>
      <w:proofErr w:type="spellStart"/>
      <w:r>
        <w:t>openEHR</w:t>
      </w:r>
      <w:proofErr w:type="spellEnd"/>
      <w:r>
        <w:t xml:space="preserve"> en entorno real. El objetivo del estudio fue </w:t>
      </w:r>
      <w:r>
        <w:lastRenderedPageBreak/>
        <w:t>validar intercambio clínico efectivo y persistencia semántica con estándares internacionales. El problema abordado fue brecha tecnológica entre sistemas interoperables avanzados y realidad peruana fragmentada. La metodología utilizada consistió en estudio de suficiencia profesional con análisis de implementación del proyecto M-</w:t>
      </w:r>
      <w:proofErr w:type="spellStart"/>
      <w:r>
        <w:t>Connecta</w:t>
      </w:r>
      <w:proofErr w:type="spellEnd"/>
      <w:r>
        <w:t xml:space="preserve">. Los instrumentos de validación incluyeron verificación funcional de mensajería FHIR y persistencia con arquetipos </w:t>
      </w:r>
      <w:proofErr w:type="spellStart"/>
      <w:r>
        <w:t>openEHR</w:t>
      </w:r>
      <w:proofErr w:type="spellEnd"/>
      <w:r>
        <w:t xml:space="preserve">. En cuanto a resultados, evidencia viabilidad técnica y recomienda adopción de FHIR en historias clínicas peruanas. Su diseño aborda directamente </w:t>
      </w:r>
      <w:r>
        <w:rPr>
          <w:i/>
          <w:iCs/>
        </w:rPr>
        <w:t>completitud</w:t>
      </w:r>
      <w:r>
        <w:t xml:space="preserve"> (los arquetipos </w:t>
      </w:r>
      <w:proofErr w:type="spellStart"/>
      <w:r>
        <w:t>openEHR</w:t>
      </w:r>
      <w:proofErr w:type="spellEnd"/>
      <w:r>
        <w:t xml:space="preserve"> estructuran el contenido completo del registro) y </w:t>
      </w:r>
      <w:r>
        <w:rPr>
          <w:i/>
          <w:iCs/>
        </w:rPr>
        <w:t>codificación</w:t>
      </w:r>
      <w:r>
        <w:t xml:space="preserve"> (FHIR normaliza la representación semántica del intercambio), sentando precedente técnico para las brechas que esta tesis busca diagnosticar.</w:t>
      </w:r>
    </w:p>
    <w:p w14:paraId="6C5742DB" w14:textId="77777777" w:rsidR="00751FD9" w:rsidRDefault="006124A7">
      <w:r>
        <w:rPr>
          <w:b/>
          <w:bCs/>
        </w:rPr>
        <w:t>ARRUÉ PAJARES Y VARGAS RIOJA (2022)</w:t>
      </w:r>
      <w:r>
        <w:t xml:space="preserve"> Como aporte, implementan HIS interoperable basado en HL7 para centros de categoría II-1 o superior. El objetivo del estudio fue integrar módulos administrativos y clínicos para mejorar flujo hospitalario e intercambio. El problema abordado fue sistemas de salud peruanos fraccionados y sin integración efectiva entre componentes. La metodología utilizada consistió en desarrollo de plataforma web HIS con protocolo HL7 para interoperar módulos HIMS. Los instrumentos de validación incluyeron pruebas de integración entre módulos (HCE, farmacia, laboratorio y radiología). En cuanto a resultados, demuestran factibilidad de interoperabilidad operativa en contexto nacional con HL7. El estudio incide en </w:t>
      </w:r>
      <w:r>
        <w:rPr>
          <w:i/>
          <w:iCs/>
        </w:rPr>
        <w:t>duplicidad</w:t>
      </w:r>
      <w:r>
        <w:t xml:space="preserve"> (la integración entre módulos HCE, farmacia y laboratorio reduce registros redundantes) y </w:t>
      </w:r>
      <w:r>
        <w:rPr>
          <w:i/>
          <w:iCs/>
        </w:rPr>
        <w:t>completitud</w:t>
      </w:r>
      <w:r>
        <w:t xml:space="preserve"> (el flujo unificado asegura que la información clínica se transfiera íntegramente entre componentes del HIS).</w:t>
      </w:r>
    </w:p>
    <w:p w14:paraId="6AACCA8F" w14:textId="77777777" w:rsidR="00751FD9" w:rsidRDefault="006124A7">
      <w:r>
        <w:rPr>
          <w:b/>
          <w:bCs/>
        </w:rPr>
        <w:t>BAYONA CASTAÑEDA (2019)</w:t>
      </w:r>
      <w:r>
        <w:t xml:space="preserve"> Como aporte, presenta diagnóstico estructural de la historia clínica electrónica en el sistema peruano. El objetivo del estudio fue analizar evolución normativa y barreras de implementación de HCE y RENHICE. El problema abordado fue fragmentación MINSA-EsSalud, baja conectividad e implementación desigual de plataformas. La metodología utilizada consistió en trabajo de fin de máster con revisión documental y análisis del ecosistema nacional. Los instrumentos de validación incluyeron análisis normativo-técnico de Ley 30024, RENHICE y experiencias institucionales. En cuanto a resultados, identifica </w:t>
      </w:r>
      <w:r>
        <w:lastRenderedPageBreak/>
        <w:t xml:space="preserve">persistencia de múltiples historias por paciente y bajo avance interoperable. Este hallazgo conecta directamente con la brecha de </w:t>
      </w:r>
      <w:r>
        <w:rPr>
          <w:i/>
          <w:iCs/>
        </w:rPr>
        <w:t>duplicidad</w:t>
      </w:r>
      <w:r>
        <w:t xml:space="preserve"> (múltiples HCE por paciente en distintas instituciones) y de </w:t>
      </w:r>
      <w:r>
        <w:rPr>
          <w:i/>
          <w:iCs/>
        </w:rPr>
        <w:t>trazabilidad</w:t>
      </w:r>
      <w:r>
        <w:t xml:space="preserve"> (imposibilidad de seguir la continuidad del registro entre MINSA y EsSalud), confirmando que las brechas persisten a nivel del ecosistema nacional.</w:t>
      </w:r>
    </w:p>
    <w:p w14:paraId="01E3CBA9" w14:textId="77777777" w:rsidR="00751FD9" w:rsidRDefault="006124A7">
      <w:r>
        <w:rPr>
          <w:b/>
          <w:bCs/>
        </w:rPr>
        <w:t>ESPARZA MORGAN (2025)</w:t>
      </w:r>
      <w:r>
        <w:t xml:space="preserve"> Como aporte, relaciona madurez de HCE única con mejora de gestión de calidad en hospital EsSalud. El objetivo del estudio fue medir influencia de la HCE en planificación, organización y garantía de servicios. El problema abordado fue desempeño de calidad hospitalaria afectado por gestión clínica no plenamente digitalizada. La metodología utilizada consistió en estudio correlacional aplicado en entorno hospitalario peruano. Los instrumentos de validación incluyeron indicadores de calidad de gestión y medición de madurez de uso de HCE. En cuanto a resultados, reporta correlaciones positivas; mayor uso de HCE se asocia con mejor desempeño de calidad. La correlación entre madurez de HCE y calidad de gestión aporta evidencia indirecta sobre </w:t>
      </w:r>
      <w:r>
        <w:rPr>
          <w:i/>
          <w:iCs/>
        </w:rPr>
        <w:t>completitud</w:t>
      </w:r>
      <w:r>
        <w:t xml:space="preserve"> (la HCE única consolida el registro clínico) y refuerza que cerrar brechas de digitalización impacta los indicadores de calidad del intercambio que esta tesis se propone medir.</w:t>
      </w:r>
    </w:p>
    <w:p w14:paraId="1B08C19A" w14:textId="77777777" w:rsidR="00751FD9" w:rsidRDefault="006124A7">
      <w:r>
        <w:rPr>
          <w:b/>
          <w:bCs/>
        </w:rPr>
        <w:t>ARIAS GERONIMO (2025)</w:t>
      </w:r>
      <w:r>
        <w:t xml:space="preserve"> Como aporte, evidencia vínculo entre confiabilidad de HCE y calidad de servicios preventivos. El objetivo del estudio fue determinar relación entre calidad del registro electrónico y prestación preventiva en </w:t>
      </w:r>
      <w:proofErr w:type="spellStart"/>
      <w:r>
        <w:t>microred</w:t>
      </w:r>
      <w:proofErr w:type="spellEnd"/>
      <w:r>
        <w:t xml:space="preserve">. El problema abordado fue inconsistencias de datos y baja disponibilidad afectan continuidad y calidad percibida del servicio. La metodología utilizada consistió en estudio correlacional en red pública de primer nivel. Los instrumentos de validación incluyeron medición de confiabilidad del registro y desempeño en servicios preventivos. En cuanto a resultados, asociación positiva moderada y significativa entre confiabilidad HCE y prestación preventiva. Las dimensiones evaluadas —precisión de datos, disponibilidad del sistema y usabilidad— se alinean con las brechas de </w:t>
      </w:r>
      <w:r>
        <w:rPr>
          <w:i/>
          <w:iCs/>
        </w:rPr>
        <w:t>completitud</w:t>
      </w:r>
      <w:r>
        <w:t xml:space="preserve"> (datos precisos y completos) y </w:t>
      </w:r>
      <w:r>
        <w:rPr>
          <w:i/>
          <w:iCs/>
        </w:rPr>
        <w:t>codificación</w:t>
      </w:r>
      <w:r>
        <w:t xml:space="preserve"> (estandarización del registro que posibilita confiabilidad), reforzando la pertinencia de diagnosticar estas brechas en establecimientos del primer nivel.</w:t>
      </w:r>
    </w:p>
    <w:p w14:paraId="39F7F50F" w14:textId="77777777" w:rsidR="00751FD9" w:rsidRDefault="006124A7">
      <w:r>
        <w:rPr>
          <w:b/>
          <w:bCs/>
        </w:rPr>
        <w:t>SÁNCHEZ CALLE (2024)</w:t>
      </w:r>
      <w:r>
        <w:t xml:space="preserve"> Como aporte, formula arquitectura y requisitos de HCE ocupacional con base en ISO 18308 e ISO 13606. El objetivo del estudio fue definir </w:t>
      </w:r>
      <w:r>
        <w:lastRenderedPageBreak/>
        <w:t xml:space="preserve">especificaciones formales para interoperabilidad y sostenibilidad de HCE ocupacional. El problema abordado fue ausencia de requerimientos técnicos estandarizados para intercambio clínico ocupacional. La metodología utilizada consistió en desarrollo de propuesta arquitectónica basada en normas internacionales. Los instrumentos de validación incluyeron trazabilidad de requisitos normativos y consistencia del diseño arquitectónico. En cuanto a resultados, entrega marco técnico aplicable para diseño interoperable y gobernable de HCE ocupacional. Su propuesta aborda las brechas de </w:t>
      </w:r>
      <w:r>
        <w:rPr>
          <w:i/>
          <w:iCs/>
        </w:rPr>
        <w:t>codificación</w:t>
      </w:r>
      <w:r>
        <w:t xml:space="preserve"> (uso de ISO 13606 para normalizar la estructura del registro) y </w:t>
      </w:r>
      <w:r>
        <w:rPr>
          <w:i/>
          <w:iCs/>
        </w:rPr>
        <w:t>completitud</w:t>
      </w:r>
      <w:r>
        <w:t xml:space="preserve"> (requisitos formales que aseguran la integralidad de los campos clínicos), aunque no evalúa su impacto operativo en </w:t>
      </w:r>
      <w:r>
        <w:rPr>
          <w:i/>
          <w:iCs/>
        </w:rPr>
        <w:t>duplicidad</w:t>
      </w:r>
      <w:r>
        <w:t xml:space="preserve"> ni </w:t>
      </w:r>
      <w:r>
        <w:rPr>
          <w:i/>
          <w:iCs/>
        </w:rPr>
        <w:t>trazabilidad</w:t>
      </w:r>
      <w:r>
        <w:t>.</w:t>
      </w:r>
    </w:p>
    <w:p w14:paraId="78810F32" w14:textId="77777777" w:rsidR="00751FD9" w:rsidRDefault="006124A7">
      <w:r>
        <w:rPr>
          <w:b/>
          <w:bCs/>
        </w:rPr>
        <w:t>FERNÁNDEZ INFANZÓN Y HUARAC CUIZANO (2021)</w:t>
      </w:r>
      <w:r>
        <w:t xml:space="preserve"> Como aporte, proponen plan de negocio para integrar IPRESS a plataforma interoperable de HCE. El objetivo del estudio fue viabilizar articulación entre prestadores públicos/privados con </w:t>
      </w:r>
      <w:proofErr w:type="spellStart"/>
      <w:r>
        <w:t>blockchain</w:t>
      </w:r>
      <w:proofErr w:type="spellEnd"/>
      <w:r>
        <w:t xml:space="preserve"> y biometría. El problema abordado fue barreras de confianza, trazabilidad y coordinación institucional para intercambio clínico. La metodología utilizada consistió en diseño de plan de negocio con enfoque tecnológico y de adopción </w:t>
      </w:r>
      <w:proofErr w:type="spellStart"/>
      <w:r>
        <w:t>multiactor</w:t>
      </w:r>
      <w:proofErr w:type="spellEnd"/>
      <w:r>
        <w:t xml:space="preserve">. Los instrumentos de validación incluyeron evaluación de viabilidad, propuesta de modelo operativo y análisis de </w:t>
      </w:r>
      <w:proofErr w:type="spellStart"/>
      <w:r>
        <w:t>stakeholders</w:t>
      </w:r>
      <w:proofErr w:type="spellEnd"/>
      <w:r>
        <w:t xml:space="preserve">. En cuanto a resultados, definen esquema de implementación gradual para interoperabilidad institucional en IPRESS. La propuesta apunta a reducir </w:t>
      </w:r>
      <w:r>
        <w:rPr>
          <w:i/>
          <w:iCs/>
        </w:rPr>
        <w:t>duplicidad</w:t>
      </w:r>
      <w:r>
        <w:t xml:space="preserve"> (identificación única del paciente con biometría) y a mejorar </w:t>
      </w:r>
      <w:r>
        <w:rPr>
          <w:i/>
          <w:iCs/>
        </w:rPr>
        <w:t>trazabilidad</w:t>
      </w:r>
      <w:r>
        <w:t xml:space="preserve"> (</w:t>
      </w:r>
      <w:proofErr w:type="spellStart"/>
      <w:r>
        <w:t>blockchain</w:t>
      </w:r>
      <w:proofErr w:type="spellEnd"/>
      <w:r>
        <w:t xml:space="preserve"> como registro inmutable de accesos y flujos), aunque permanece en nivel de plan de negocio sin validación operativa.</w:t>
      </w:r>
    </w:p>
    <w:p w14:paraId="0A30EDB3" w14:textId="77777777" w:rsidR="00751FD9" w:rsidRDefault="006124A7">
      <w:r>
        <w:rPr>
          <w:b/>
          <w:bCs/>
        </w:rPr>
        <w:t>BRAN ET AL. (2024)</w:t>
      </w:r>
      <w:r>
        <w:t xml:space="preserve"> Como aporte, integran </w:t>
      </w:r>
      <w:proofErr w:type="spellStart"/>
      <w:r>
        <w:t>blockchain</w:t>
      </w:r>
      <w:proofErr w:type="spellEnd"/>
      <w:r>
        <w:t xml:space="preserve">, IPFS y HL7 para fortalecer intercambio de historias clínicas electrónicas. El objetivo del estudio fue mejorar inmutabilidad, auditabilidad y confianza sobre flujo de datos clínicos compartidos. El problema abordado fue riesgos de manipulación, baja trazabilidad y confianza limitada en ecosistemas interoperables. La metodología utilizada consistió en diseño de arquitectura híbrida y evaluación funcional de interoperabilidad segura. Los instrumentos de validación incluyeron pruebas de integridad, trazabilidad de transacciones y consistencia de intercambio. En cuanto a resultados, evidencian </w:t>
      </w:r>
      <w:r>
        <w:lastRenderedPageBreak/>
        <w:t xml:space="preserve">mejora en auditabilidad e integridad al combinar HL7 con </w:t>
      </w:r>
      <w:proofErr w:type="spellStart"/>
      <w:r>
        <w:t>blockchain</w:t>
      </w:r>
      <w:proofErr w:type="spellEnd"/>
      <w:r>
        <w:t xml:space="preserve">/IPFS. La contribución apunta centralmente a la brecha de </w:t>
      </w:r>
      <w:r>
        <w:rPr>
          <w:i/>
          <w:iCs/>
        </w:rPr>
        <w:t>trazabilidad</w:t>
      </w:r>
      <w:r>
        <w:t xml:space="preserve"> (registro inmutable de cada transacción clínica) y de </w:t>
      </w:r>
      <w:r>
        <w:rPr>
          <w:i/>
          <w:iCs/>
        </w:rPr>
        <w:t>duplicidad</w:t>
      </w:r>
      <w:r>
        <w:t xml:space="preserve"> (IPFS como repositorio descentralizado que evita copias redundantes del mismo documento).</w:t>
      </w:r>
    </w:p>
    <w:p w14:paraId="121B9B4F" w14:textId="77777777" w:rsidR="00751FD9" w:rsidRDefault="006124A7">
      <w:r>
        <w:rPr>
          <w:b/>
          <w:bCs/>
        </w:rPr>
        <w:t>MORALES-CAMARGO Y MENESES-CLAUDIO (2023)</w:t>
      </w:r>
      <w:r>
        <w:t xml:space="preserve"> Como aporte, sintetizan impacto del registro médico electrónico en atención y gestión sanitaria. El objetivo del estudio fue evaluar beneficios y barreras de implementación de EMR en evidencia reciente. El problema abordado fue adopción desigual de EMR y brechas de estandarización/capacitación en servicios de salud. La metodología utilizada consistió en revisión sistemática del periodo 2013-2023. Los instrumentos de validación incluyeron búsqueda estructurada y análisis comparativo de resultados reportados. En cuanto a resultados, reportan mejoras en acceso, soporte a decisión y eficiencia, con barreras de adopción persistentes. La revisión confirma que las barreras de estandarización inciden en </w:t>
      </w:r>
      <w:r>
        <w:rPr>
          <w:i/>
          <w:iCs/>
        </w:rPr>
        <w:t>codificación</w:t>
      </w:r>
      <w:r>
        <w:t xml:space="preserve"> (heterogeneidad de formatos entre sistemas) y que la adopción desigual perpetúa brechas de </w:t>
      </w:r>
      <w:r>
        <w:rPr>
          <w:i/>
          <w:iCs/>
        </w:rPr>
        <w:t>completitud</w:t>
      </w:r>
      <w:r>
        <w:t xml:space="preserve"> (campos clínicos incompletos o ausentes), hallazgos convergentes con el contexto peruano que esta tesis busca diagnosticar.</w:t>
      </w:r>
    </w:p>
    <w:p w14:paraId="4821F0C7" w14:textId="3A98BC18" w:rsidR="00751FD9" w:rsidRDefault="006124A7">
      <w:pPr>
        <w:pStyle w:val="Ttulo3"/>
      </w:pPr>
      <w:bookmarkStart w:id="46" w:name="síntesis-crítica-de-antecedentes"/>
      <w:bookmarkStart w:id="47" w:name="_Toc225537556"/>
      <w:bookmarkEnd w:id="44"/>
      <w:r>
        <w:t>2.1.</w:t>
      </w:r>
      <w:proofErr w:type="gramStart"/>
      <w:r>
        <w:t>3.Síntesis</w:t>
      </w:r>
      <w:proofErr w:type="gramEnd"/>
      <w:r>
        <w:t xml:space="preserve"> crítica de antecedentes</w:t>
      </w:r>
      <w:bookmarkEnd w:id="47"/>
    </w:p>
    <w:p w14:paraId="591EDC48" w14:textId="77777777" w:rsidR="00751FD9" w:rsidRDefault="006124A7">
      <w:r>
        <w:t>La revisión internacional y nacional muestra convergencia en cuatro hallazgos articulados con las dimensiones de calidad que esta tesis propone evaluar.</w:t>
      </w:r>
    </w:p>
    <w:p w14:paraId="0FF595C5" w14:textId="77777777" w:rsidR="00751FD9" w:rsidRDefault="006124A7">
      <w:r>
        <w:rPr>
          <w:b/>
          <w:bCs/>
        </w:rPr>
        <w:t xml:space="preserve">Primero, FHIR como estándar articulador del intercambio y su vínculo con la </w:t>
      </w:r>
      <w:r>
        <w:rPr>
          <w:b/>
          <w:bCs/>
          <w:i/>
          <w:iCs/>
        </w:rPr>
        <w:t>consistencia</w:t>
      </w:r>
      <w:r>
        <w:rPr>
          <w:b/>
          <w:bCs/>
        </w:rPr>
        <w:t xml:space="preserve"> del dato clínico.</w:t>
      </w:r>
      <w:r>
        <w:t xml:space="preserve"> Existe consenso sobre FHIR como eje técnico del intercambio (Vorisek et al., 2022; </w:t>
      </w:r>
      <w:proofErr w:type="spellStart"/>
      <w:r>
        <w:t>Torab-Miandoab</w:t>
      </w:r>
      <w:proofErr w:type="spellEnd"/>
      <w:r>
        <w:t xml:space="preserve"> et al., 2023; Tabari et al., 2024), pero su efectividad depende de perfiles, terminologías y reglas de implementación consistentes (Kramer y </w:t>
      </w:r>
      <w:proofErr w:type="spellStart"/>
      <w:r>
        <w:t>Moesel</w:t>
      </w:r>
      <w:proofErr w:type="spellEnd"/>
      <w:r>
        <w:t>, 2023; Chatterjee et al., 2022; Monsen et al., 2023). Cuando los perfiles FHIR no son uniformes, los datos intercambiados pierden consistencia semántica entre emisor y receptor —dimensión que esta tesis medirá como indicador operativo—.</w:t>
      </w:r>
    </w:p>
    <w:p w14:paraId="5B7F5159" w14:textId="77777777" w:rsidR="00751FD9" w:rsidRDefault="006124A7">
      <w:r>
        <w:rPr>
          <w:b/>
          <w:bCs/>
        </w:rPr>
        <w:t xml:space="preserve">Segundo, gobernanza institucional y su relación con la </w:t>
      </w:r>
      <w:r>
        <w:rPr>
          <w:b/>
          <w:bCs/>
          <w:i/>
          <w:iCs/>
        </w:rPr>
        <w:t>disponibilidad</w:t>
      </w:r>
      <w:r>
        <w:rPr>
          <w:b/>
          <w:bCs/>
        </w:rPr>
        <w:t xml:space="preserve"> del intercambio.</w:t>
      </w:r>
      <w:r>
        <w:t xml:space="preserve"> La interoperabilidad sostenible requiere gobernanza explícita, arreglos institucionales y federación de datos (Holmgren et al., 2023; Richwine et </w:t>
      </w:r>
      <w:r>
        <w:lastRenderedPageBreak/>
        <w:t>al., 2025; Raab et al., 2023). Gaudet-</w:t>
      </w:r>
      <w:proofErr w:type="spellStart"/>
      <w:r>
        <w:t>Blavignac</w:t>
      </w:r>
      <w:proofErr w:type="spellEnd"/>
      <w:r>
        <w:t xml:space="preserve"> et al. (2021) demuestran </w:t>
      </w:r>
      <w:proofErr w:type="gramStart"/>
      <w:r>
        <w:t>que</w:t>
      </w:r>
      <w:proofErr w:type="gramEnd"/>
      <w:r>
        <w:t xml:space="preserve"> sin una estrategia semántica coordinada a escala nacional, los datos clínicos no están disponibles para uso secundario. La disponibilidad del intercambio —porcentaje de transacciones FHIR exitosas sobre el total esperado— es un indicador clave que la presente investigación evaluará antes y después de la intervención.</w:t>
      </w:r>
    </w:p>
    <w:p w14:paraId="3E60B8AC" w14:textId="77777777" w:rsidR="00751FD9" w:rsidRDefault="006124A7">
      <w:r>
        <w:rPr>
          <w:b/>
          <w:bCs/>
        </w:rPr>
        <w:t xml:space="preserve">Tercero, brechas nacionales en </w:t>
      </w:r>
      <w:r>
        <w:rPr>
          <w:b/>
          <w:bCs/>
          <w:i/>
          <w:iCs/>
        </w:rPr>
        <w:t>integridad</w:t>
      </w:r>
      <w:r>
        <w:rPr>
          <w:b/>
          <w:bCs/>
        </w:rPr>
        <w:t xml:space="preserve"> y </w:t>
      </w:r>
      <w:r>
        <w:rPr>
          <w:b/>
          <w:bCs/>
          <w:i/>
          <w:iCs/>
        </w:rPr>
        <w:t>completitud</w:t>
      </w:r>
      <w:r>
        <w:rPr>
          <w:b/>
          <w:bCs/>
        </w:rPr>
        <w:t xml:space="preserve"> del registro clínico.</w:t>
      </w:r>
      <w:r>
        <w:t xml:space="preserve"> En Perú, la evidencia confirma avances en propuestas y pilotos, pero con heterogeneidad de madurez digital y adopción operativa (Bayona Castañeda, 2019; Mauricio et al., 2024; Porras Gamarra, 2024; Arrué Pajares y Vargas Rioja, 2022). Esparza Morgan (2025) y Arias Geronimo (2025) aportan evidencia correlacional de que la madurez y confiabilidad de la HCE inciden en la calidad del servicio, pero ninguno mide directamente la integridad de los datos intercambiados ni la completitud de los campos clínicos obligatorios. Morales-Camargo y Meneses-Claudio (2023) confirman que la adopción desigual de EMR perpetúa campos clínicos incompletos, hallazgo convergente con el contexto peruano que esta tesis busca diagnosticar.</w:t>
      </w:r>
    </w:p>
    <w:p w14:paraId="1F996332" w14:textId="77777777" w:rsidR="00751FD9" w:rsidRDefault="006124A7">
      <w:r>
        <w:rPr>
          <w:b/>
          <w:bCs/>
        </w:rPr>
        <w:t xml:space="preserve">Cuarto, trazabilidad y </w:t>
      </w:r>
      <w:r>
        <w:rPr>
          <w:b/>
          <w:bCs/>
          <w:i/>
          <w:iCs/>
        </w:rPr>
        <w:t>continuidad</w:t>
      </w:r>
      <w:r>
        <w:rPr>
          <w:b/>
          <w:bCs/>
        </w:rPr>
        <w:t xml:space="preserve"> del dato a lo largo del circuito clínico.</w:t>
      </w:r>
      <w:r>
        <w:t xml:space="preserve"> Las propuestas de </w:t>
      </w:r>
      <w:proofErr w:type="spellStart"/>
      <w:r>
        <w:t>blockchain</w:t>
      </w:r>
      <w:proofErr w:type="spellEnd"/>
      <w:r>
        <w:t xml:space="preserve"> aplicadas a la interoperabilidad (Bran et al., 2024; Fernández Infanzón y </w:t>
      </w:r>
      <w:proofErr w:type="spellStart"/>
      <w:r>
        <w:t>Huarac</w:t>
      </w:r>
      <w:proofErr w:type="spellEnd"/>
      <w:r>
        <w:t xml:space="preserve"> Cuizano, 2021; Mauricio et al., 2024) abordan la trazabilidad transaccional, pero no evalúan la continuidad del dato clínico desde el registro inicial hasta su recuperación por otro establecimiento. La continuidad —entendida como la preservación del registro a lo largo del circuito de atención— constituye un indicador que diferencia esta tesis de las propuestas nacionales existentes.</w:t>
      </w:r>
    </w:p>
    <w:p w14:paraId="5A7F3E4B" w14:textId="77777777" w:rsidR="00751FD9" w:rsidRDefault="006124A7">
      <w:r>
        <w:t xml:space="preserve">En términos de brecha de investigación, aún son escasos los estudios nacionales que integren en un mismo diseño: (a) diagnóstico estructurado de brechas de completitud, codificación, duplicidad y trazabilidad; (b) implementación técnica alineada a HL7 FHIR; y (c) evaluación </w:t>
      </w:r>
      <w:proofErr w:type="spellStart"/>
      <w:r>
        <w:t>pre-post</w:t>
      </w:r>
      <w:proofErr w:type="spellEnd"/>
      <w:r>
        <w:t xml:space="preserve"> con indicadores de integridad, consistencia, disponibilidad y continuidad del intercambio clínico. Esta brecha justifica el enfoque trifásico de la presente tesis y orienta su aporte incremental frente al estado del arte.</w:t>
      </w:r>
    </w:p>
    <w:p w14:paraId="5E85A7E0" w14:textId="77777777" w:rsidR="00751FD9" w:rsidRDefault="006124A7">
      <w:r>
        <w:lastRenderedPageBreak/>
        <w:t xml:space="preserve">A nivel regulatorio, Perú cuenta con el marco normativo específico emitido por el MINSA: la RM </w:t>
      </w:r>
      <w:proofErr w:type="spellStart"/>
      <w:r>
        <w:t>N°</w:t>
      </w:r>
      <w:proofErr w:type="spellEnd"/>
      <w:r>
        <w:t xml:space="preserve"> 1104-2018-MINSA que establece la Infraestructura de Estándares de Datos en Salud (IEDS), la RM </w:t>
      </w:r>
      <w:proofErr w:type="spellStart"/>
      <w:r>
        <w:t>N°</w:t>
      </w:r>
      <w:proofErr w:type="spellEnd"/>
      <w:r>
        <w:t xml:space="preserve"> 464-2019-MINSA que define la Red Nacional de Interoperabilidad en Datos de Salud (RNIEDS), y la RM </w:t>
      </w:r>
      <w:proofErr w:type="spellStart"/>
      <w:r>
        <w:t>N°</w:t>
      </w:r>
      <w:proofErr w:type="spellEnd"/>
      <w:r>
        <w:t xml:space="preserve"> 1193-2019-MINSA que regula la Plataforma de Interoperabilidad de Datos Estándares de Salud (PIDESALUD). Sin embargo, la implementación operativa de estas normativas permanece incompleta y heterogénea entre establecimientos, como lo muestran los diagnósticos nacionales recientes (Bayona Castañeda, 2019; Mauricio et al., 2024; Esparza Morgan, 2025; Arias Geronimo, 2025).</w:t>
      </w:r>
    </w:p>
    <w:p w14:paraId="4886140A" w14:textId="1074C66E" w:rsidR="00751FD9" w:rsidRDefault="006124A7">
      <w:pPr>
        <w:pStyle w:val="Ttulo2"/>
      </w:pPr>
      <w:bookmarkStart w:id="48" w:name="bases-teóricas"/>
      <w:bookmarkStart w:id="49" w:name="_Toc225537557"/>
      <w:bookmarkEnd w:id="40"/>
      <w:bookmarkEnd w:id="46"/>
      <w:r>
        <w:t>2.</w:t>
      </w:r>
      <w:proofErr w:type="gramStart"/>
      <w:r>
        <w:t>2.Bases</w:t>
      </w:r>
      <w:proofErr w:type="gramEnd"/>
      <w:r>
        <w:t xml:space="preserve"> teóricas</w:t>
      </w:r>
      <w:bookmarkEnd w:id="49"/>
    </w:p>
    <w:p w14:paraId="5ABBB167" w14:textId="77777777" w:rsidR="00751FD9" w:rsidRDefault="006124A7">
      <w:r>
        <w:t>Las bases teóricas del estudio se sustentan en la interoperabilidad en salud, la arquitectura de intercambio de información clínica y la estandarización semántica. La propuesta integra estándares de mensajería e intercambio (HL7/FHIR), estructuración documental clínica (CDA/CCD), codificación clínica (CIE-10, CPMS) y criterios de evaluación de calidad de datos clínicos en entornos de atención pública.</w:t>
      </w:r>
    </w:p>
    <w:p w14:paraId="6D919A3A" w14:textId="6AED180A" w:rsidR="00751FD9" w:rsidRDefault="006124A7">
      <w:pPr>
        <w:pStyle w:val="Ttulo3"/>
      </w:pPr>
      <w:bookmarkStart w:id="50" w:name="desarrollo-histórico"/>
      <w:bookmarkStart w:id="51" w:name="_Toc225537558"/>
      <w:r>
        <w:t>2.2.</w:t>
      </w:r>
      <w:proofErr w:type="gramStart"/>
      <w:r>
        <w:t>1.Desarrollo</w:t>
      </w:r>
      <w:proofErr w:type="gramEnd"/>
      <w:r>
        <w:t xml:space="preserve"> histórico</w:t>
      </w:r>
      <w:bookmarkEnd w:id="51"/>
    </w:p>
    <w:p w14:paraId="05D68CCC" w14:textId="77777777" w:rsidR="00751FD9" w:rsidRDefault="006124A7">
      <w:r>
        <w:t xml:space="preserve">La interoperabilidad en salud ha evolucionado progresivamente durante las últimas décadas, desde la digitalización de registros médicos en papel hasta los sistemas de intercambio electrónico basados en estándares. Según Surisetty (2026), las iniciativas de interoperabilidad clínica comenzaron con la mensajería HL7 v2, avanzaron a través de estándares centrados en documentos como CDA y CCD, y más recientemente han migrado hacia la interoperabilidad basada en </w:t>
      </w:r>
      <w:proofErr w:type="spellStart"/>
      <w:r>
        <w:t>APIs</w:t>
      </w:r>
      <w:proofErr w:type="spellEnd"/>
      <w:r>
        <w:t xml:space="preserve"> con HL7 FHIR. Amar et al. (2024) documentan que FHIR fue desarrollado por la organización Health Level Seven International (HL7) con el objetivo de evolucionar los estándares de mensajería para lograr la interoperabilidad semántica, combinando las mejores características de HL7 versión 2, versión 3 y CDA, al tiempo que aprovecha las últimas tecnologías web.</w:t>
      </w:r>
    </w:p>
    <w:p w14:paraId="12E42CFA" w14:textId="77777777" w:rsidR="00751FD9" w:rsidRDefault="006124A7">
      <w:r>
        <w:t xml:space="preserve">Vorisek et al. (2022) observaron un crecimiento significativo en la adopción de FHIR en años recientes, y un intervalo de cinco años entre la publicación del estándar FHIR y la primera publicación científica de interés al respecto, con Alemania y </w:t>
      </w:r>
      <w:r>
        <w:lastRenderedPageBreak/>
        <w:t xml:space="preserve">Estados Unidos liderando el número de publicaciones. En el contexto europeo, Raab et al. (2023) describen cómo la Comisión Europea ha propuesto el </w:t>
      </w:r>
      <w:proofErr w:type="spellStart"/>
      <w:r>
        <w:t>European</w:t>
      </w:r>
      <w:proofErr w:type="spellEnd"/>
      <w:r>
        <w:t xml:space="preserve"> Health Data Space (EHDS) para empoderar a los ciudadanos a acceder a sus datos de salud y compartirlos con médicos. En América Latina, el desarrollo ha sido más reciente; en Perú, Bayona Castañeda (2019) documentó que la implementación de la HCE ha estado marcada por la fragmentación del sistema de salud, la inestabilidad política y la falta de integración entre MINSA y EsSalud, evidenciando que el objetivo de interoperabilidad del RENHICE se encontraba rezagado. Posteriormente, Arrué Pajares y Vargas Rioja (2022) implementaron un HIS interoperable basado en HL7 v2 para centros de categoría II-1, demostrando la viabilidad técnica del estándar en el contexto peruano. Más recientemente, Mauricio et al. (2024) señalan que el acceso al EHR ha aumentado, pero persisten brechas significativas de conectividad e integración entre establecimientos, y Porras Gamarra (2024) recomienda la adopción de FHIR en las HCE del país basándose en su experiencia de implementación de interoperabilidad HL7 FHIR y </w:t>
      </w:r>
      <w:proofErr w:type="spellStart"/>
      <w:r>
        <w:t>openEHR</w:t>
      </w:r>
      <w:proofErr w:type="spellEnd"/>
      <w:r>
        <w:t xml:space="preserve"> en Cataluña.</w:t>
      </w:r>
    </w:p>
    <w:p w14:paraId="569E3581" w14:textId="24C02CAC" w:rsidR="00751FD9" w:rsidRDefault="006124A7">
      <w:pPr>
        <w:pStyle w:val="Ttulo3"/>
      </w:pPr>
      <w:bookmarkStart w:id="52" w:name="fundamentación-teórica"/>
      <w:bookmarkStart w:id="53" w:name="_Toc225537559"/>
      <w:bookmarkEnd w:id="50"/>
      <w:r>
        <w:t>2.2.</w:t>
      </w:r>
      <w:proofErr w:type="gramStart"/>
      <w:r>
        <w:t>2.Fundamentación</w:t>
      </w:r>
      <w:proofErr w:type="gramEnd"/>
      <w:r>
        <w:t xml:space="preserve"> teórica</w:t>
      </w:r>
      <w:bookmarkEnd w:id="53"/>
    </w:p>
    <w:p w14:paraId="0E778908" w14:textId="77777777" w:rsidR="00751FD9" w:rsidRDefault="006124A7">
      <w:r>
        <w:rPr>
          <w:b/>
          <w:bCs/>
        </w:rPr>
        <w:t>Niveles de interoperabilidad.</w:t>
      </w:r>
      <w:r>
        <w:t xml:space="preserve"> La </w:t>
      </w:r>
      <w:proofErr w:type="spellStart"/>
      <w:r>
        <w:t>Healthcare</w:t>
      </w:r>
      <w:proofErr w:type="spellEnd"/>
      <w:r>
        <w:t xml:space="preserve"> </w:t>
      </w:r>
      <w:proofErr w:type="spellStart"/>
      <w:r>
        <w:t>Information</w:t>
      </w:r>
      <w:proofErr w:type="spellEnd"/>
      <w:r>
        <w:t xml:space="preserve"> and Management </w:t>
      </w:r>
      <w:proofErr w:type="spellStart"/>
      <w:r>
        <w:t>Systems</w:t>
      </w:r>
      <w:proofErr w:type="spellEnd"/>
      <w:r>
        <w:t xml:space="preserve"> </w:t>
      </w:r>
      <w:proofErr w:type="spellStart"/>
      <w:r>
        <w:t>Society</w:t>
      </w:r>
      <w:proofErr w:type="spellEnd"/>
      <w:r>
        <w:t xml:space="preserve"> (HIMSS) propone cuatro niveles de interoperabilidad: (1) fundacional, que establece los requisitos de interconexión para que un sistema envíe datos a otro; (2) estructural, que define el formato y organización del intercambio de datos; (3) semántico, que asegura que los datos intercambiados sean interpretados con el mismo significado por los sistemas emisor y receptor; y (4) organizacional, que incluye políticas, aspectos sociales y legales que facilitan la comunicación segura y oportuna de datos (Amar et al., 2024). La OPS (2024) sintetiza que para lograr la interoperabilidad deben resolverse la interoperabilidad técnica (transferencia fiable) y la interoperabilidad semántica (comprensión mutua).</w:t>
      </w:r>
    </w:p>
    <w:p w14:paraId="1AD0B25A" w14:textId="77777777" w:rsidR="00751FD9" w:rsidRDefault="006124A7">
      <w:r>
        <w:rPr>
          <w:b/>
          <w:bCs/>
        </w:rPr>
        <w:t>HL7 FHIR.</w:t>
      </w:r>
      <w:r>
        <w:t xml:space="preserve"> FHIR adopta un enfoque modular donde la información granular se representa como entidades modulares independientes llamadas “</w:t>
      </w:r>
      <w:proofErr w:type="spellStart"/>
      <w:r>
        <w:t>Resources</w:t>
      </w:r>
      <w:proofErr w:type="spellEnd"/>
      <w:r>
        <w:t xml:space="preserve">” (recursos). Pimenta et al. (2023) describen cada recurso como un “ladrillo Lego®” de información sanitaria: múltiples recursos FHIR se combinan para formar mensajes con datos del paciente o para construir un EHR completo. Estos recursos </w:t>
      </w:r>
      <w:r>
        <w:lastRenderedPageBreak/>
        <w:t xml:space="preserve">pueden utilizarse solos, extenderse o acoplarse con otros para cubrir la gran mayoría de casos de uso clínico, superando la impredecibilidad inherente del sector salud sin incrementar costos y complejidad progresivamente. Las </w:t>
      </w:r>
      <w:proofErr w:type="spellStart"/>
      <w:r>
        <w:t>APIs</w:t>
      </w:r>
      <w:proofErr w:type="spellEnd"/>
      <w:r>
        <w:t xml:space="preserve"> </w:t>
      </w:r>
      <w:proofErr w:type="spellStart"/>
      <w:r>
        <w:t>RESTful</w:t>
      </w:r>
      <w:proofErr w:type="spellEnd"/>
      <w:r>
        <w:t xml:space="preserve"> y los servicios web generan, gestionan y distribuyen estos recursos (Pimenta et al., 2023).</w:t>
      </w:r>
    </w:p>
    <w:p w14:paraId="5356F43F" w14:textId="77777777" w:rsidR="00751FD9" w:rsidRDefault="006124A7">
      <w:r>
        <w:rPr>
          <w:b/>
          <w:bCs/>
        </w:rPr>
        <w:t>Perfiles e Guías de Implementación FHIR.</w:t>
      </w:r>
      <w:r>
        <w:t xml:space="preserve"> FHIR puede adaptarse a diferentes casos de uso mediante la creación de perfiles (</w:t>
      </w:r>
      <w:proofErr w:type="spellStart"/>
      <w:r>
        <w:t>profiles</w:t>
      </w:r>
      <w:proofErr w:type="spellEnd"/>
      <w:r>
        <w:t xml:space="preserve">), donde los tipos de recursos base se modifican. La descripción general de cómo usar FHIR para un caso de uso se proporciona mediante una Guía de Implementación (IG). Kramer y </w:t>
      </w:r>
      <w:proofErr w:type="spellStart"/>
      <w:r>
        <w:t>Moesel</w:t>
      </w:r>
      <w:proofErr w:type="spellEnd"/>
      <w:r>
        <w:t xml:space="preserve"> (2023) señalan que la comunidad FHIR ha creado cientos de </w:t>
      </w:r>
      <w:proofErr w:type="spellStart"/>
      <w:r>
        <w:t>IGs</w:t>
      </w:r>
      <w:proofErr w:type="spellEnd"/>
      <w:r>
        <w:t xml:space="preserve"> y miles de perfiles, utilizando varias versiones de FHIR, y que aplicaciones que siguen diferentes </w:t>
      </w:r>
      <w:proofErr w:type="spellStart"/>
      <w:r>
        <w:t>IGs</w:t>
      </w:r>
      <w:proofErr w:type="spellEnd"/>
      <w:r>
        <w:t xml:space="preserve"> pueden no ser capaces de interoperar. Estos autores propusieron el método FHIR </w:t>
      </w:r>
      <w:proofErr w:type="spellStart"/>
      <w:r>
        <w:t>Interoperability</w:t>
      </w:r>
      <w:proofErr w:type="spellEnd"/>
      <w:r>
        <w:t xml:space="preserve"> Table (FHIT) para evaluar la interoperabilidad entre clientes y servidores que soportan diferentes recursos, perfiles y versiones.</w:t>
      </w:r>
    </w:p>
    <w:p w14:paraId="49E4EEA7" w14:textId="77777777" w:rsidR="00751FD9" w:rsidRDefault="006124A7">
      <w:r>
        <w:rPr>
          <w:b/>
          <w:bCs/>
        </w:rPr>
        <w:t>Modelos de datos clínicos y FHIR.</w:t>
      </w:r>
      <w:r>
        <w:t xml:space="preserve"> Tabari et al. (2024) identificaron que los modelos de datos FHIR se clasifican en dinámicos (basados en pipelines de transformación) y estáticos (estructuras de datos predefinidas). Los casos de uso clínicos cubren enfermedades crónicas, COVID-19 e infecciosas, investigación oncológica, cuidados agudos/intensivos y notas médicas generales. La implementación de modelado FHIR para datos de EHR facilita la integración y transmisión de datos, avanzando en investigación traslacional y fenotipado.</w:t>
      </w:r>
    </w:p>
    <w:p w14:paraId="6EA4475E" w14:textId="77777777" w:rsidR="00751FD9" w:rsidRDefault="006124A7">
      <w:r>
        <w:rPr>
          <w:b/>
          <w:bCs/>
        </w:rPr>
        <w:t>Intercambio de información en salud (HIE).</w:t>
      </w:r>
      <w:r>
        <w:t xml:space="preserve"> Las organizaciones de intercambio de información sanitaria (HIOs) promueven el intercambio seguro de información entre hospitales, proveedores, organizaciones comunitarias y autoridades de salud pública. Richwine et al. (2025) encontraron que la participación en una HIO se asocia significativamente con mayor intercambio clínico, reportes de salud pública e intercambio de datos sobre necesidades sociales. Sin embargo, las HIOs son solo una vía de intercambio entre varias alternativas disponibles.</w:t>
      </w:r>
    </w:p>
    <w:p w14:paraId="2F52E506" w14:textId="77777777" w:rsidR="00751FD9" w:rsidRDefault="006124A7">
      <w:r>
        <w:rPr>
          <w:b/>
          <w:bCs/>
        </w:rPr>
        <w:t>Arquitecturas federadas.</w:t>
      </w:r>
      <w:r>
        <w:t xml:space="preserve"> Raab et al. (2023) proponen espacios de datos de salud personal federados, una arquitectura que almacena datos de salud en dispositivos personales en lugar de silos de datos centralizados, poniendo al ciudadano en el </w:t>
      </w:r>
      <w:r>
        <w:lastRenderedPageBreak/>
        <w:t xml:space="preserve">centro. </w:t>
      </w:r>
      <w:proofErr w:type="spellStart"/>
      <w:r>
        <w:t>Adelusi</w:t>
      </w:r>
      <w:proofErr w:type="spellEnd"/>
      <w:r>
        <w:t xml:space="preserve"> et al. (2025) demostraron que un </w:t>
      </w:r>
      <w:proofErr w:type="spellStart"/>
      <w:r>
        <w:t>framework</w:t>
      </w:r>
      <w:proofErr w:type="spellEnd"/>
      <w:r>
        <w:t xml:space="preserve"> federado basado en FHIR reduce significativamente el riesgo de brechas de datos al no transferir datos crudos. Este enfoque es particularmente relevante para redes de múltiples hospitales con plataformas EHR heterogéneas.</w:t>
      </w:r>
    </w:p>
    <w:p w14:paraId="1A28E508" w14:textId="77777777" w:rsidR="00751FD9" w:rsidRDefault="006124A7">
      <w:proofErr w:type="spellStart"/>
      <w:r>
        <w:rPr>
          <w:b/>
          <w:bCs/>
        </w:rPr>
        <w:t>Blockchain</w:t>
      </w:r>
      <w:proofErr w:type="spellEnd"/>
      <w:r>
        <w:rPr>
          <w:b/>
          <w:bCs/>
        </w:rPr>
        <w:t xml:space="preserve"> en interoperabilidad de EHR.</w:t>
      </w:r>
      <w:r>
        <w:t xml:space="preserve"> Anand y Sadhna (2023), mediante análisis bibliométrico, establecen que la interoperabilidad de datos y el intercambio electrónico de datos se introdujeron en el campo de EHR en 2020, infiriendo que la interoperabilidad de datos es un dominio relativamente nuevo. El mapeo temático sugiere que la “interoperabilidad” de EHR está bien desarrollada y es importante para la estructura del campo de investigación. Mauricio et al. (2024) demostraron la viabilidad de combinar </w:t>
      </w:r>
      <w:proofErr w:type="spellStart"/>
      <w:r>
        <w:t>blockchain</w:t>
      </w:r>
      <w:proofErr w:type="spellEnd"/>
      <w:r>
        <w:t xml:space="preserve"> con FHIR para garantizar seguridad y privacidad en el intercambio de EHR en Perú.</w:t>
      </w:r>
    </w:p>
    <w:p w14:paraId="2DE7332F" w14:textId="77777777" w:rsidR="00751FD9" w:rsidRDefault="006124A7">
      <w:r>
        <w:rPr>
          <w:b/>
          <w:bCs/>
        </w:rPr>
        <w:t>Enfoques híbridos y escalabilidad de implementación.</w:t>
      </w:r>
      <w:r>
        <w:t xml:space="preserve"> Pedrera-Jiménez et al. (2023) sostienen que </w:t>
      </w:r>
      <w:proofErr w:type="spellStart"/>
      <w:r>
        <w:t>OpenEHR</w:t>
      </w:r>
      <w:proofErr w:type="spellEnd"/>
      <w:r>
        <w:t xml:space="preserve">, ISO 13606 y FHIR no deben tratarse como opciones excluyentes, sino como componentes complementarios de una arquitectura por capas. Surisetty (2026) y Liu et al. (2023) agregan que la escalabilidad técnica mejora cuando se definen rutas de transformación explícitas (documento-API) y se sustituyen componentes de alto acoplamiento por servicios FHIR nativos. En paralelo, </w:t>
      </w:r>
      <w:proofErr w:type="spellStart"/>
      <w:r>
        <w:t>Heryawan</w:t>
      </w:r>
      <w:proofErr w:type="spellEnd"/>
      <w:r>
        <w:t xml:space="preserve"> et al. (2025) y </w:t>
      </w:r>
      <w:proofErr w:type="spellStart"/>
      <w:r>
        <w:t>Jayathissa</w:t>
      </w:r>
      <w:proofErr w:type="spellEnd"/>
      <w:r>
        <w:t xml:space="preserve"> y </w:t>
      </w:r>
      <w:proofErr w:type="spellStart"/>
      <w:r>
        <w:t>Hewapathrana</w:t>
      </w:r>
      <w:proofErr w:type="spellEnd"/>
      <w:r>
        <w:t xml:space="preserve"> (2024) muestran que, en contextos de recursos limitados, el éxito depende de combinar decisiones arquitectónicas con capacidades operativas de despliegue progresivo.</w:t>
      </w:r>
    </w:p>
    <w:p w14:paraId="19A34C4C" w14:textId="77777777" w:rsidR="00751FD9" w:rsidRDefault="006124A7">
      <w:r>
        <w:rPr>
          <w:b/>
          <w:bCs/>
        </w:rPr>
        <w:t>Calidad de datos clínicos en entornos interoperables.</w:t>
      </w:r>
      <w:r>
        <w:t xml:space="preserve"> La calidad de los datos clínicos constituye un requisito previo y un resultado esperado de la interoperabilidad: un sistema puede ser técnicamente </w:t>
      </w:r>
      <w:proofErr w:type="gramStart"/>
      <w:r>
        <w:t>interoperable</w:t>
      </w:r>
      <w:proofErr w:type="gramEnd"/>
      <w:r>
        <w:t xml:space="preserve"> pero producir intercambios inútiles si los datos transmitidos son incompletos, inconsistentes o no trazables. Las dimensiones de calidad de datos en salud se agrupan comúnmente en cuatro categorías operativas que esta tesis adopta como indicadores de evaluación:</w:t>
      </w:r>
    </w:p>
    <w:p w14:paraId="28B2B842" w14:textId="77777777" w:rsidR="00751FD9" w:rsidRDefault="006124A7">
      <w:pPr>
        <w:numPr>
          <w:ilvl w:val="0"/>
          <w:numId w:val="62"/>
        </w:numPr>
      </w:pPr>
      <w:r>
        <w:rPr>
          <w:i/>
          <w:iCs/>
        </w:rPr>
        <w:t>Integridad (completitud):</w:t>
      </w:r>
      <w:r>
        <w:t xml:space="preserve"> Proporción de campos clínicos obligatorios efectivamente registrados respecto al total esperado según los perfiles FHIR </w:t>
      </w:r>
      <w:r>
        <w:lastRenderedPageBreak/>
        <w:t>definidos. Gaudet-</w:t>
      </w:r>
      <w:proofErr w:type="spellStart"/>
      <w:r>
        <w:t>Blavignac</w:t>
      </w:r>
      <w:proofErr w:type="spellEnd"/>
      <w:r>
        <w:t xml:space="preserve"> et al. (2021) advierten </w:t>
      </w:r>
      <w:proofErr w:type="gramStart"/>
      <w:r>
        <w:t>que</w:t>
      </w:r>
      <w:proofErr w:type="gramEnd"/>
      <w:r>
        <w:t xml:space="preserve"> sin una estrategia semántica coordinada, los registros clínicos presentan tasas altas de campos vacíos o mal estructurados que invalidan su reutilización. En el contexto peruano, Arias Geronimo (2025) documentó que la precisión y disponibilidad de los datos en HCE del primer nivel influyen directamente en la calidad de prestaciones preventivas, y Morales-Camargo y Meneses-Claudio (2023) confirmaron que la adopción desigual de registros médicos electrónicos perpetúa campos clínicos incompletos.</w:t>
      </w:r>
    </w:p>
    <w:p w14:paraId="6B537BBD" w14:textId="77777777" w:rsidR="00751FD9" w:rsidRDefault="006124A7">
      <w:pPr>
        <w:numPr>
          <w:ilvl w:val="0"/>
          <w:numId w:val="62"/>
        </w:numPr>
      </w:pPr>
      <w:r>
        <w:rPr>
          <w:i/>
          <w:iCs/>
        </w:rPr>
        <w:t>Consistencia (codificación semántica):</w:t>
      </w:r>
      <w:r>
        <w:t xml:space="preserve"> Grado en que los datos clínicos intercambiados emplean las terminologías estándar obligatorias (CIE-10, CPMS, LOINC) de forma uniforme entre emisor y receptor. Chatterjee et al. (2022) demostraron que la compatibilidad de terminologías es crítica para la interoperabilidad semántica: cuando los sistemas producen el mismo dato codificado de manera heterogénea, el receptor pierde la capacidad de interpretación automática. </w:t>
      </w:r>
      <w:proofErr w:type="spellStart"/>
      <w:r>
        <w:t>Torab-Miandoab</w:t>
      </w:r>
      <w:proofErr w:type="spellEnd"/>
      <w:r>
        <w:t xml:space="preserve"> et al. (2023) y Kramer y </w:t>
      </w:r>
      <w:proofErr w:type="spellStart"/>
      <w:r>
        <w:t>Moesel</w:t>
      </w:r>
      <w:proofErr w:type="spellEnd"/>
      <w:r>
        <w:t xml:space="preserve"> (2023) refuerzan que la variabilidad de perfiles FHIR y versiones de guías de implementación es la principal fuente de inconsistencia en ecosistemas </w:t>
      </w:r>
      <w:proofErr w:type="spellStart"/>
      <w:r>
        <w:t>multi-institucionales</w:t>
      </w:r>
      <w:proofErr w:type="spellEnd"/>
      <w:r>
        <w:t>.</w:t>
      </w:r>
    </w:p>
    <w:p w14:paraId="7CBEF19A" w14:textId="77777777" w:rsidR="00751FD9" w:rsidRDefault="006124A7">
      <w:pPr>
        <w:numPr>
          <w:ilvl w:val="0"/>
          <w:numId w:val="62"/>
        </w:numPr>
      </w:pPr>
      <w:r>
        <w:rPr>
          <w:i/>
          <w:iCs/>
        </w:rPr>
        <w:t>Disponibilidad (del intercambio):</w:t>
      </w:r>
      <w:r>
        <w:t xml:space="preserve"> Porcentaje de transacciones FHIR exitosas respecto al total programado en un periodo determinado. Richwine et al. (2025) encontraron que la participación en una HIO incrementa </w:t>
      </w:r>
      <w:proofErr w:type="spellStart"/>
      <w:r>
        <w:t>significatiamente</w:t>
      </w:r>
      <w:proofErr w:type="spellEnd"/>
      <w:r>
        <w:t xml:space="preserve"> el intercambio clínico efectivo entre organizaciones, pero que la mera existencia de infraestructura no garantiza disponibilidad: esta depende de gobernanza operativa, acuerdos institucionales y estabilidad de la conectividad. En Perú, la OPS (2024) advierte que la madurez de los sistemas de información varía entre establecimientos del MINSA, produciendo una heterogeneidad que compromete la disponibilidad continua del intercambio.</w:t>
      </w:r>
    </w:p>
    <w:p w14:paraId="4447892C" w14:textId="77777777" w:rsidR="00751FD9" w:rsidRDefault="006124A7">
      <w:pPr>
        <w:numPr>
          <w:ilvl w:val="0"/>
          <w:numId w:val="62"/>
        </w:numPr>
      </w:pPr>
      <w:r>
        <w:rPr>
          <w:i/>
          <w:iCs/>
        </w:rPr>
        <w:t>Continuidad (trazabilidad longitudinal):</w:t>
      </w:r>
      <w:r>
        <w:t xml:space="preserve"> Capacidad de seguir el recorrido del dato clínico desde su registro en el establecimiento origen hasta su consulta en el destino, manteniendo la integridad referencial a lo largo del circuito de atención. </w:t>
      </w:r>
      <w:proofErr w:type="spellStart"/>
      <w:r>
        <w:t>Adelusi</w:t>
      </w:r>
      <w:proofErr w:type="spellEnd"/>
      <w:r>
        <w:t xml:space="preserve"> et al. (2025) validaron métricas de integridad de datos en </w:t>
      </w:r>
      <w:proofErr w:type="spellStart"/>
      <w:r>
        <w:lastRenderedPageBreak/>
        <w:t>frameworks</w:t>
      </w:r>
      <w:proofErr w:type="spellEnd"/>
      <w:r>
        <w:t xml:space="preserve"> federados FHIR, confirmando que la arquitectura de intercambio debe preservar la trazabilidad transaccional para que el dato sea confiable en cada punto de consumo. Bran et al. (2024) y Fernández Infanzón y </w:t>
      </w:r>
      <w:proofErr w:type="spellStart"/>
      <w:r>
        <w:t>Huarac</w:t>
      </w:r>
      <w:proofErr w:type="spellEnd"/>
      <w:r>
        <w:t xml:space="preserve"> </w:t>
      </w:r>
      <w:proofErr w:type="spellStart"/>
      <w:r>
        <w:t>Cuizano</w:t>
      </w:r>
      <w:proofErr w:type="spellEnd"/>
      <w:r>
        <w:t xml:space="preserve"> (2021) proponen complementar FHIR con </w:t>
      </w:r>
      <w:proofErr w:type="spellStart"/>
      <w:r>
        <w:t>blockchain</w:t>
      </w:r>
      <w:proofErr w:type="spellEnd"/>
      <w:r>
        <w:t xml:space="preserve"> para registros inmutables de acceso, aunque estas propuestas se encuentran en fase conceptual sin evaluación operativa.</w:t>
      </w:r>
    </w:p>
    <w:p w14:paraId="076629F1" w14:textId="511A80E5" w:rsidR="00751FD9" w:rsidRDefault="006124A7">
      <w:r>
        <w:t xml:space="preserve">Estas cuatro dimensiones convergen con los indicadores de la variable </w:t>
      </w:r>
      <w:r w:rsidR="00FB650A">
        <w:t>dependiente</w:t>
      </w:r>
      <w:r w:rsidR="00FB650A">
        <w:t xml:space="preserve"> </w:t>
      </w:r>
      <w:r>
        <w:t xml:space="preserve">y con las brechas diagnósticas definidas en la formulación del problema (completitud, codificación, duplicidad, trazabilidad). La presente investigación las emplea como criterios de comparación </w:t>
      </w:r>
      <w:proofErr w:type="spellStart"/>
      <w:r>
        <w:t>pre-post</w:t>
      </w:r>
      <w:proofErr w:type="spellEnd"/>
      <w:r>
        <w:t xml:space="preserve"> para evaluar el efecto de la capa de integración FHIR.</w:t>
      </w:r>
    </w:p>
    <w:p w14:paraId="7563A491" w14:textId="7B7E91D5" w:rsidR="00751FD9" w:rsidRDefault="006124A7">
      <w:pPr>
        <w:pStyle w:val="Ttulo3"/>
      </w:pPr>
      <w:bookmarkStart w:id="54" w:name="marco-conceptual"/>
      <w:bookmarkStart w:id="55" w:name="_Toc225537560"/>
      <w:bookmarkEnd w:id="52"/>
      <w:r>
        <w:t>2.2.</w:t>
      </w:r>
      <w:proofErr w:type="gramStart"/>
      <w:r>
        <w:t>3.Marco</w:t>
      </w:r>
      <w:proofErr w:type="gramEnd"/>
      <w:r>
        <w:t xml:space="preserve"> conceptual</w:t>
      </w:r>
      <w:bookmarkEnd w:id="55"/>
    </w:p>
    <w:p w14:paraId="0AAD3A5A" w14:textId="77777777" w:rsidR="00751FD9" w:rsidRDefault="006124A7">
      <w:r>
        <w:t>El marco conceptual de la presente investigación articula tres dimensiones complementarias:</w:t>
      </w:r>
    </w:p>
    <w:p w14:paraId="32A442EC" w14:textId="77777777" w:rsidR="00751FD9" w:rsidRDefault="006124A7">
      <w:r>
        <w:rPr>
          <w:b/>
          <w:bCs/>
        </w:rPr>
        <w:t>Dimensión normativa-institucional:</w:t>
      </w:r>
      <w:r>
        <w:t xml:space="preserve"> Comprende el marco regulatorio peruano (IEDS, RNIEDS, PIDESALUD) que establece los lineamientos técnicos y operativos para la interoperabilidad en el sector salud del MINSA, así como la Ley </w:t>
      </w:r>
      <w:proofErr w:type="spellStart"/>
      <w:r>
        <w:t>N°</w:t>
      </w:r>
      <w:proofErr w:type="spellEnd"/>
      <w:r>
        <w:t xml:space="preserve"> 30024 que crea el RENHICE (Bayona Castañeda, 2019). Se alinea con el contexto internacional descrito por Holmgren et al. (2023), quienes destacan que la priorización gubernamental del intercambio de datos es un factor común en los marcos exitosos.</w:t>
      </w:r>
    </w:p>
    <w:p w14:paraId="62A8225C" w14:textId="77777777" w:rsidR="00751FD9" w:rsidRDefault="006124A7">
      <w:r>
        <w:rPr>
          <w:b/>
          <w:bCs/>
        </w:rPr>
        <w:t>Dimensión técnica-semántica:</w:t>
      </w:r>
      <w:r>
        <w:t xml:space="preserve"> Integra los estándares de intercambio (HL7 FHIR, CDA/CCD), codificación clínica (CIE-10, CPMS, SNOMED-CT, LOINC), y los niveles de interoperabilidad propuestos por HIMSS. Bossenko et al. (2024) demuestran que la transformación de CDA a FHIR mediante herramientas visuales permite a expertos del dominio con mínimas habilidades técnicas especificar y validar reglas de transformación de datos.</w:t>
      </w:r>
    </w:p>
    <w:p w14:paraId="673B2053" w14:textId="77777777" w:rsidR="00751FD9" w:rsidRDefault="006124A7">
      <w:r>
        <w:rPr>
          <w:b/>
          <w:bCs/>
        </w:rPr>
        <w:t>Dimensión de evaluación de calidad:</w:t>
      </w:r>
      <w:r>
        <w:t xml:space="preserve"> Operacionaliza la variable dependiente mediante cuatro subdimensiones con ocho indicadores cuantitativos, alineados con la fundamentación teórica de calidad de datos clínicos desarrollada en este </w:t>
      </w:r>
      <w:r>
        <w:lastRenderedPageBreak/>
        <w:t xml:space="preserve">capítulo: (a) </w:t>
      </w:r>
      <w:r>
        <w:rPr>
          <w:i/>
          <w:iCs/>
        </w:rPr>
        <w:t>integridad de datos</w:t>
      </w:r>
      <w:r>
        <w:t xml:space="preserve"> —completitud de HCE, codificación CIE-10 y codificación CPMS—, que mide la proporción de campos obligatorios correctamente registrados según los perfiles FHIR definidos; (b) </w:t>
      </w:r>
      <w:r>
        <w:rPr>
          <w:i/>
          <w:iCs/>
        </w:rPr>
        <w:t>duplicidad</w:t>
      </w:r>
      <w:r>
        <w:t xml:space="preserve"> —duplicidad de pacientes y de exámenes (tasas por 1 000)—, que evalúa la unicidad de los registros en el ecosistema interoperable; (c) </w:t>
      </w:r>
      <w:r>
        <w:rPr>
          <w:i/>
          <w:iCs/>
        </w:rPr>
        <w:t>eficiencia administrativa</w:t>
      </w:r>
      <w:r>
        <w:t xml:space="preserve"> —tiempo promedio de validación de prestaciones—, que captura el efecto del intercambio estandarizado sobre los procesos de validación del SIS; y (d) </w:t>
      </w:r>
      <w:r>
        <w:rPr>
          <w:i/>
          <w:iCs/>
        </w:rPr>
        <w:t>continuidad y trazabilidad</w:t>
      </w:r>
      <w:r>
        <w:t xml:space="preserve"> —porcentaje de HCE con trazabilidad de continuidad y porcentaje de registros con log completo de accesos—, que mide la preservación del dato a lo largo del circuito de atención. Esta estructura se sustenta empíricamente en las métricas de latencia, integridad y escalabilidad validadas por </w:t>
      </w:r>
      <w:proofErr w:type="spellStart"/>
      <w:r>
        <w:t>Adelusi</w:t>
      </w:r>
      <w:proofErr w:type="spellEnd"/>
      <w:r>
        <w:t xml:space="preserve"> et al. (2025) en </w:t>
      </w:r>
      <w:proofErr w:type="spellStart"/>
      <w:r>
        <w:t>frameworks</w:t>
      </w:r>
      <w:proofErr w:type="spellEnd"/>
      <w:r>
        <w:t xml:space="preserve"> federados FHIR, y en la demostración de Liu et al. (2023) de que la sustitución de </w:t>
      </w:r>
      <w:proofErr w:type="spellStart"/>
      <w:r>
        <w:t>gateways</w:t>
      </w:r>
      <w:proofErr w:type="spellEnd"/>
      <w:r>
        <w:t xml:space="preserve"> por servidores FHIR reduce tiempo y costo de conversión.</w:t>
      </w:r>
    </w:p>
    <w:p w14:paraId="6254087C" w14:textId="41AD7FEE" w:rsidR="00751FD9" w:rsidRDefault="006124A7">
      <w:pPr>
        <w:pStyle w:val="Ttulo2"/>
      </w:pPr>
      <w:bookmarkStart w:id="56" w:name="definición-de-términos-básicos"/>
      <w:bookmarkStart w:id="57" w:name="_Toc225537561"/>
      <w:bookmarkEnd w:id="48"/>
      <w:bookmarkEnd w:id="54"/>
      <w:r>
        <w:t>2.</w:t>
      </w:r>
      <w:proofErr w:type="gramStart"/>
      <w:r>
        <w:t>3.Definición</w:t>
      </w:r>
      <w:proofErr w:type="gramEnd"/>
      <w:r>
        <w:t xml:space="preserve"> de términos básicos</w:t>
      </w:r>
      <w:bookmarkEnd w:id="57"/>
    </w:p>
    <w:p w14:paraId="4CD6724F" w14:textId="77777777" w:rsidR="00751FD9" w:rsidRDefault="006124A7">
      <w:pPr>
        <w:numPr>
          <w:ilvl w:val="0"/>
          <w:numId w:val="63"/>
        </w:numPr>
      </w:pPr>
      <w:r>
        <w:rPr>
          <w:b/>
          <w:bCs/>
        </w:rPr>
        <w:t xml:space="preserve">API </w:t>
      </w:r>
      <w:proofErr w:type="spellStart"/>
      <w:r>
        <w:rPr>
          <w:b/>
          <w:bCs/>
        </w:rPr>
        <w:t>RESTful</w:t>
      </w:r>
      <w:proofErr w:type="spellEnd"/>
      <w:r>
        <w:rPr>
          <w:b/>
          <w:bCs/>
        </w:rPr>
        <w:t>:</w:t>
      </w:r>
      <w:r>
        <w:t xml:space="preserve"> Interfaz de programación de aplicaciones que sigue los principios de la arquitectura REST (</w:t>
      </w:r>
      <w:proofErr w:type="spellStart"/>
      <w:r>
        <w:t>Representational</w:t>
      </w:r>
      <w:proofErr w:type="spellEnd"/>
      <w:r>
        <w:t xml:space="preserve"> State Transfer), permitiendo la comunicación entre sistemas mediante operaciones HTTP estándar (GET, POST, PUT, DELETE). En el contexto de FHIR, las </w:t>
      </w:r>
      <w:proofErr w:type="spellStart"/>
      <w:r>
        <w:t>APIs</w:t>
      </w:r>
      <w:proofErr w:type="spellEnd"/>
      <w:r>
        <w:t xml:space="preserve"> </w:t>
      </w:r>
      <w:proofErr w:type="spellStart"/>
      <w:r>
        <w:t>RESTful</w:t>
      </w:r>
      <w:proofErr w:type="spellEnd"/>
      <w:r>
        <w:t xml:space="preserve"> constituyen el mecanismo principal para crear, leer, actualizar y eliminar recursos clínicos de forma interoperable (Pimenta et al., 2023).</w:t>
      </w:r>
    </w:p>
    <w:p w14:paraId="59EC24CD" w14:textId="77777777" w:rsidR="00751FD9" w:rsidRDefault="006124A7">
      <w:pPr>
        <w:numPr>
          <w:ilvl w:val="0"/>
          <w:numId w:val="63"/>
        </w:numPr>
      </w:pPr>
      <w:r>
        <w:rPr>
          <w:b/>
          <w:bCs/>
        </w:rPr>
        <w:t>CDA (</w:t>
      </w:r>
      <w:proofErr w:type="spellStart"/>
      <w:r>
        <w:rPr>
          <w:b/>
          <w:bCs/>
        </w:rPr>
        <w:t>Clinical</w:t>
      </w:r>
      <w:proofErr w:type="spellEnd"/>
      <w:r>
        <w:rPr>
          <w:b/>
          <w:bCs/>
        </w:rPr>
        <w:t xml:space="preserve"> </w:t>
      </w:r>
      <w:proofErr w:type="spellStart"/>
      <w:r>
        <w:rPr>
          <w:b/>
          <w:bCs/>
        </w:rPr>
        <w:t>Document</w:t>
      </w:r>
      <w:proofErr w:type="spellEnd"/>
      <w:r>
        <w:rPr>
          <w:b/>
          <w:bCs/>
        </w:rPr>
        <w:t xml:space="preserve"> </w:t>
      </w:r>
      <w:proofErr w:type="spellStart"/>
      <w:r>
        <w:rPr>
          <w:b/>
          <w:bCs/>
        </w:rPr>
        <w:t>Architecture</w:t>
      </w:r>
      <w:proofErr w:type="spellEnd"/>
      <w:r>
        <w:rPr>
          <w:b/>
          <w:bCs/>
        </w:rPr>
        <w:t>):</w:t>
      </w:r>
      <w:r>
        <w:t xml:space="preserve"> Estándar de HL7 que define la estructura y semántica de documentos clínicos para su intercambio electrónico. CDA utiliza XML para representar documentos como resúmenes de alta, notas de evolución y reportes de laboratorio, proporcionando interoperabilidad documental entre sistemas de información en salud (</w:t>
      </w:r>
      <w:proofErr w:type="spellStart"/>
      <w:r>
        <w:t>Bossenko</w:t>
      </w:r>
      <w:proofErr w:type="spellEnd"/>
      <w:r>
        <w:t xml:space="preserve"> et al., 2024).</w:t>
      </w:r>
    </w:p>
    <w:p w14:paraId="534CC016" w14:textId="77777777" w:rsidR="00751FD9" w:rsidRDefault="006124A7">
      <w:pPr>
        <w:numPr>
          <w:ilvl w:val="0"/>
          <w:numId w:val="63"/>
        </w:numPr>
      </w:pPr>
      <w:r>
        <w:rPr>
          <w:b/>
          <w:bCs/>
        </w:rPr>
        <w:t>CIE-10 (Clasificación Internacional de Enfermedades, 10.ª revisión):</w:t>
      </w:r>
      <w:r>
        <w:t xml:space="preserve"> Sistema de codificación desarrollado por la Organización Mundial de la Salud para clasificar diagnósticos y causas de mortalidad. En el contexto del MINSA, su uso correcto es obligatorio para la codificación de diagnósticos </w:t>
      </w:r>
      <w:r>
        <w:lastRenderedPageBreak/>
        <w:t>en historias clínicas electrónicas y constituye un indicador clave de calidad de datos (Vorisek et al., 2022).</w:t>
      </w:r>
    </w:p>
    <w:p w14:paraId="4271F03F" w14:textId="77777777" w:rsidR="00751FD9" w:rsidRDefault="006124A7">
      <w:pPr>
        <w:numPr>
          <w:ilvl w:val="0"/>
          <w:numId w:val="63"/>
        </w:numPr>
      </w:pPr>
      <w:r>
        <w:rPr>
          <w:b/>
          <w:bCs/>
        </w:rPr>
        <w:t>CPMS (Catálogo de Procedimientos Médicos y Sanitarios):</w:t>
      </w:r>
      <w:r>
        <w:t xml:space="preserve"> Catálogo normativo utilizado en el sistema de salud peruano para la codificación estandarizada de procedimientos médicos y sanitarios realizados en los establecimientos del MINSA. Su correcta aplicación facilita la validación de prestaciones por parte del SIS.</w:t>
      </w:r>
    </w:p>
    <w:p w14:paraId="281A7C14" w14:textId="77777777" w:rsidR="00751FD9" w:rsidRDefault="006124A7">
      <w:pPr>
        <w:numPr>
          <w:ilvl w:val="0"/>
          <w:numId w:val="63"/>
        </w:numPr>
      </w:pPr>
      <w:r>
        <w:rPr>
          <w:b/>
          <w:bCs/>
        </w:rPr>
        <w:t>e-Qhali:</w:t>
      </w:r>
      <w:r>
        <w:t xml:space="preserve"> Sistema de información de historia clínica electrónica propuesto por el MINSA como estándar para el primer y segundo nivel de atención de las IPRESS en Perú, basado en la arquitectura de interoperabilidad HL7 (Bayona Castañeda, 2019).</w:t>
      </w:r>
    </w:p>
    <w:p w14:paraId="1B16C0EB" w14:textId="77777777" w:rsidR="00751FD9" w:rsidRDefault="006124A7">
      <w:pPr>
        <w:numPr>
          <w:ilvl w:val="0"/>
          <w:numId w:val="63"/>
        </w:numPr>
      </w:pPr>
      <w:r>
        <w:rPr>
          <w:b/>
          <w:bCs/>
        </w:rPr>
        <w:t>EHR (Electronic Health Record):</w:t>
      </w:r>
      <w:r>
        <w:t xml:space="preserve"> Registro electrónico de salud; repositorio digital longitudinal de la información de salud de un paciente, que puede ser compartido entre diferentes establecimientos y proveedores de atención. A diferencia del EMR (Electronic Medical Record), que es propio de una institución, el EHR está diseñado para ser interoperable (Mauricio et al., 2024).</w:t>
      </w:r>
    </w:p>
    <w:p w14:paraId="52F3ACF2" w14:textId="77777777" w:rsidR="00751FD9" w:rsidRDefault="006124A7">
      <w:pPr>
        <w:numPr>
          <w:ilvl w:val="0"/>
          <w:numId w:val="63"/>
        </w:numPr>
      </w:pPr>
      <w:r>
        <w:rPr>
          <w:b/>
          <w:bCs/>
        </w:rPr>
        <w:t xml:space="preserve">FHIR (Fast </w:t>
      </w:r>
      <w:proofErr w:type="spellStart"/>
      <w:r>
        <w:rPr>
          <w:b/>
          <w:bCs/>
        </w:rPr>
        <w:t>Healthcare</w:t>
      </w:r>
      <w:proofErr w:type="spellEnd"/>
      <w:r>
        <w:rPr>
          <w:b/>
          <w:bCs/>
        </w:rPr>
        <w:t xml:space="preserve"> </w:t>
      </w:r>
      <w:proofErr w:type="spellStart"/>
      <w:r>
        <w:rPr>
          <w:b/>
          <w:bCs/>
        </w:rPr>
        <w:t>Interoperability</w:t>
      </w:r>
      <w:proofErr w:type="spellEnd"/>
      <w:r>
        <w:rPr>
          <w:b/>
          <w:bCs/>
        </w:rPr>
        <w:t xml:space="preserve"> </w:t>
      </w:r>
      <w:proofErr w:type="spellStart"/>
      <w:r>
        <w:rPr>
          <w:b/>
          <w:bCs/>
        </w:rPr>
        <w:t>Resources</w:t>
      </w:r>
      <w:proofErr w:type="spellEnd"/>
      <w:r>
        <w:rPr>
          <w:b/>
          <w:bCs/>
        </w:rPr>
        <w:t>):</w:t>
      </w:r>
      <w:r>
        <w:t xml:space="preserve"> Estándar desarrollado por HL7 International para el intercambio electrónico de información de salud. FHIR adopta un enfoque modular basado en recursos independientes — unidades mínimas de información clínica como Patient, </w:t>
      </w:r>
      <w:proofErr w:type="spellStart"/>
      <w:r>
        <w:t>Observation</w:t>
      </w:r>
      <w:proofErr w:type="spellEnd"/>
      <w:r>
        <w:t xml:space="preserve"> y </w:t>
      </w:r>
      <w:proofErr w:type="spellStart"/>
      <w:r>
        <w:t>Condition</w:t>
      </w:r>
      <w:proofErr w:type="spellEnd"/>
      <w:r>
        <w:t xml:space="preserve"> — que se combinan para representar datos clínicos complejos. Utiliza tecnologías web modernas (REST, JSON, XML, OAuth) para facilitar la implementación. Para la presente investigación se utilizará la versión FHIR R4 (</w:t>
      </w:r>
      <w:proofErr w:type="spellStart"/>
      <w:r>
        <w:t>Release</w:t>
      </w:r>
      <w:proofErr w:type="spellEnd"/>
      <w:r>
        <w:t xml:space="preserve"> 4), por ser la versión estable con mayor adopción internacional y contar con perfiles predefinidos (US Core, International Patient </w:t>
      </w:r>
      <w:proofErr w:type="spellStart"/>
      <w:r>
        <w:t>Summary</w:t>
      </w:r>
      <w:proofErr w:type="spellEnd"/>
      <w:r>
        <w:t>) que facilitan la implementación en contextos de interoperabilidad clínica (Pimenta et al., 2023; Tabari et al., 2024).</w:t>
      </w:r>
    </w:p>
    <w:p w14:paraId="693E94E1" w14:textId="77777777" w:rsidR="00751FD9" w:rsidRDefault="006124A7">
      <w:pPr>
        <w:numPr>
          <w:ilvl w:val="0"/>
          <w:numId w:val="63"/>
        </w:numPr>
      </w:pPr>
      <w:proofErr w:type="spellStart"/>
      <w:r>
        <w:rPr>
          <w:b/>
          <w:bCs/>
        </w:rPr>
        <w:t>GraphQL</w:t>
      </w:r>
      <w:proofErr w:type="spellEnd"/>
      <w:r>
        <w:rPr>
          <w:b/>
          <w:bCs/>
        </w:rPr>
        <w:t>:</w:t>
      </w:r>
      <w:r>
        <w:t xml:space="preserve"> Lenguaje de consulta y entorno de ejecución para </w:t>
      </w:r>
      <w:proofErr w:type="spellStart"/>
      <w:r>
        <w:t>APIs</w:t>
      </w:r>
      <w:proofErr w:type="spellEnd"/>
      <w:r>
        <w:t xml:space="preserve"> que permite al cliente solicitar exactamente los datos que necesita en una sola petición, a diferencia de REST, que expone recursos fijos. En el contexto de </w:t>
      </w:r>
      <w:r>
        <w:lastRenderedPageBreak/>
        <w:t xml:space="preserve">FHIR, la especificación incluye un </w:t>
      </w:r>
      <w:proofErr w:type="spellStart"/>
      <w:r>
        <w:t>binding</w:t>
      </w:r>
      <w:proofErr w:type="spellEnd"/>
      <w:r>
        <w:t xml:space="preserve"> oficial </w:t>
      </w:r>
      <w:proofErr w:type="spellStart"/>
      <w:r>
        <w:t>GraphQL</w:t>
      </w:r>
      <w:proofErr w:type="spellEnd"/>
      <w:r>
        <w:t xml:space="preserve"> que posibilita consultas clínicas complejas (</w:t>
      </w:r>
      <w:proofErr w:type="spellStart"/>
      <w:r>
        <w:t>multi-recurso</w:t>
      </w:r>
      <w:proofErr w:type="spellEnd"/>
      <w:r>
        <w:t xml:space="preserve">) con menor número de llamadas al servidor, facilitando escenarios de integración donde se requiere agregar datos de Patient, </w:t>
      </w:r>
      <w:proofErr w:type="spellStart"/>
      <w:r>
        <w:t>Encounter</w:t>
      </w:r>
      <w:proofErr w:type="spellEnd"/>
      <w:r>
        <w:t xml:space="preserve"> y </w:t>
      </w:r>
      <w:proofErr w:type="spellStart"/>
      <w:r>
        <w:t>Observation</w:t>
      </w:r>
      <w:proofErr w:type="spellEnd"/>
      <w:r>
        <w:t xml:space="preserve"> en una misma transacción.</w:t>
      </w:r>
    </w:p>
    <w:p w14:paraId="20E27B32" w14:textId="77777777" w:rsidR="00751FD9" w:rsidRDefault="006124A7">
      <w:pPr>
        <w:numPr>
          <w:ilvl w:val="0"/>
          <w:numId w:val="63"/>
        </w:numPr>
      </w:pPr>
      <w:r>
        <w:rPr>
          <w:b/>
          <w:bCs/>
        </w:rPr>
        <w:t>Guía de Implementación (</w:t>
      </w:r>
      <w:proofErr w:type="spellStart"/>
      <w:r>
        <w:rPr>
          <w:b/>
          <w:bCs/>
        </w:rPr>
        <w:t>Implementation</w:t>
      </w:r>
      <w:proofErr w:type="spellEnd"/>
      <w:r>
        <w:rPr>
          <w:b/>
          <w:bCs/>
        </w:rPr>
        <w:t xml:space="preserve"> Guide - IG):</w:t>
      </w:r>
      <w:r>
        <w:t xml:space="preserve"> Documento que describe cómo utilizar FHIR para un caso de uso específico, incluyendo perfiles, extensiones y reglas de validación. Diferentes </w:t>
      </w:r>
      <w:proofErr w:type="spellStart"/>
      <w:r>
        <w:t>IGs</w:t>
      </w:r>
      <w:proofErr w:type="spellEnd"/>
      <w:r>
        <w:t xml:space="preserve"> pueden definir restricciones distintas sobre los mismos recursos FHIR, lo que puede generar desafíos de interoperabilidad entre sistemas que siguen guías diferentes (Kramer y </w:t>
      </w:r>
      <w:proofErr w:type="spellStart"/>
      <w:r>
        <w:t>Moesel</w:t>
      </w:r>
      <w:proofErr w:type="spellEnd"/>
      <w:r>
        <w:t>, 2023).</w:t>
      </w:r>
    </w:p>
    <w:p w14:paraId="2B9CDF84" w14:textId="77777777" w:rsidR="00751FD9" w:rsidRDefault="006124A7">
      <w:pPr>
        <w:numPr>
          <w:ilvl w:val="0"/>
          <w:numId w:val="63"/>
        </w:numPr>
      </w:pPr>
      <w:r>
        <w:rPr>
          <w:b/>
          <w:bCs/>
        </w:rPr>
        <w:t>HAPI-FHIR:</w:t>
      </w:r>
      <w:r>
        <w:t xml:space="preserve"> Implementación de referencia de código abierto del estándar HL7 FHIR desarrollada en Java. Proporciona un servidor FHIR completo, un cliente FHIR y herramientas de validación de perfiles que facilitan la construcción de capas de integración clínica sin dependencias comerciales. Es ampliamente utilizada en proyectos piloto e investigación por su conformidad con las especificaciones FHIR R4 y su comunidad activa de desarrollo.</w:t>
      </w:r>
    </w:p>
    <w:p w14:paraId="3C37A731" w14:textId="77777777" w:rsidR="00751FD9" w:rsidRDefault="006124A7">
      <w:pPr>
        <w:numPr>
          <w:ilvl w:val="0"/>
          <w:numId w:val="63"/>
        </w:numPr>
      </w:pPr>
      <w:r>
        <w:rPr>
          <w:b/>
          <w:bCs/>
        </w:rPr>
        <w:t xml:space="preserve">HIE (Health </w:t>
      </w:r>
      <w:proofErr w:type="spellStart"/>
      <w:r>
        <w:rPr>
          <w:b/>
          <w:bCs/>
        </w:rPr>
        <w:t>Information</w:t>
      </w:r>
      <w:proofErr w:type="spellEnd"/>
      <w:r>
        <w:rPr>
          <w:b/>
          <w:bCs/>
        </w:rPr>
        <w:t xml:space="preserve"> Exchange):</w:t>
      </w:r>
      <w:r>
        <w:t xml:space="preserve"> Intercambio de información de salud; proceso mediante el cual se comparte electrónicamente información clínica entre organizaciones de salud. Las HIOs (Health </w:t>
      </w:r>
      <w:proofErr w:type="spellStart"/>
      <w:r>
        <w:t>Information</w:t>
      </w:r>
      <w:proofErr w:type="spellEnd"/>
      <w:r>
        <w:t xml:space="preserve"> </w:t>
      </w:r>
      <w:proofErr w:type="spellStart"/>
      <w:r>
        <w:t>Organizations</w:t>
      </w:r>
      <w:proofErr w:type="spellEnd"/>
      <w:r>
        <w:t>) son entidades que facilitan y gobiernan este intercambio a nivel regional o nacional (Richwine et al., 2025).</w:t>
      </w:r>
    </w:p>
    <w:p w14:paraId="3E15CD48" w14:textId="77777777" w:rsidR="00751FD9" w:rsidRDefault="006124A7">
      <w:pPr>
        <w:numPr>
          <w:ilvl w:val="0"/>
          <w:numId w:val="63"/>
        </w:numPr>
      </w:pPr>
      <w:r>
        <w:rPr>
          <w:b/>
          <w:bCs/>
        </w:rPr>
        <w:t xml:space="preserve">HIS (Hospital </w:t>
      </w:r>
      <w:proofErr w:type="spellStart"/>
      <w:r>
        <w:rPr>
          <w:b/>
          <w:bCs/>
        </w:rPr>
        <w:t>Information</w:t>
      </w:r>
      <w:proofErr w:type="spellEnd"/>
      <w:r>
        <w:rPr>
          <w:b/>
          <w:bCs/>
        </w:rPr>
        <w:t xml:space="preserve"> </w:t>
      </w:r>
      <w:proofErr w:type="spellStart"/>
      <w:r>
        <w:rPr>
          <w:b/>
          <w:bCs/>
        </w:rPr>
        <w:t>System</w:t>
      </w:r>
      <w:proofErr w:type="spellEnd"/>
      <w:r>
        <w:rPr>
          <w:b/>
          <w:bCs/>
        </w:rPr>
        <w:t>):</w:t>
      </w:r>
      <w:r>
        <w:t xml:space="preserve"> Sistema de información hospitalario que gestiona los datos administrativos y clínicos de un centro de salud, incluyendo finanzas, recursos humanos, citas, hospitalización y servicios complementarios. Arrué Pajares y Vargas Rioja (2022) desarrollaron un HIS interoperable basado en HL7 para centros de categoría II-1 o superior en Perú.</w:t>
      </w:r>
    </w:p>
    <w:p w14:paraId="65710BC3" w14:textId="77777777" w:rsidR="00751FD9" w:rsidRDefault="006124A7">
      <w:pPr>
        <w:numPr>
          <w:ilvl w:val="0"/>
          <w:numId w:val="63"/>
        </w:numPr>
      </w:pPr>
      <w:r>
        <w:rPr>
          <w:b/>
          <w:bCs/>
        </w:rPr>
        <w:t>HL7 (Health Level Seven International):</w:t>
      </w:r>
      <w:r>
        <w:t xml:space="preserve"> Organización internacional que desarrolla estándares para el intercambio, integración, compartición y recuperación de información electrónica de salud. Su nombre se refiere al </w:t>
      </w:r>
      <w:r>
        <w:lastRenderedPageBreak/>
        <w:t>nivel 7 (aplicación) del modelo OSI, donde opera la comunicación de datos clínicos (Amar et al., 2024).</w:t>
      </w:r>
    </w:p>
    <w:p w14:paraId="3CDD120E" w14:textId="77777777" w:rsidR="00751FD9" w:rsidRDefault="006124A7">
      <w:pPr>
        <w:numPr>
          <w:ilvl w:val="0"/>
          <w:numId w:val="63"/>
        </w:numPr>
      </w:pPr>
      <w:r>
        <w:rPr>
          <w:b/>
          <w:bCs/>
        </w:rPr>
        <w:t>IEDS (Infraestructura de Estándares de Datos en Salud):</w:t>
      </w:r>
      <w:r>
        <w:t xml:space="preserve"> Marco normativo peruano establecido por la RM </w:t>
      </w:r>
      <w:proofErr w:type="spellStart"/>
      <w:r>
        <w:t>N°</w:t>
      </w:r>
      <w:proofErr w:type="spellEnd"/>
      <w:r>
        <w:t xml:space="preserve"> 1104-2018-MINSA que define los estándares técnicos para la representación, almacenamiento e intercambio de datos de salud entre los establecimientos del sistema público peruano.</w:t>
      </w:r>
    </w:p>
    <w:p w14:paraId="080A713D" w14:textId="77777777" w:rsidR="00751FD9" w:rsidRDefault="006124A7">
      <w:pPr>
        <w:numPr>
          <w:ilvl w:val="0"/>
          <w:numId w:val="63"/>
        </w:numPr>
      </w:pPr>
      <w:r>
        <w:rPr>
          <w:b/>
          <w:bCs/>
        </w:rPr>
        <w:t>Interoperabilidad en salud:</w:t>
      </w:r>
      <w:r>
        <w:t xml:space="preserve"> Capacidad de diferentes sistemas de tecnología de la información para comunicar e intercambiar datos con exactitud, efectividad y consistencia, y para usar la información que ha sido intercambiada. HIMSS distingue cuatro niveles: fundacional, estructural, semántico y organizacional (Amar et al., 2024; OPS, 2024).</w:t>
      </w:r>
    </w:p>
    <w:p w14:paraId="13A6F5F3" w14:textId="77777777" w:rsidR="00751FD9" w:rsidRDefault="006124A7">
      <w:pPr>
        <w:numPr>
          <w:ilvl w:val="0"/>
          <w:numId w:val="63"/>
        </w:numPr>
      </w:pPr>
      <w:r>
        <w:rPr>
          <w:b/>
          <w:bCs/>
        </w:rPr>
        <w:t>Interoperabilidad semántica:</w:t>
      </w:r>
      <w:r>
        <w:t xml:space="preserve"> Nivel de interoperabilidad que asegura que los datos intercambiados entre sistemas sean interpretados con el mismo significado clínico por el sistema emisor y el receptor, mediante el uso de terminologías y codificaciones estandarizadas como SNOMED-CT, LOINC y CIE-10 (</w:t>
      </w:r>
      <w:proofErr w:type="spellStart"/>
      <w:r>
        <w:t>Torab-Miandoab</w:t>
      </w:r>
      <w:proofErr w:type="spellEnd"/>
      <w:r>
        <w:t xml:space="preserve"> et al., 2023). Porras Gamarra (2024) demostró la viabilidad de combinar interoperabilidad sintáctica (HL7 FHIR) con semántica (</w:t>
      </w:r>
      <w:proofErr w:type="spellStart"/>
      <w:r>
        <w:t>openEHR</w:t>
      </w:r>
      <w:proofErr w:type="spellEnd"/>
      <w:r>
        <w:t>) en un contexto real de salud.</w:t>
      </w:r>
    </w:p>
    <w:p w14:paraId="07361504" w14:textId="77777777" w:rsidR="00751FD9" w:rsidRDefault="006124A7">
      <w:pPr>
        <w:numPr>
          <w:ilvl w:val="0"/>
          <w:numId w:val="63"/>
        </w:numPr>
      </w:pPr>
      <w:r>
        <w:rPr>
          <w:b/>
          <w:bCs/>
        </w:rPr>
        <w:t>LOINC (</w:t>
      </w:r>
      <w:proofErr w:type="spellStart"/>
      <w:r>
        <w:rPr>
          <w:b/>
          <w:bCs/>
        </w:rPr>
        <w:t>Logical</w:t>
      </w:r>
      <w:proofErr w:type="spellEnd"/>
      <w:r>
        <w:rPr>
          <w:b/>
          <w:bCs/>
        </w:rPr>
        <w:t xml:space="preserve"> </w:t>
      </w:r>
      <w:proofErr w:type="spellStart"/>
      <w:r>
        <w:rPr>
          <w:b/>
          <w:bCs/>
        </w:rPr>
        <w:t>Observation</w:t>
      </w:r>
      <w:proofErr w:type="spellEnd"/>
      <w:r>
        <w:rPr>
          <w:b/>
          <w:bCs/>
        </w:rPr>
        <w:t xml:space="preserve"> </w:t>
      </w:r>
      <w:proofErr w:type="spellStart"/>
      <w:r>
        <w:rPr>
          <w:b/>
          <w:bCs/>
        </w:rPr>
        <w:t>Identifiers</w:t>
      </w:r>
      <w:proofErr w:type="spellEnd"/>
      <w:r>
        <w:rPr>
          <w:b/>
          <w:bCs/>
        </w:rPr>
        <w:t xml:space="preserve"> Names and Codes):</w:t>
      </w:r>
      <w:r>
        <w:t xml:space="preserve"> Sistema de codificación universal desarrollado por el </w:t>
      </w:r>
      <w:proofErr w:type="spellStart"/>
      <w:r>
        <w:t>Regenstrief</w:t>
      </w:r>
      <w:proofErr w:type="spellEnd"/>
      <w:r>
        <w:t xml:space="preserve"> </w:t>
      </w:r>
      <w:proofErr w:type="spellStart"/>
      <w:r>
        <w:t>Institute</w:t>
      </w:r>
      <w:proofErr w:type="spellEnd"/>
      <w:r>
        <w:t xml:space="preserve"> para la identificación estandarizada de observaciones clínicas y de laboratorio. Complementa a SNOMED-CT y CIE-10 al codificar específicamente pruebas de laboratorio, signos vitales y cuestionarios clínicos, siendo uno de los vocabularios requeridos para lograr interoperabilidad semántica plena en ecosistemas FHIR (</w:t>
      </w:r>
      <w:proofErr w:type="spellStart"/>
      <w:r>
        <w:t>Torab-Miandoab</w:t>
      </w:r>
      <w:proofErr w:type="spellEnd"/>
      <w:r>
        <w:t xml:space="preserve"> et al., 2023).</w:t>
      </w:r>
    </w:p>
    <w:p w14:paraId="40D0F499" w14:textId="77777777" w:rsidR="00751FD9" w:rsidRDefault="006124A7">
      <w:pPr>
        <w:numPr>
          <w:ilvl w:val="0"/>
          <w:numId w:val="63"/>
        </w:numPr>
      </w:pPr>
      <w:r>
        <w:rPr>
          <w:b/>
          <w:bCs/>
        </w:rPr>
        <w:t xml:space="preserve">OAuth 2.0 (Open </w:t>
      </w:r>
      <w:proofErr w:type="spellStart"/>
      <w:r>
        <w:rPr>
          <w:b/>
          <w:bCs/>
        </w:rPr>
        <w:t>Authorization</w:t>
      </w:r>
      <w:proofErr w:type="spellEnd"/>
      <w:r>
        <w:rPr>
          <w:b/>
          <w:bCs/>
        </w:rPr>
        <w:t xml:space="preserve"> 2.0):</w:t>
      </w:r>
      <w:r>
        <w:t xml:space="preserve"> Protocolo estándar de autorización que permite a aplicaciones de terceros acceder a recursos protegidos sin exponer las credenciales del usuario. En el ecosistema FHIR, OAuth 2.0 constituye el mecanismo de seguridad recomendado para controlar el acceso a </w:t>
      </w:r>
      <w:proofErr w:type="spellStart"/>
      <w:r>
        <w:t>APIs</w:t>
      </w:r>
      <w:proofErr w:type="spellEnd"/>
      <w:r>
        <w:t xml:space="preserve"> clínicas, implementado típicamente a través del perfil SMART </w:t>
      </w:r>
      <w:proofErr w:type="spellStart"/>
      <w:r>
        <w:lastRenderedPageBreak/>
        <w:t>on</w:t>
      </w:r>
      <w:proofErr w:type="spellEnd"/>
      <w:r>
        <w:t xml:space="preserve"> FHIR que define flujos de autorización específicos para aplicaciones de salud.</w:t>
      </w:r>
    </w:p>
    <w:p w14:paraId="2B4469A0" w14:textId="77777777" w:rsidR="00751FD9" w:rsidRDefault="006124A7">
      <w:pPr>
        <w:numPr>
          <w:ilvl w:val="0"/>
          <w:numId w:val="63"/>
        </w:numPr>
      </w:pPr>
      <w:proofErr w:type="spellStart"/>
      <w:r>
        <w:rPr>
          <w:b/>
          <w:bCs/>
        </w:rPr>
        <w:t>openEHR</w:t>
      </w:r>
      <w:proofErr w:type="spellEnd"/>
      <w:r>
        <w:rPr>
          <w:b/>
          <w:bCs/>
        </w:rPr>
        <w:t>:</w:t>
      </w:r>
      <w:r>
        <w:t xml:space="preserve"> Estándar abierto de interoperabilidad semántica que utiliza arquetipos y plantillas para el modelado y persistencia de información clínica, permitiendo que los datos sean estructurados de forma independiente del software. Porras Gamarra (2024) lo complementó con HL7 FHIR en el proyecto M-</w:t>
      </w:r>
      <w:proofErr w:type="spellStart"/>
      <w:r>
        <w:t>Connecta</w:t>
      </w:r>
      <w:proofErr w:type="spellEnd"/>
      <w:r>
        <w:t>.</w:t>
      </w:r>
    </w:p>
    <w:p w14:paraId="7A94E302" w14:textId="77777777" w:rsidR="00751FD9" w:rsidRDefault="006124A7">
      <w:pPr>
        <w:numPr>
          <w:ilvl w:val="0"/>
          <w:numId w:val="63"/>
        </w:numPr>
      </w:pPr>
      <w:r>
        <w:rPr>
          <w:b/>
          <w:bCs/>
        </w:rPr>
        <w:t>RENHICE (Registro Nacional de Historias Clínicas Electrónicas):</w:t>
      </w:r>
      <w:r>
        <w:t xml:space="preserve"> Registro creado por la Ley </w:t>
      </w:r>
      <w:proofErr w:type="spellStart"/>
      <w:r>
        <w:t>N°</w:t>
      </w:r>
      <w:proofErr w:type="spellEnd"/>
      <w:r>
        <w:t xml:space="preserve"> 30024 del Perú que tiene como objetivo garantizar el acceso y disponibilidad de las historias clínicas electrónicas a nivel nacional, promoviendo la interoperabilidad entre las IPRESS públicas y privadas (Bayona Castañeda, 2019).</w:t>
      </w:r>
    </w:p>
    <w:p w14:paraId="3CD5B34C" w14:textId="77777777" w:rsidR="00751FD9" w:rsidRDefault="006124A7">
      <w:pPr>
        <w:numPr>
          <w:ilvl w:val="0"/>
          <w:numId w:val="63"/>
        </w:numPr>
      </w:pPr>
      <w:r>
        <w:rPr>
          <w:b/>
          <w:bCs/>
        </w:rPr>
        <w:t>PIDESALUD (Plataforma de Interoperabilidad de Datos Estándares de Salud):</w:t>
      </w:r>
      <w:r>
        <w:t xml:space="preserve"> Plataforma normada por la RM </w:t>
      </w:r>
      <w:proofErr w:type="spellStart"/>
      <w:r>
        <w:t>N°</w:t>
      </w:r>
      <w:proofErr w:type="spellEnd"/>
      <w:r>
        <w:t xml:space="preserve"> 1193-2019-MINSA que establece los mecanismos técnicos para la interoperabilidad de datos de salud entre los establecimientos del MINSA y otras entidades del sector salud peruano.</w:t>
      </w:r>
    </w:p>
    <w:p w14:paraId="6D4C2FEA" w14:textId="77777777" w:rsidR="00751FD9" w:rsidRDefault="006124A7">
      <w:pPr>
        <w:numPr>
          <w:ilvl w:val="0"/>
          <w:numId w:val="63"/>
        </w:numPr>
      </w:pPr>
      <w:r>
        <w:rPr>
          <w:b/>
          <w:bCs/>
        </w:rPr>
        <w:t>Recurso FHIR:</w:t>
      </w:r>
      <w:r>
        <w:t xml:space="preserve"> Unidad modular básica de información en el estándar FHIR, descrita metafóricamente como un “ladrillo Lego®” de información sanitaria. Cada recurso representa un concepto clínico o administrativo discreto (Patient, </w:t>
      </w:r>
      <w:proofErr w:type="spellStart"/>
      <w:r>
        <w:t>Encounter</w:t>
      </w:r>
      <w:proofErr w:type="spellEnd"/>
      <w:r>
        <w:t xml:space="preserve">, </w:t>
      </w:r>
      <w:proofErr w:type="spellStart"/>
      <w:r>
        <w:t>Observation</w:t>
      </w:r>
      <w:proofErr w:type="spellEnd"/>
      <w:r>
        <w:t xml:space="preserve">, </w:t>
      </w:r>
      <w:proofErr w:type="spellStart"/>
      <w:r>
        <w:t>Condition</w:t>
      </w:r>
      <w:proofErr w:type="spellEnd"/>
      <w:r>
        <w:t xml:space="preserve">, </w:t>
      </w:r>
      <w:proofErr w:type="spellStart"/>
      <w:r>
        <w:t>Procedure</w:t>
      </w:r>
      <w:proofErr w:type="spellEnd"/>
      <w:r>
        <w:t>, entre otros) y puede utilizarse de forma independiente o combinada (Pimenta et al., 2023).</w:t>
      </w:r>
    </w:p>
    <w:p w14:paraId="1ED724E3" w14:textId="77777777" w:rsidR="00751FD9" w:rsidRDefault="006124A7">
      <w:pPr>
        <w:numPr>
          <w:ilvl w:val="0"/>
          <w:numId w:val="63"/>
        </w:numPr>
      </w:pPr>
      <w:r>
        <w:rPr>
          <w:b/>
          <w:bCs/>
        </w:rPr>
        <w:t>RNIEDS (Red Nacional de Interoperabilidad en Datos de Salud):</w:t>
      </w:r>
      <w:r>
        <w:t xml:space="preserve"> Red normada por la RM </w:t>
      </w:r>
      <w:proofErr w:type="spellStart"/>
      <w:r>
        <w:t>N°</w:t>
      </w:r>
      <w:proofErr w:type="spellEnd"/>
      <w:r>
        <w:t xml:space="preserve"> 464-2019-MINSA que define la arquitectura de conectividad e intercambio de datos estandarizados entre los sistemas de información de los establecimientos de salud del MINSA a nivel nacional.</w:t>
      </w:r>
    </w:p>
    <w:p w14:paraId="3EAEDC20" w14:textId="77777777" w:rsidR="00751FD9" w:rsidRDefault="006124A7">
      <w:pPr>
        <w:numPr>
          <w:ilvl w:val="0"/>
          <w:numId w:val="63"/>
        </w:numPr>
      </w:pPr>
      <w:r>
        <w:rPr>
          <w:b/>
          <w:bCs/>
        </w:rPr>
        <w:t>SIS (Seguro Integral de Salud):</w:t>
      </w:r>
      <w:r>
        <w:t xml:space="preserve"> Organismo público del sector salud peruano que administra el aseguramiento en salud de la población en situación de vulnerabilidad, financiando prestaciones en los establecimientos del MINSA. La validación oportuna de atenciones por el SIS requiere registros clínicos completos y correctamente codificados.</w:t>
      </w:r>
    </w:p>
    <w:p w14:paraId="553F924A" w14:textId="77777777" w:rsidR="00751FD9" w:rsidRDefault="006124A7">
      <w:pPr>
        <w:numPr>
          <w:ilvl w:val="0"/>
          <w:numId w:val="63"/>
        </w:numPr>
      </w:pPr>
      <w:r>
        <w:rPr>
          <w:b/>
          <w:bCs/>
        </w:rPr>
        <w:lastRenderedPageBreak/>
        <w:t xml:space="preserve">SMART </w:t>
      </w:r>
      <w:proofErr w:type="spellStart"/>
      <w:r>
        <w:rPr>
          <w:b/>
          <w:bCs/>
        </w:rPr>
        <w:t>on</w:t>
      </w:r>
      <w:proofErr w:type="spellEnd"/>
      <w:r>
        <w:rPr>
          <w:b/>
          <w:bCs/>
        </w:rPr>
        <w:t xml:space="preserve"> FHIR (</w:t>
      </w:r>
      <w:proofErr w:type="spellStart"/>
      <w:r>
        <w:rPr>
          <w:b/>
          <w:bCs/>
        </w:rPr>
        <w:t>Substitutable</w:t>
      </w:r>
      <w:proofErr w:type="spellEnd"/>
      <w:r>
        <w:rPr>
          <w:b/>
          <w:bCs/>
        </w:rPr>
        <w:t xml:space="preserve"> Medical </w:t>
      </w:r>
      <w:proofErr w:type="spellStart"/>
      <w:r>
        <w:rPr>
          <w:b/>
          <w:bCs/>
        </w:rPr>
        <w:t>Applications</w:t>
      </w:r>
      <w:proofErr w:type="spellEnd"/>
      <w:r>
        <w:rPr>
          <w:b/>
          <w:bCs/>
        </w:rPr>
        <w:t>, Reusable Technologies):</w:t>
      </w:r>
      <w:r>
        <w:t xml:space="preserve"> Plataforma de estándares abiertos que define cómo las aplicaciones clínicas se autentican, autorizan y conectan a servidores FHIR de forma segura y portátil. Combina OAuth 2.0, </w:t>
      </w:r>
      <w:proofErr w:type="spellStart"/>
      <w:r>
        <w:t>OpenID</w:t>
      </w:r>
      <w:proofErr w:type="spellEnd"/>
      <w:r>
        <w:t xml:space="preserve"> </w:t>
      </w:r>
      <w:proofErr w:type="spellStart"/>
      <w:r>
        <w:t>Connect</w:t>
      </w:r>
      <w:proofErr w:type="spellEnd"/>
      <w:r>
        <w:t xml:space="preserve"> y perfiles FHIR para permitir que una misma aplicación funcione sobre cualquier EHR compatible, promoviendo un ecosistema de aplicaciones clínicas intercambiables.</w:t>
      </w:r>
    </w:p>
    <w:p w14:paraId="02DBF27C" w14:textId="77777777" w:rsidR="00751FD9" w:rsidRDefault="006124A7">
      <w:pPr>
        <w:numPr>
          <w:ilvl w:val="0"/>
          <w:numId w:val="63"/>
        </w:numPr>
      </w:pPr>
      <w:r>
        <w:rPr>
          <w:b/>
          <w:bCs/>
        </w:rPr>
        <w:t>SNOMED-CT (</w:t>
      </w:r>
      <w:proofErr w:type="spellStart"/>
      <w:r>
        <w:rPr>
          <w:b/>
          <w:bCs/>
        </w:rPr>
        <w:t>Systematized</w:t>
      </w:r>
      <w:proofErr w:type="spellEnd"/>
      <w:r>
        <w:rPr>
          <w:b/>
          <w:bCs/>
        </w:rPr>
        <w:t xml:space="preserve"> </w:t>
      </w:r>
      <w:proofErr w:type="spellStart"/>
      <w:r>
        <w:rPr>
          <w:b/>
          <w:bCs/>
        </w:rPr>
        <w:t>Nomenclature</w:t>
      </w:r>
      <w:proofErr w:type="spellEnd"/>
      <w:r>
        <w:rPr>
          <w:b/>
          <w:bCs/>
        </w:rPr>
        <w:t xml:space="preserve"> </w:t>
      </w:r>
      <w:proofErr w:type="spellStart"/>
      <w:r>
        <w:rPr>
          <w:b/>
          <w:bCs/>
        </w:rPr>
        <w:t>of</w:t>
      </w:r>
      <w:proofErr w:type="spellEnd"/>
      <w:r>
        <w:rPr>
          <w:b/>
          <w:bCs/>
        </w:rPr>
        <w:t xml:space="preserve"> Medicine — </w:t>
      </w:r>
      <w:proofErr w:type="spellStart"/>
      <w:r>
        <w:rPr>
          <w:b/>
          <w:bCs/>
        </w:rPr>
        <w:t>Clinical</w:t>
      </w:r>
      <w:proofErr w:type="spellEnd"/>
      <w:r>
        <w:rPr>
          <w:b/>
          <w:bCs/>
        </w:rPr>
        <w:t xml:space="preserve"> </w:t>
      </w:r>
      <w:proofErr w:type="spellStart"/>
      <w:r>
        <w:rPr>
          <w:b/>
          <w:bCs/>
        </w:rPr>
        <w:t>Terms</w:t>
      </w:r>
      <w:proofErr w:type="spellEnd"/>
      <w:r>
        <w:rPr>
          <w:b/>
          <w:bCs/>
        </w:rPr>
        <w:t>):</w:t>
      </w:r>
      <w:r>
        <w:t xml:space="preserve"> Terminología clínica integral y multilingüe mantenida por SNOMED International, que proporciona códigos, términos, sinónimos y definiciones para representar hallazgos clínicos, procedimientos, organismos y sustancias. Es la terminología de referencia para la interoperabilidad semántica de datos clínicos en ecosistemas FHIR, al permitir que conceptos médicos sean codificados de forma unívoca entre sistemas emisores y receptores (</w:t>
      </w:r>
      <w:proofErr w:type="spellStart"/>
      <w:r>
        <w:t>Torab-Miandoab</w:t>
      </w:r>
      <w:proofErr w:type="spellEnd"/>
      <w:r>
        <w:t xml:space="preserve"> et al., 2023).</w:t>
      </w:r>
    </w:p>
    <w:p w14:paraId="4AF22B1B" w14:textId="3811A880" w:rsidR="00751FD9" w:rsidRDefault="006124A7">
      <w:pPr>
        <w:pStyle w:val="Ttulo3"/>
      </w:pPr>
      <w:bookmarkStart w:id="58" w:name="X4340cc8ce31cdaca397d35e3447146e54ba14cf"/>
      <w:bookmarkStart w:id="59" w:name="_Toc225537562"/>
      <w:r>
        <w:t>2.3.</w:t>
      </w:r>
      <w:proofErr w:type="gramStart"/>
      <w:r>
        <w:t>1.Definiciones</w:t>
      </w:r>
      <w:proofErr w:type="gramEnd"/>
      <w:r>
        <w:t xml:space="preserve"> operacionales de los indicadores de calidad del intercambio</w:t>
      </w:r>
      <w:bookmarkEnd w:id="59"/>
    </w:p>
    <w:p w14:paraId="476C7D28" w14:textId="00CFBE37" w:rsidR="00751FD9" w:rsidRDefault="006124A7">
      <w:r>
        <w:t>Los siguientes términos se definen en su acepción operacional específica para esta investigación, en correspondencia con las dimensiones de la variable dependiente y con la fundamentación teórica sobre calidad de datos clínicos presentada en la sección 2.2.</w:t>
      </w:r>
    </w:p>
    <w:p w14:paraId="280A49EA" w14:textId="77777777" w:rsidR="00751FD9" w:rsidRDefault="006124A7">
      <w:pPr>
        <w:numPr>
          <w:ilvl w:val="0"/>
          <w:numId w:val="64"/>
        </w:numPr>
      </w:pPr>
      <w:r>
        <w:rPr>
          <w:b/>
          <w:bCs/>
        </w:rPr>
        <w:t>Integridad del registro clínico (operacional):</w:t>
      </w:r>
      <w:r>
        <w:t xml:space="preserve"> Proporción de campos clínicos obligatorios —según los perfiles FHIR definidos en la Guía de Implementación del estudio— que se encuentran completos y con valores válidos en los recursos intercambiados (Patient, </w:t>
      </w:r>
      <w:proofErr w:type="spellStart"/>
      <w:r>
        <w:t>Condition</w:t>
      </w:r>
      <w:proofErr w:type="spellEnd"/>
      <w:r>
        <w:t xml:space="preserve">, </w:t>
      </w:r>
      <w:proofErr w:type="spellStart"/>
      <w:r>
        <w:t>Observation</w:t>
      </w:r>
      <w:proofErr w:type="spellEnd"/>
      <w:r>
        <w:t>). Se calcula como el porcentaje de recursos FHIR que contienen valores válidos en los campos marcados como obligatorios (</w:t>
      </w:r>
      <w:proofErr w:type="spellStart"/>
      <w:r>
        <w:t>must-support</w:t>
      </w:r>
      <w:proofErr w:type="spellEnd"/>
      <w:r>
        <w:t xml:space="preserve"> = true).</w:t>
      </w:r>
    </w:p>
    <w:p w14:paraId="2DC25C71" w14:textId="77777777" w:rsidR="00751FD9" w:rsidRDefault="006124A7">
      <w:pPr>
        <w:numPr>
          <w:ilvl w:val="0"/>
          <w:numId w:val="64"/>
        </w:numPr>
      </w:pPr>
      <w:r>
        <w:rPr>
          <w:b/>
          <w:bCs/>
        </w:rPr>
        <w:t>Consistencia en la codificación clínica (operacional):</w:t>
      </w:r>
      <w:r>
        <w:t xml:space="preserve"> Grado de concordancia entre la codificación empleada por los sistemas emisores y los estándares definidos en el marco normativo (CIE-10, CPMS). Se mide como el porcentaje de diagnósticos y procedimientos que cumplen con la codificación estándar vigente respecto al total de registros auditados.</w:t>
      </w:r>
    </w:p>
    <w:p w14:paraId="14612B01" w14:textId="77777777" w:rsidR="00751FD9" w:rsidRDefault="006124A7">
      <w:pPr>
        <w:numPr>
          <w:ilvl w:val="0"/>
          <w:numId w:val="64"/>
        </w:numPr>
      </w:pPr>
      <w:r>
        <w:rPr>
          <w:b/>
          <w:bCs/>
        </w:rPr>
        <w:lastRenderedPageBreak/>
        <w:t>Disponibilidad del intercambio (operacional):</w:t>
      </w:r>
      <w:r>
        <w:t xml:space="preserve"> Porcentaje de transacciones FHIR exitosas respecto al total de transacciones programadas durante el periodo de evaluación, calculado mediante el análisis de logs del servidor FHIR piloto.</w:t>
      </w:r>
    </w:p>
    <w:p w14:paraId="6EBB7192" w14:textId="77777777" w:rsidR="00751FD9" w:rsidRDefault="006124A7">
      <w:pPr>
        <w:numPr>
          <w:ilvl w:val="0"/>
          <w:numId w:val="64"/>
        </w:numPr>
      </w:pPr>
      <w:r>
        <w:rPr>
          <w:b/>
          <w:bCs/>
        </w:rPr>
        <w:t>Continuidad asistencial (operacional):</w:t>
      </w:r>
      <w:r>
        <w:t xml:space="preserve"> Capacidad de acceder al historial clínico completo de un paciente a lo largo de los diferentes niveles de atención dentro del circuito piloto, medida como el porcentaje de pacientes cuya información clínica está disponible en su totalidad en cada punto de atención visitado.</w:t>
      </w:r>
    </w:p>
    <w:p w14:paraId="14F27DF4" w14:textId="77777777" w:rsidR="00751FD9" w:rsidRDefault="006124A7">
      <w:pPr>
        <w:pStyle w:val="Ttulo1"/>
        <w:pageBreakBefore/>
      </w:pPr>
      <w:bookmarkStart w:id="60" w:name="referencias"/>
      <w:bookmarkStart w:id="61" w:name="_Toc225537563"/>
      <w:bookmarkEnd w:id="38"/>
      <w:bookmarkEnd w:id="56"/>
      <w:bookmarkEnd w:id="58"/>
      <w:r>
        <w:lastRenderedPageBreak/>
        <w:t>Referencias</w:t>
      </w:r>
      <w:bookmarkEnd w:id="61"/>
    </w:p>
    <w:p w14:paraId="35D6AFD1" w14:textId="77777777" w:rsidR="00751FD9" w:rsidRDefault="006124A7">
      <w:pPr>
        <w:numPr>
          <w:ilvl w:val="0"/>
          <w:numId w:val="67"/>
        </w:numPr>
      </w:pPr>
      <w:proofErr w:type="spellStart"/>
      <w:r w:rsidRPr="00B36744">
        <w:rPr>
          <w:lang w:val="en-US"/>
        </w:rPr>
        <w:t>Adelusi</w:t>
      </w:r>
      <w:proofErr w:type="spellEnd"/>
      <w:r w:rsidRPr="00B36744">
        <w:rPr>
          <w:lang w:val="en-US"/>
        </w:rPr>
        <w:t xml:space="preserve">, B. S., </w:t>
      </w:r>
      <w:proofErr w:type="spellStart"/>
      <w:r w:rsidRPr="00B36744">
        <w:rPr>
          <w:lang w:val="en-US"/>
        </w:rPr>
        <w:t>Osamika</w:t>
      </w:r>
      <w:proofErr w:type="spellEnd"/>
      <w:r w:rsidRPr="00B36744">
        <w:rPr>
          <w:lang w:val="en-US"/>
        </w:rPr>
        <w:t xml:space="preserve">, D., </w:t>
      </w:r>
      <w:proofErr w:type="spellStart"/>
      <w:r w:rsidRPr="00B36744">
        <w:rPr>
          <w:lang w:val="en-US"/>
        </w:rPr>
        <w:t>Chinyeaka</w:t>
      </w:r>
      <w:proofErr w:type="spellEnd"/>
      <w:r w:rsidRPr="00B36744">
        <w:rPr>
          <w:lang w:val="en-US"/>
        </w:rPr>
        <w:t xml:space="preserve"> Kelvin-Agwu, M., Mustapha, A. Y., </w:t>
      </w:r>
      <w:proofErr w:type="spellStart"/>
      <w:r w:rsidRPr="00B36744">
        <w:rPr>
          <w:lang w:val="en-US"/>
        </w:rPr>
        <w:t>Forkuo</w:t>
      </w:r>
      <w:proofErr w:type="spellEnd"/>
      <w:r w:rsidRPr="00B36744">
        <w:rPr>
          <w:lang w:val="en-US"/>
        </w:rPr>
        <w:t xml:space="preserve">, A. Y., &amp; </w:t>
      </w:r>
      <w:proofErr w:type="spellStart"/>
      <w:r w:rsidRPr="00B36744">
        <w:rPr>
          <w:lang w:val="en-US"/>
        </w:rPr>
        <w:t>Ikhalea</w:t>
      </w:r>
      <w:proofErr w:type="spellEnd"/>
      <w:r w:rsidRPr="00B36744">
        <w:rPr>
          <w:lang w:val="en-US"/>
        </w:rPr>
        <w:t xml:space="preserve">, N. (2025). A Federated Interoperability Framework for Seamless Health Data Exchange Using FHIR Standards Across Multi-Hospital Systems. </w:t>
      </w:r>
      <w:proofErr w:type="spellStart"/>
      <w:r>
        <w:rPr>
          <w:i/>
          <w:iCs/>
        </w:rPr>
        <w:t>Engineering</w:t>
      </w:r>
      <w:proofErr w:type="spellEnd"/>
      <w:r>
        <w:rPr>
          <w:i/>
          <w:iCs/>
        </w:rPr>
        <w:t xml:space="preserve"> and </w:t>
      </w:r>
      <w:proofErr w:type="spellStart"/>
      <w:r>
        <w:rPr>
          <w:i/>
          <w:iCs/>
        </w:rPr>
        <w:t>Technology</w:t>
      </w:r>
      <w:proofErr w:type="spellEnd"/>
      <w:r>
        <w:rPr>
          <w:i/>
          <w:iCs/>
        </w:rPr>
        <w:t xml:space="preserve"> </w:t>
      </w:r>
      <w:proofErr w:type="spellStart"/>
      <w:r>
        <w:rPr>
          <w:i/>
          <w:iCs/>
        </w:rPr>
        <w:t>Journal</w:t>
      </w:r>
      <w:proofErr w:type="spellEnd"/>
      <w:r>
        <w:rPr>
          <w:i/>
          <w:iCs/>
        </w:rPr>
        <w:t>, 10</w:t>
      </w:r>
      <w:r>
        <w:t>(05). https://doi.org/10.47191/etj/v10i05.03</w:t>
      </w:r>
    </w:p>
    <w:p w14:paraId="0823A4EB" w14:textId="77777777" w:rsidR="00751FD9" w:rsidRDefault="006124A7">
      <w:pPr>
        <w:numPr>
          <w:ilvl w:val="0"/>
          <w:numId w:val="67"/>
        </w:numPr>
      </w:pPr>
      <w:r w:rsidRPr="00B36744">
        <w:rPr>
          <w:lang w:val="en-US"/>
        </w:rPr>
        <w:t xml:space="preserve">Amar, F., April, A., &amp; Abran, A. (2024). Electronic Health Record and Semantic Issues Using Fast Healthcare Interoperability Resources: Systematic Mapping Review. </w:t>
      </w:r>
      <w:proofErr w:type="spellStart"/>
      <w:r>
        <w:rPr>
          <w:i/>
          <w:iCs/>
        </w:rPr>
        <w:t>Journal</w:t>
      </w:r>
      <w:proofErr w:type="spellEnd"/>
      <w:r>
        <w:rPr>
          <w:i/>
          <w:iCs/>
        </w:rPr>
        <w:t xml:space="preserve"> </w:t>
      </w:r>
      <w:proofErr w:type="spellStart"/>
      <w:r>
        <w:rPr>
          <w:i/>
          <w:iCs/>
        </w:rPr>
        <w:t>of</w:t>
      </w:r>
      <w:proofErr w:type="spellEnd"/>
      <w:r>
        <w:rPr>
          <w:i/>
          <w:iCs/>
        </w:rPr>
        <w:t xml:space="preserve"> Medical Internet </w:t>
      </w:r>
      <w:proofErr w:type="spellStart"/>
      <w:r>
        <w:rPr>
          <w:i/>
          <w:iCs/>
        </w:rPr>
        <w:t>Research</w:t>
      </w:r>
      <w:proofErr w:type="spellEnd"/>
      <w:r>
        <w:rPr>
          <w:i/>
          <w:iCs/>
        </w:rPr>
        <w:t>, 26</w:t>
      </w:r>
      <w:r>
        <w:t>, e45209. https://doi.org/10.2196/45209</w:t>
      </w:r>
    </w:p>
    <w:p w14:paraId="5A7A837E" w14:textId="77777777" w:rsidR="00751FD9" w:rsidRDefault="006124A7">
      <w:pPr>
        <w:numPr>
          <w:ilvl w:val="0"/>
          <w:numId w:val="67"/>
        </w:numPr>
      </w:pPr>
      <w:r w:rsidRPr="00B36744">
        <w:rPr>
          <w:lang w:val="en-US"/>
        </w:rPr>
        <w:t xml:space="preserve">Anand, G., &amp; Sadhna, D. (2023). Electronic health record interoperability using FHIR and blockchain: A bibliometric analysis and future perspective. </w:t>
      </w:r>
      <w:proofErr w:type="spellStart"/>
      <w:r>
        <w:rPr>
          <w:i/>
          <w:iCs/>
        </w:rPr>
        <w:t>Perspectives</w:t>
      </w:r>
      <w:proofErr w:type="spellEnd"/>
      <w:r>
        <w:rPr>
          <w:i/>
          <w:iCs/>
        </w:rPr>
        <w:t xml:space="preserve"> in </w:t>
      </w:r>
      <w:proofErr w:type="spellStart"/>
      <w:r>
        <w:rPr>
          <w:i/>
          <w:iCs/>
        </w:rPr>
        <w:t>Clinical</w:t>
      </w:r>
      <w:proofErr w:type="spellEnd"/>
      <w:r>
        <w:rPr>
          <w:i/>
          <w:iCs/>
        </w:rPr>
        <w:t xml:space="preserve"> </w:t>
      </w:r>
      <w:proofErr w:type="spellStart"/>
      <w:r>
        <w:rPr>
          <w:i/>
          <w:iCs/>
        </w:rPr>
        <w:t>Research</w:t>
      </w:r>
      <w:proofErr w:type="spellEnd"/>
      <w:r>
        <w:rPr>
          <w:i/>
          <w:iCs/>
        </w:rPr>
        <w:t>, 14</w:t>
      </w:r>
      <w:r>
        <w:t>(4), 161-166. https://doi.org/10.4103/picr.picr_272_22</w:t>
      </w:r>
    </w:p>
    <w:p w14:paraId="2913547D" w14:textId="77777777" w:rsidR="00751FD9" w:rsidRDefault="006124A7">
      <w:pPr>
        <w:numPr>
          <w:ilvl w:val="0"/>
          <w:numId w:val="67"/>
        </w:numPr>
      </w:pPr>
      <w:r>
        <w:t xml:space="preserve">Arias Geronimo, K. D. P. (2025). </w:t>
      </w:r>
      <w:r>
        <w:rPr>
          <w:i/>
          <w:iCs/>
        </w:rPr>
        <w:t>Confiabilidad de las historias clínicas electrónicas y su relación con la prestación de servicios de salud preventiva en una micro red de salud, 2024</w:t>
      </w:r>
      <w:r>
        <w:t xml:space="preserve"> [Tesis de maestría, Universidad San Ignacio de Loyola]. Repositorio USIL. https://hdl.handle.net/20.500.14005/16817</w:t>
      </w:r>
    </w:p>
    <w:p w14:paraId="659CFF79" w14:textId="77777777" w:rsidR="00751FD9" w:rsidRDefault="006124A7">
      <w:pPr>
        <w:numPr>
          <w:ilvl w:val="0"/>
          <w:numId w:val="67"/>
        </w:numPr>
      </w:pPr>
      <w:r>
        <w:t xml:space="preserve">Arrué Pajares, S. D., &amp; Vargas Rioja, C. A. (2022). </w:t>
      </w:r>
      <w:r>
        <w:rPr>
          <w:i/>
          <w:iCs/>
        </w:rPr>
        <w:t>Implementación de un Sistema de Información Hospitalario (HIS) interoperable basado en HL7 para un Centro Médico de categoría II-1 o superior</w:t>
      </w:r>
      <w:r>
        <w:t xml:space="preserve"> [Tesis de pregrado, Pontificia Universidad Católica del Perú]. Repositorio PUCP.</w:t>
      </w:r>
    </w:p>
    <w:p w14:paraId="5301AA69" w14:textId="77777777" w:rsidR="00751FD9" w:rsidRDefault="006124A7">
      <w:pPr>
        <w:numPr>
          <w:ilvl w:val="0"/>
          <w:numId w:val="67"/>
        </w:numPr>
      </w:pPr>
      <w:r>
        <w:t xml:space="preserve">Bayona Castañeda, L. (2019). </w:t>
      </w:r>
      <w:r>
        <w:rPr>
          <w:i/>
          <w:iCs/>
        </w:rPr>
        <w:t>Radiografía de la Historia Clínica en Perú</w:t>
      </w:r>
      <w:r>
        <w:t xml:space="preserve"> [Trabajo de fin de máster, </w:t>
      </w:r>
      <w:proofErr w:type="spellStart"/>
      <w:r>
        <w:t>Universitat</w:t>
      </w:r>
      <w:proofErr w:type="spellEnd"/>
      <w:r>
        <w:t xml:space="preserve"> </w:t>
      </w:r>
      <w:proofErr w:type="spellStart"/>
      <w:r>
        <w:t>Politècnica</w:t>
      </w:r>
      <w:proofErr w:type="spellEnd"/>
      <w:r>
        <w:t xml:space="preserve"> de València]. </w:t>
      </w:r>
      <w:proofErr w:type="spellStart"/>
      <w:r>
        <w:t>RiuNet</w:t>
      </w:r>
      <w:proofErr w:type="spellEnd"/>
      <w:r>
        <w:t xml:space="preserve"> UPV.</w:t>
      </w:r>
    </w:p>
    <w:p w14:paraId="01F355BD" w14:textId="77777777" w:rsidR="00751FD9" w:rsidRDefault="006124A7">
      <w:pPr>
        <w:numPr>
          <w:ilvl w:val="0"/>
          <w:numId w:val="67"/>
        </w:numPr>
      </w:pPr>
      <w:r w:rsidRPr="00B36744">
        <w:rPr>
          <w:lang w:val="en-US"/>
        </w:rPr>
        <w:t xml:space="preserve">Bossenko, I., Randmaa, R., Piho, G., &amp; Ross, P. (2024). Interoperability of health data using FHIR Mapping Language: Transforming HL7 CDA to FHIR with reusable visual components. </w:t>
      </w:r>
      <w:proofErr w:type="spellStart"/>
      <w:r>
        <w:rPr>
          <w:i/>
          <w:iCs/>
        </w:rPr>
        <w:t>Frontiers</w:t>
      </w:r>
      <w:proofErr w:type="spellEnd"/>
      <w:r>
        <w:rPr>
          <w:i/>
          <w:iCs/>
        </w:rPr>
        <w:t xml:space="preserve"> in Digital Health, 6</w:t>
      </w:r>
      <w:r>
        <w:t>. https://doi.org/10.3389/fdgth.2024.1480600</w:t>
      </w:r>
    </w:p>
    <w:p w14:paraId="6F2CF419" w14:textId="77777777" w:rsidR="00751FD9" w:rsidRPr="00B36744" w:rsidRDefault="006124A7">
      <w:pPr>
        <w:numPr>
          <w:ilvl w:val="0"/>
          <w:numId w:val="67"/>
        </w:numPr>
        <w:rPr>
          <w:lang w:val="en-US"/>
        </w:rPr>
      </w:pPr>
      <w:r>
        <w:t xml:space="preserve">Bran, E., Alzamora, A., Castañeda-Carbajal, B., Castillo-Sequera, J. L., &amp; Wong, L. (2024). </w:t>
      </w:r>
      <w:r w:rsidRPr="00B36744">
        <w:rPr>
          <w:lang w:val="en-US"/>
        </w:rPr>
        <w:t xml:space="preserve">Interoperability Blockchain, </w:t>
      </w:r>
      <w:proofErr w:type="spellStart"/>
      <w:r w:rsidRPr="00B36744">
        <w:rPr>
          <w:lang w:val="en-US"/>
        </w:rPr>
        <w:t>InterPlanetary</w:t>
      </w:r>
      <w:proofErr w:type="spellEnd"/>
      <w:r w:rsidRPr="00B36744">
        <w:rPr>
          <w:lang w:val="en-US"/>
        </w:rPr>
        <w:t xml:space="preserve"> File System and </w:t>
      </w:r>
      <w:r w:rsidRPr="00B36744">
        <w:rPr>
          <w:lang w:val="en-US"/>
        </w:rPr>
        <w:lastRenderedPageBreak/>
        <w:t xml:space="preserve">Health Level 7 Framework for Electronic Health Records. </w:t>
      </w:r>
      <w:r w:rsidRPr="00B36744">
        <w:rPr>
          <w:i/>
          <w:iCs/>
          <w:lang w:val="en-US"/>
        </w:rPr>
        <w:t>International Journal of Online and Biomedical Engineering (</w:t>
      </w:r>
      <w:proofErr w:type="spellStart"/>
      <w:r w:rsidRPr="00B36744">
        <w:rPr>
          <w:i/>
          <w:iCs/>
          <w:lang w:val="en-US"/>
        </w:rPr>
        <w:t>iJOE</w:t>
      </w:r>
      <w:proofErr w:type="spellEnd"/>
      <w:r w:rsidRPr="00B36744">
        <w:rPr>
          <w:i/>
          <w:iCs/>
          <w:lang w:val="en-US"/>
        </w:rPr>
        <w:t>), 20</w:t>
      </w:r>
      <w:r w:rsidRPr="00B36744">
        <w:rPr>
          <w:lang w:val="en-US"/>
        </w:rPr>
        <w:t>(15), 60–78. https://doi.org/10.3991/ijoe.v20i15.51515</w:t>
      </w:r>
    </w:p>
    <w:p w14:paraId="2A9D4504" w14:textId="77777777" w:rsidR="00751FD9" w:rsidRDefault="006124A7">
      <w:pPr>
        <w:numPr>
          <w:ilvl w:val="0"/>
          <w:numId w:val="67"/>
        </w:numPr>
      </w:pPr>
      <w:r w:rsidRPr="00B36744">
        <w:rPr>
          <w:lang w:val="en-US"/>
        </w:rPr>
        <w:t xml:space="preserve">Chatterjee, A., Pahari, N., &amp; Prinz, A. (2022). HL7 FHIR with SNOMED-CT to Achieve Semantic and Structural Interoperability in Personal Health Data: A Proof-of-Concept Study. </w:t>
      </w:r>
      <w:proofErr w:type="spellStart"/>
      <w:r>
        <w:rPr>
          <w:i/>
          <w:iCs/>
        </w:rPr>
        <w:t>Sensors</w:t>
      </w:r>
      <w:proofErr w:type="spellEnd"/>
      <w:r>
        <w:rPr>
          <w:i/>
          <w:iCs/>
        </w:rPr>
        <w:t>, 22</w:t>
      </w:r>
      <w:r>
        <w:t>(10), 3756. https://doi.org/10.3390/s22103756</w:t>
      </w:r>
    </w:p>
    <w:p w14:paraId="6E6D8471" w14:textId="77777777" w:rsidR="00751FD9" w:rsidRDefault="006124A7">
      <w:pPr>
        <w:numPr>
          <w:ilvl w:val="0"/>
          <w:numId w:val="67"/>
        </w:numPr>
      </w:pPr>
      <w:r>
        <w:t xml:space="preserve">Esparza Morgan, S. I. J. (2025). </w:t>
      </w:r>
      <w:r>
        <w:rPr>
          <w:i/>
          <w:iCs/>
        </w:rPr>
        <w:t>Influencia de la historia clínica electrónica única en la gestión de la calidad de un hospital de EsSalud, 2024</w:t>
      </w:r>
      <w:r>
        <w:t xml:space="preserve"> [Tesis de maestría, Universidad San Ignacio de Loyola]. Repositorio USIL. https://hdl.handle.net/20.500.14005/16177</w:t>
      </w:r>
    </w:p>
    <w:p w14:paraId="7A7EC2A8" w14:textId="77777777" w:rsidR="00751FD9" w:rsidRDefault="006124A7">
      <w:pPr>
        <w:numPr>
          <w:ilvl w:val="0"/>
          <w:numId w:val="67"/>
        </w:numPr>
      </w:pPr>
      <w:proofErr w:type="spellStart"/>
      <w:r>
        <w:t>Fernandez</w:t>
      </w:r>
      <w:proofErr w:type="spellEnd"/>
      <w:r>
        <w:t xml:space="preserve">, M., Pinto, H. A., </w:t>
      </w:r>
      <w:proofErr w:type="spellStart"/>
      <w:r>
        <w:t>Fernandes</w:t>
      </w:r>
      <w:proofErr w:type="spellEnd"/>
      <w:r>
        <w:t xml:space="preserve">, L. M. M., Oliveira, J. A. S., Lima, A. M. F. S., Santana, J. S. S., &amp; </w:t>
      </w:r>
      <w:proofErr w:type="spellStart"/>
      <w:r>
        <w:t>Chioro</w:t>
      </w:r>
      <w:proofErr w:type="spellEnd"/>
      <w:r>
        <w:t xml:space="preserve">, A. (2025). </w:t>
      </w:r>
      <w:r w:rsidRPr="00B36744">
        <w:rPr>
          <w:lang w:val="en-US"/>
        </w:rPr>
        <w:t xml:space="preserve">Interoperability in universal healthcare systems: Insights from Brazil’s experience integrating primary and hospital health care data. </w:t>
      </w:r>
      <w:proofErr w:type="spellStart"/>
      <w:r>
        <w:rPr>
          <w:i/>
          <w:iCs/>
        </w:rPr>
        <w:t>Frontiers</w:t>
      </w:r>
      <w:proofErr w:type="spellEnd"/>
      <w:r>
        <w:rPr>
          <w:i/>
          <w:iCs/>
        </w:rPr>
        <w:t xml:space="preserve"> in Digital Health, 7</w:t>
      </w:r>
      <w:r>
        <w:t>, 1622302. https://doi.org/10.3389/fdgth.2025.1622302</w:t>
      </w:r>
    </w:p>
    <w:p w14:paraId="6BFE9E8A" w14:textId="77777777" w:rsidR="00751FD9" w:rsidRDefault="006124A7">
      <w:pPr>
        <w:numPr>
          <w:ilvl w:val="0"/>
          <w:numId w:val="67"/>
        </w:numPr>
      </w:pPr>
      <w:r>
        <w:t xml:space="preserve">Fernández Infanzón, L. I., &amp; </w:t>
      </w:r>
      <w:proofErr w:type="spellStart"/>
      <w:r>
        <w:t>Huarac</w:t>
      </w:r>
      <w:proofErr w:type="spellEnd"/>
      <w:r>
        <w:t xml:space="preserve"> </w:t>
      </w:r>
      <w:proofErr w:type="spellStart"/>
      <w:r>
        <w:t>Cuizano</w:t>
      </w:r>
      <w:proofErr w:type="spellEnd"/>
      <w:r>
        <w:t xml:space="preserve">, Y. M. (2021). </w:t>
      </w:r>
      <w:r>
        <w:rPr>
          <w:i/>
          <w:iCs/>
        </w:rPr>
        <w:t xml:space="preserve">Plan de negocio para integrar a las IPRESS con una plataforma de historia clínica electrónica (HCE) utilizando tecnología </w:t>
      </w:r>
      <w:proofErr w:type="spellStart"/>
      <w:r>
        <w:rPr>
          <w:i/>
          <w:iCs/>
        </w:rPr>
        <w:t>blockchain</w:t>
      </w:r>
      <w:proofErr w:type="spellEnd"/>
      <w:r>
        <w:t xml:space="preserve"> [Tesis de maestría, Universidad ESAN]. Repositorio ESAN. https://hdl.handle.net/20.500.12640/2139</w:t>
      </w:r>
    </w:p>
    <w:p w14:paraId="2215098C" w14:textId="77777777" w:rsidR="00751FD9" w:rsidRDefault="006124A7">
      <w:pPr>
        <w:numPr>
          <w:ilvl w:val="0"/>
          <w:numId w:val="67"/>
        </w:numPr>
      </w:pPr>
      <w:r w:rsidRPr="00B36744">
        <w:rPr>
          <w:lang w:val="en-US"/>
        </w:rPr>
        <w:t>Gaudet-</w:t>
      </w:r>
      <w:proofErr w:type="spellStart"/>
      <w:r w:rsidRPr="00B36744">
        <w:rPr>
          <w:lang w:val="en-US"/>
        </w:rPr>
        <w:t>Blavignac</w:t>
      </w:r>
      <w:proofErr w:type="spellEnd"/>
      <w:r w:rsidRPr="00B36744">
        <w:rPr>
          <w:lang w:val="en-US"/>
        </w:rPr>
        <w:t xml:space="preserve">, C., </w:t>
      </w:r>
      <w:proofErr w:type="spellStart"/>
      <w:r w:rsidRPr="00B36744">
        <w:rPr>
          <w:lang w:val="en-US"/>
        </w:rPr>
        <w:t>Raisaro</w:t>
      </w:r>
      <w:proofErr w:type="spellEnd"/>
      <w:r w:rsidRPr="00B36744">
        <w:rPr>
          <w:lang w:val="en-US"/>
        </w:rPr>
        <w:t xml:space="preserve">, J. L., Touré, V., Österle, S., </w:t>
      </w:r>
      <w:proofErr w:type="spellStart"/>
      <w:r w:rsidRPr="00B36744">
        <w:rPr>
          <w:lang w:val="en-US"/>
        </w:rPr>
        <w:t>Crameri</w:t>
      </w:r>
      <w:proofErr w:type="spellEnd"/>
      <w:r w:rsidRPr="00B36744">
        <w:rPr>
          <w:lang w:val="en-US"/>
        </w:rPr>
        <w:t xml:space="preserve">, K., &amp; Lovis, C. (2021). A National, Semantic-Driven, Three-Pillar Strategy to Enable Health Data Secondary Usage Interoperability for Research Within the Swiss Personalized Health Network: Methodological Study. </w:t>
      </w:r>
      <w:r>
        <w:rPr>
          <w:i/>
          <w:iCs/>
        </w:rPr>
        <w:t xml:space="preserve">JMIR Medical </w:t>
      </w:r>
      <w:proofErr w:type="spellStart"/>
      <w:r>
        <w:rPr>
          <w:i/>
          <w:iCs/>
        </w:rPr>
        <w:t>Informatics</w:t>
      </w:r>
      <w:proofErr w:type="spellEnd"/>
      <w:r>
        <w:rPr>
          <w:i/>
          <w:iCs/>
        </w:rPr>
        <w:t>, 9</w:t>
      </w:r>
      <w:r>
        <w:t>(6), e27591. https://doi.org/10.2196/27591</w:t>
      </w:r>
    </w:p>
    <w:p w14:paraId="1C1C0B9D" w14:textId="77777777" w:rsidR="00751FD9" w:rsidRPr="00B36744" w:rsidRDefault="006124A7">
      <w:pPr>
        <w:numPr>
          <w:ilvl w:val="0"/>
          <w:numId w:val="67"/>
        </w:numPr>
        <w:rPr>
          <w:lang w:val="en-US"/>
        </w:rPr>
      </w:pPr>
      <w:proofErr w:type="spellStart"/>
      <w:r>
        <w:t>Gazzarata</w:t>
      </w:r>
      <w:proofErr w:type="spellEnd"/>
      <w:r>
        <w:t xml:space="preserve">, R., Almeida, J., Lindsköld, L., </w:t>
      </w:r>
      <w:proofErr w:type="spellStart"/>
      <w:r>
        <w:t>Cangioli</w:t>
      </w:r>
      <w:proofErr w:type="spellEnd"/>
      <w:r>
        <w:t xml:space="preserve">, G., Gaeta, E., Fico, G., &amp; </w:t>
      </w:r>
      <w:proofErr w:type="spellStart"/>
      <w:r>
        <w:t>Chronaki</w:t>
      </w:r>
      <w:proofErr w:type="spellEnd"/>
      <w:r>
        <w:t xml:space="preserve">, C. E. (2024). </w:t>
      </w:r>
      <w:r w:rsidRPr="00B36744">
        <w:rPr>
          <w:lang w:val="en-US"/>
        </w:rPr>
        <w:t xml:space="preserve">HL7 Fast Healthcare Interoperability Resources (HL7 FHIR) in digital healthcare ecosystems for chronic disease management: Scoping review. </w:t>
      </w:r>
      <w:r w:rsidRPr="00B36744">
        <w:rPr>
          <w:i/>
          <w:iCs/>
          <w:lang w:val="en-US"/>
        </w:rPr>
        <w:t>International Journal of Medical Informatics, 189</w:t>
      </w:r>
      <w:r w:rsidRPr="00B36744">
        <w:rPr>
          <w:lang w:val="en-US"/>
        </w:rPr>
        <w:t>, 105507. https://doi.org/10.1016/j.ijmedinf.2024.105507</w:t>
      </w:r>
    </w:p>
    <w:p w14:paraId="7AF65202" w14:textId="77777777" w:rsidR="00751FD9" w:rsidRDefault="006124A7">
      <w:pPr>
        <w:numPr>
          <w:ilvl w:val="0"/>
          <w:numId w:val="67"/>
        </w:numPr>
      </w:pPr>
      <w:r>
        <w:lastRenderedPageBreak/>
        <w:t xml:space="preserve">Hernández-Sampieri, R., &amp; Mendoza, C. P. (2018). </w:t>
      </w:r>
      <w:r>
        <w:rPr>
          <w:i/>
          <w:iCs/>
        </w:rPr>
        <w:t>Metodología de la investigación: las rutas cuantitativa, cualitativa y mixta</w:t>
      </w:r>
      <w:r>
        <w:t xml:space="preserve">. McGraw-Hill </w:t>
      </w:r>
      <w:proofErr w:type="spellStart"/>
      <w:r>
        <w:t>Education</w:t>
      </w:r>
      <w:proofErr w:type="spellEnd"/>
      <w:r>
        <w:t>.</w:t>
      </w:r>
    </w:p>
    <w:p w14:paraId="56B51DF9" w14:textId="77777777" w:rsidR="00751FD9" w:rsidRDefault="006124A7">
      <w:pPr>
        <w:numPr>
          <w:ilvl w:val="0"/>
          <w:numId w:val="67"/>
        </w:numPr>
      </w:pPr>
      <w:proofErr w:type="spellStart"/>
      <w:r w:rsidRPr="00B36744">
        <w:rPr>
          <w:lang w:val="en-US"/>
        </w:rPr>
        <w:t>Heryawan</w:t>
      </w:r>
      <w:proofErr w:type="spellEnd"/>
      <w:r w:rsidRPr="00B36744">
        <w:rPr>
          <w:lang w:val="en-US"/>
        </w:rPr>
        <w:t xml:space="preserve">, L., Mori, Y., Yamamoto, G., Kume, N., Lazuardi, L., Fuad, A., &amp; Kuroda, T. (2025). Fast Healthcare Interoperability Resources (FHIR)-Based Interoperability Design in Indonesia: Content Analysis of Developer Hub’s Social Networking Service. </w:t>
      </w:r>
      <w:r>
        <w:rPr>
          <w:i/>
          <w:iCs/>
        </w:rPr>
        <w:t xml:space="preserve">JMIR Formative </w:t>
      </w:r>
      <w:proofErr w:type="spellStart"/>
      <w:r>
        <w:rPr>
          <w:i/>
          <w:iCs/>
        </w:rPr>
        <w:t>Research</w:t>
      </w:r>
      <w:proofErr w:type="spellEnd"/>
      <w:r>
        <w:rPr>
          <w:i/>
          <w:iCs/>
        </w:rPr>
        <w:t>, 9</w:t>
      </w:r>
      <w:r>
        <w:t>, e51270. https://doi.org/10.2196/51270</w:t>
      </w:r>
    </w:p>
    <w:p w14:paraId="7D4BAE0C" w14:textId="77777777" w:rsidR="00751FD9" w:rsidRDefault="006124A7">
      <w:pPr>
        <w:numPr>
          <w:ilvl w:val="0"/>
          <w:numId w:val="67"/>
        </w:numPr>
      </w:pPr>
      <w:r w:rsidRPr="00B36744">
        <w:rPr>
          <w:lang w:val="en-US"/>
        </w:rPr>
        <w:t xml:space="preserve">Holmgren, A. J., </w:t>
      </w:r>
      <w:proofErr w:type="spellStart"/>
      <w:r w:rsidRPr="00B36744">
        <w:rPr>
          <w:lang w:val="en-US"/>
        </w:rPr>
        <w:t>Esdar</w:t>
      </w:r>
      <w:proofErr w:type="spellEnd"/>
      <w:r w:rsidRPr="00B36744">
        <w:rPr>
          <w:lang w:val="en-US"/>
        </w:rPr>
        <w:t xml:space="preserve">, M., </w:t>
      </w:r>
      <w:proofErr w:type="spellStart"/>
      <w:r w:rsidRPr="00B36744">
        <w:rPr>
          <w:lang w:val="en-US"/>
        </w:rPr>
        <w:t>Husers</w:t>
      </w:r>
      <w:proofErr w:type="spellEnd"/>
      <w:r w:rsidRPr="00B36744">
        <w:rPr>
          <w:lang w:val="en-US"/>
        </w:rPr>
        <w:t xml:space="preserve">, J., &amp; Coutinho-Almeida, J. (2023). Health Information Exchange: Understanding the Policy Landscape and Future of Data Interoperability. </w:t>
      </w:r>
      <w:proofErr w:type="spellStart"/>
      <w:r>
        <w:rPr>
          <w:i/>
          <w:iCs/>
        </w:rPr>
        <w:t>Yearbook</w:t>
      </w:r>
      <w:proofErr w:type="spellEnd"/>
      <w:r>
        <w:rPr>
          <w:i/>
          <w:iCs/>
        </w:rPr>
        <w:t xml:space="preserve"> </w:t>
      </w:r>
      <w:proofErr w:type="spellStart"/>
      <w:r>
        <w:rPr>
          <w:i/>
          <w:iCs/>
        </w:rPr>
        <w:t>of</w:t>
      </w:r>
      <w:proofErr w:type="spellEnd"/>
      <w:r>
        <w:rPr>
          <w:i/>
          <w:iCs/>
        </w:rPr>
        <w:t xml:space="preserve"> Medical </w:t>
      </w:r>
      <w:proofErr w:type="spellStart"/>
      <w:r>
        <w:rPr>
          <w:i/>
          <w:iCs/>
        </w:rPr>
        <w:t>Informatics</w:t>
      </w:r>
      <w:proofErr w:type="spellEnd"/>
      <w:r>
        <w:rPr>
          <w:i/>
          <w:iCs/>
        </w:rPr>
        <w:t>, 32</w:t>
      </w:r>
      <w:r>
        <w:t>(01), 184-194. https://doi.org/10.1055/s-0043-1768719</w:t>
      </w:r>
    </w:p>
    <w:p w14:paraId="5B610555" w14:textId="77777777" w:rsidR="00751FD9" w:rsidRDefault="006124A7">
      <w:pPr>
        <w:numPr>
          <w:ilvl w:val="0"/>
          <w:numId w:val="67"/>
        </w:numPr>
      </w:pPr>
      <w:r w:rsidRPr="00B36744">
        <w:rPr>
          <w:lang w:val="en-US"/>
        </w:rPr>
        <w:t xml:space="preserve">Jayathissa, P., &amp; </w:t>
      </w:r>
      <w:proofErr w:type="spellStart"/>
      <w:r w:rsidRPr="00B36744">
        <w:rPr>
          <w:lang w:val="en-US"/>
        </w:rPr>
        <w:t>Hewapathrana</w:t>
      </w:r>
      <w:proofErr w:type="spellEnd"/>
      <w:r w:rsidRPr="00B36744">
        <w:rPr>
          <w:lang w:val="en-US"/>
        </w:rPr>
        <w:t xml:space="preserve">, R. (2024). HAPI-FHIR Server Implementation to Enhancing Interoperability among Primary Care Health Information Systems in Sri Lanka: Review of the Technical Use Case. </w:t>
      </w:r>
      <w:proofErr w:type="spellStart"/>
      <w:r>
        <w:rPr>
          <w:i/>
          <w:iCs/>
        </w:rPr>
        <w:t>European</w:t>
      </w:r>
      <w:proofErr w:type="spellEnd"/>
      <w:r>
        <w:rPr>
          <w:i/>
          <w:iCs/>
        </w:rPr>
        <w:t xml:space="preserve"> Modern </w:t>
      </w:r>
      <w:proofErr w:type="spellStart"/>
      <w:r>
        <w:rPr>
          <w:i/>
          <w:iCs/>
        </w:rPr>
        <w:t>Studies</w:t>
      </w:r>
      <w:proofErr w:type="spellEnd"/>
      <w:r>
        <w:rPr>
          <w:i/>
          <w:iCs/>
        </w:rPr>
        <w:t xml:space="preserve"> </w:t>
      </w:r>
      <w:proofErr w:type="spellStart"/>
      <w:r>
        <w:rPr>
          <w:i/>
          <w:iCs/>
        </w:rPr>
        <w:t>Journal</w:t>
      </w:r>
      <w:proofErr w:type="spellEnd"/>
      <w:r>
        <w:rPr>
          <w:i/>
          <w:iCs/>
        </w:rPr>
        <w:t>, 7</w:t>
      </w:r>
      <w:r>
        <w:t>(6), 225-241. https://doi.org/10.59573/emsj.7(6).2023.23</w:t>
      </w:r>
    </w:p>
    <w:p w14:paraId="34167B33" w14:textId="77777777" w:rsidR="00751FD9" w:rsidRDefault="006124A7">
      <w:pPr>
        <w:numPr>
          <w:ilvl w:val="0"/>
          <w:numId w:val="67"/>
        </w:numPr>
      </w:pPr>
      <w:r w:rsidRPr="00B36744">
        <w:rPr>
          <w:lang w:val="en-US"/>
        </w:rPr>
        <w:t xml:space="preserve">Kramer, M. A., &amp; </w:t>
      </w:r>
      <w:proofErr w:type="spellStart"/>
      <w:r w:rsidRPr="00B36744">
        <w:rPr>
          <w:lang w:val="en-US"/>
        </w:rPr>
        <w:t>Moesel</w:t>
      </w:r>
      <w:proofErr w:type="spellEnd"/>
      <w:r w:rsidRPr="00B36744">
        <w:rPr>
          <w:lang w:val="en-US"/>
        </w:rPr>
        <w:t xml:space="preserve">, C. (2023). Interoperability with multiple Fast Healthcare Interoperability Resources (FHIR) profiles and versions. </w:t>
      </w:r>
      <w:r>
        <w:rPr>
          <w:i/>
          <w:iCs/>
        </w:rPr>
        <w:t>JAMIA Open, 6</w:t>
      </w:r>
      <w:r>
        <w:t>(1). https://doi.org/10.1093/jamiaopen/ooad001</w:t>
      </w:r>
    </w:p>
    <w:p w14:paraId="5D812DE4" w14:textId="77777777" w:rsidR="00751FD9" w:rsidRDefault="006124A7">
      <w:pPr>
        <w:numPr>
          <w:ilvl w:val="0"/>
          <w:numId w:val="67"/>
        </w:numPr>
      </w:pPr>
      <w:r w:rsidRPr="00B36744">
        <w:rPr>
          <w:lang w:val="en-US"/>
        </w:rPr>
        <w:t xml:space="preserve">Liu, T., Lee, H., &amp; Wu, F. (2023). Building an Electronic Medical Record System Exchanged in FHIR Format and Its Visual Presentation. </w:t>
      </w:r>
      <w:proofErr w:type="spellStart"/>
      <w:r>
        <w:rPr>
          <w:i/>
          <w:iCs/>
        </w:rPr>
        <w:t>Healthcare</w:t>
      </w:r>
      <w:proofErr w:type="spellEnd"/>
      <w:r>
        <w:rPr>
          <w:i/>
          <w:iCs/>
        </w:rPr>
        <w:t>, 11</w:t>
      </w:r>
      <w:r>
        <w:t>(17), 2410. https://doi.org/10.3390/healthcare11172410</w:t>
      </w:r>
    </w:p>
    <w:p w14:paraId="3FCA5FEA" w14:textId="77777777" w:rsidR="00751FD9" w:rsidRPr="00B36744" w:rsidRDefault="006124A7">
      <w:pPr>
        <w:numPr>
          <w:ilvl w:val="0"/>
          <w:numId w:val="67"/>
        </w:numPr>
        <w:rPr>
          <w:lang w:val="en-US"/>
        </w:rPr>
      </w:pPr>
      <w:r>
        <w:t xml:space="preserve">Mauricio, D., Llanos-Colchado, P. C., Cutipa-Salazar, L. S., Castañeda, P., </w:t>
      </w:r>
      <w:proofErr w:type="spellStart"/>
      <w:r>
        <w:t>Chuquimbalqui-Maslucan</w:t>
      </w:r>
      <w:proofErr w:type="spellEnd"/>
      <w:r>
        <w:t>, R., Rojas-</w:t>
      </w:r>
      <w:proofErr w:type="spellStart"/>
      <w:r>
        <w:t>Mezarina</w:t>
      </w:r>
      <w:proofErr w:type="spellEnd"/>
      <w:r>
        <w:t xml:space="preserve">, L., &amp; Castillo-Sequera, J. L. (2024). </w:t>
      </w:r>
      <w:r w:rsidRPr="00B36744">
        <w:rPr>
          <w:lang w:val="en-US"/>
        </w:rPr>
        <w:t xml:space="preserve">Electronic Health Record Interoperability System in Peru Using Blockchain. </w:t>
      </w:r>
      <w:r w:rsidRPr="00B36744">
        <w:rPr>
          <w:i/>
          <w:iCs/>
          <w:lang w:val="en-US"/>
        </w:rPr>
        <w:t>International Journal of Online and Biomedical Engineering (</w:t>
      </w:r>
      <w:proofErr w:type="spellStart"/>
      <w:r w:rsidRPr="00B36744">
        <w:rPr>
          <w:i/>
          <w:iCs/>
          <w:lang w:val="en-US"/>
        </w:rPr>
        <w:t>iJOE</w:t>
      </w:r>
      <w:proofErr w:type="spellEnd"/>
      <w:r w:rsidRPr="00B36744">
        <w:rPr>
          <w:i/>
          <w:iCs/>
          <w:lang w:val="en-US"/>
        </w:rPr>
        <w:t>), 20</w:t>
      </w:r>
      <w:r w:rsidRPr="00B36744">
        <w:rPr>
          <w:lang w:val="en-US"/>
        </w:rPr>
        <w:t>(03), 136-153. https://doi.org/10.3991/ijoe.v20i03.44507</w:t>
      </w:r>
    </w:p>
    <w:p w14:paraId="51CE76EA" w14:textId="77777777" w:rsidR="00751FD9" w:rsidRPr="00B36744" w:rsidRDefault="006124A7">
      <w:pPr>
        <w:numPr>
          <w:ilvl w:val="0"/>
          <w:numId w:val="67"/>
        </w:numPr>
        <w:rPr>
          <w:lang w:val="en-US"/>
        </w:rPr>
      </w:pPr>
      <w:r w:rsidRPr="00B36744">
        <w:rPr>
          <w:lang w:val="en-US"/>
        </w:rPr>
        <w:t xml:space="preserve">Monsen, K. A., Heermann, L., &amp; Dunn-Lopez, K. (2023). FHIR-up! Advancing knowledge from clinical data through application of standardized nursing </w:t>
      </w:r>
      <w:r w:rsidRPr="00B36744">
        <w:rPr>
          <w:lang w:val="en-US"/>
        </w:rPr>
        <w:lastRenderedPageBreak/>
        <w:t xml:space="preserve">terminologies within HL7 FHIR. </w:t>
      </w:r>
      <w:r w:rsidRPr="00B36744">
        <w:rPr>
          <w:i/>
          <w:iCs/>
          <w:lang w:val="en-US"/>
        </w:rPr>
        <w:t>Journal of the American Medical Informatics Association, 30</w:t>
      </w:r>
      <w:r w:rsidRPr="00B36744">
        <w:rPr>
          <w:lang w:val="en-US"/>
        </w:rPr>
        <w:t>(11), 1858-1864. https://doi.org/10.1093/jamia/ocad131</w:t>
      </w:r>
    </w:p>
    <w:p w14:paraId="78B4BFDA" w14:textId="77777777" w:rsidR="00751FD9" w:rsidRDefault="006124A7">
      <w:pPr>
        <w:numPr>
          <w:ilvl w:val="0"/>
          <w:numId w:val="67"/>
        </w:numPr>
      </w:pPr>
      <w:r>
        <w:t xml:space="preserve">Morales-Camargo, J., &amp; Meneses-Claudio, B. (2023). </w:t>
      </w:r>
      <w:r w:rsidRPr="00B36744">
        <w:rPr>
          <w:lang w:val="en-US"/>
        </w:rPr>
        <w:t xml:space="preserve">Electronic medical record and its impact on health care and management: A systematic review between the years 2013 – 2023. </w:t>
      </w:r>
      <w:r>
        <w:rPr>
          <w:i/>
          <w:iCs/>
        </w:rPr>
        <w:t>Salud, Ciencia y Tecnología - Serie de Conferencias, 2</w:t>
      </w:r>
      <w:r>
        <w:t>, 455. https://doi.org/10.56294/sctconf2023455</w:t>
      </w:r>
    </w:p>
    <w:p w14:paraId="49310E06" w14:textId="77777777" w:rsidR="00751FD9" w:rsidRDefault="006124A7">
      <w:pPr>
        <w:numPr>
          <w:ilvl w:val="0"/>
          <w:numId w:val="67"/>
        </w:numPr>
      </w:pPr>
      <w:proofErr w:type="spellStart"/>
      <w:r>
        <w:t>Mukhiya</w:t>
      </w:r>
      <w:proofErr w:type="spellEnd"/>
      <w:r>
        <w:t xml:space="preserve">, S. K., &amp; Lamo, Y. (2021). </w:t>
      </w:r>
      <w:r w:rsidRPr="00B36744">
        <w:rPr>
          <w:lang w:val="en-US"/>
        </w:rPr>
        <w:t xml:space="preserve">An HL7 FHIR and </w:t>
      </w:r>
      <w:proofErr w:type="spellStart"/>
      <w:r w:rsidRPr="00B36744">
        <w:rPr>
          <w:lang w:val="en-US"/>
        </w:rPr>
        <w:t>GraphQL</w:t>
      </w:r>
      <w:proofErr w:type="spellEnd"/>
      <w:r w:rsidRPr="00B36744">
        <w:rPr>
          <w:lang w:val="en-US"/>
        </w:rPr>
        <w:t xml:space="preserve"> approach for interoperability between heterogeneous Electronic Health Record systems. </w:t>
      </w:r>
      <w:r>
        <w:rPr>
          <w:i/>
          <w:iCs/>
        </w:rPr>
        <w:t xml:space="preserve">Health </w:t>
      </w:r>
      <w:proofErr w:type="spellStart"/>
      <w:r>
        <w:rPr>
          <w:i/>
          <w:iCs/>
        </w:rPr>
        <w:t>Informatics</w:t>
      </w:r>
      <w:proofErr w:type="spellEnd"/>
      <w:r>
        <w:rPr>
          <w:i/>
          <w:iCs/>
        </w:rPr>
        <w:t xml:space="preserve"> </w:t>
      </w:r>
      <w:proofErr w:type="spellStart"/>
      <w:r>
        <w:rPr>
          <w:i/>
          <w:iCs/>
        </w:rPr>
        <w:t>Journal</w:t>
      </w:r>
      <w:proofErr w:type="spellEnd"/>
      <w:r>
        <w:rPr>
          <w:i/>
          <w:iCs/>
        </w:rPr>
        <w:t>, 27</w:t>
      </w:r>
      <w:r>
        <w:t>(3). https://doi.org/10.1177/14604582211043920</w:t>
      </w:r>
    </w:p>
    <w:p w14:paraId="79F3D185" w14:textId="77777777" w:rsidR="00751FD9" w:rsidRDefault="006124A7">
      <w:pPr>
        <w:numPr>
          <w:ilvl w:val="0"/>
          <w:numId w:val="67"/>
        </w:numPr>
      </w:pPr>
      <w:r>
        <w:t xml:space="preserve">Organización Panamericana de la Salud (OPS). (2024). </w:t>
      </w:r>
      <w:r>
        <w:rPr>
          <w:i/>
          <w:iCs/>
        </w:rPr>
        <w:t>Guía de implementación de interoperabilidad de sistemas de información en salud</w:t>
      </w:r>
      <w:r>
        <w:t>. OPS.</w:t>
      </w:r>
    </w:p>
    <w:p w14:paraId="19B9D740" w14:textId="77777777" w:rsidR="00751FD9" w:rsidRDefault="006124A7">
      <w:pPr>
        <w:numPr>
          <w:ilvl w:val="0"/>
          <w:numId w:val="67"/>
        </w:numPr>
      </w:pPr>
      <w:r>
        <w:t xml:space="preserve">Pedrera-Jiménez, M., García-Barrio, N., Frid, S., Moner, D., </w:t>
      </w:r>
      <w:proofErr w:type="spellStart"/>
      <w:r>
        <w:t>Boscá</w:t>
      </w:r>
      <w:proofErr w:type="spellEnd"/>
      <w:r>
        <w:t>-Tomás, D., Lozano-Rubí, R., Kalra, D., Beale, T., Muñoz-Carrero, A., &amp; Serrano-</w:t>
      </w:r>
      <w:proofErr w:type="spellStart"/>
      <w:r>
        <w:t>Balazote</w:t>
      </w:r>
      <w:proofErr w:type="spellEnd"/>
      <w:r>
        <w:t xml:space="preserve">, P. (2023). </w:t>
      </w:r>
      <w:r w:rsidRPr="00B36744">
        <w:rPr>
          <w:lang w:val="en-US"/>
        </w:rPr>
        <w:t xml:space="preserve">Can </w:t>
      </w:r>
      <w:proofErr w:type="spellStart"/>
      <w:r w:rsidRPr="00B36744">
        <w:rPr>
          <w:lang w:val="en-US"/>
        </w:rPr>
        <w:t>OpenEHR</w:t>
      </w:r>
      <w:proofErr w:type="spellEnd"/>
      <w:r w:rsidRPr="00B36744">
        <w:rPr>
          <w:lang w:val="en-US"/>
        </w:rPr>
        <w:t xml:space="preserve">, ISO 13606, and HL7 FHIR Work Together? An Agnostic Approach for the Selection and Application of Electronic Health Record Standards to the Next-Generation Health Data Spaces. </w:t>
      </w:r>
      <w:proofErr w:type="spellStart"/>
      <w:r>
        <w:rPr>
          <w:i/>
          <w:iCs/>
        </w:rPr>
        <w:t>Journal</w:t>
      </w:r>
      <w:proofErr w:type="spellEnd"/>
      <w:r>
        <w:rPr>
          <w:i/>
          <w:iCs/>
        </w:rPr>
        <w:t xml:space="preserve"> </w:t>
      </w:r>
      <w:proofErr w:type="spellStart"/>
      <w:r>
        <w:rPr>
          <w:i/>
          <w:iCs/>
        </w:rPr>
        <w:t>of</w:t>
      </w:r>
      <w:proofErr w:type="spellEnd"/>
      <w:r>
        <w:rPr>
          <w:i/>
          <w:iCs/>
        </w:rPr>
        <w:t xml:space="preserve"> Medical Internet </w:t>
      </w:r>
      <w:proofErr w:type="spellStart"/>
      <w:r>
        <w:rPr>
          <w:i/>
          <w:iCs/>
        </w:rPr>
        <w:t>Research</w:t>
      </w:r>
      <w:proofErr w:type="spellEnd"/>
      <w:r>
        <w:rPr>
          <w:i/>
          <w:iCs/>
        </w:rPr>
        <w:t>, 25</w:t>
      </w:r>
      <w:r>
        <w:t>, e48702. https://doi.org/10.2196/48702</w:t>
      </w:r>
    </w:p>
    <w:p w14:paraId="09837683" w14:textId="77777777" w:rsidR="00751FD9" w:rsidRPr="00B36744" w:rsidRDefault="006124A7">
      <w:pPr>
        <w:numPr>
          <w:ilvl w:val="0"/>
          <w:numId w:val="67"/>
        </w:numPr>
        <w:rPr>
          <w:lang w:val="en-US"/>
        </w:rPr>
      </w:pPr>
      <w:r>
        <w:t xml:space="preserve">Pimenta, N., Chaves, A., Sousa, R., </w:t>
      </w:r>
      <w:proofErr w:type="spellStart"/>
      <w:r>
        <w:t>Abelha</w:t>
      </w:r>
      <w:proofErr w:type="spellEnd"/>
      <w:r>
        <w:t xml:space="preserve">, A., &amp; Peixoto, H. (2023). </w:t>
      </w:r>
      <w:r w:rsidRPr="00B36744">
        <w:rPr>
          <w:lang w:val="en-US"/>
        </w:rPr>
        <w:t xml:space="preserve">Interoperability of Clinical Data through FHIR: A review. </w:t>
      </w:r>
      <w:r w:rsidRPr="00B36744">
        <w:rPr>
          <w:i/>
          <w:iCs/>
          <w:lang w:val="en-US"/>
        </w:rPr>
        <w:t>Procedia Computer Science, 220</w:t>
      </w:r>
      <w:r w:rsidRPr="00B36744">
        <w:rPr>
          <w:lang w:val="en-US"/>
        </w:rPr>
        <w:t>, 856-861. https://doi.org/10.1016/j.procs.2023.03.115</w:t>
      </w:r>
    </w:p>
    <w:p w14:paraId="13664547" w14:textId="77777777" w:rsidR="00751FD9" w:rsidRDefault="006124A7">
      <w:pPr>
        <w:numPr>
          <w:ilvl w:val="0"/>
          <w:numId w:val="67"/>
        </w:numPr>
      </w:pPr>
      <w:r>
        <w:t xml:space="preserve">Porras Gamarra, H. J. (2024). </w:t>
      </w:r>
      <w:r>
        <w:rPr>
          <w:i/>
          <w:iCs/>
        </w:rPr>
        <w:t xml:space="preserve">Implementación de un sistema de interoperabilidad de información clínica basado en los estándares internacionales HL7 FHIR y </w:t>
      </w:r>
      <w:proofErr w:type="spellStart"/>
      <w:r>
        <w:rPr>
          <w:i/>
          <w:iCs/>
        </w:rPr>
        <w:t>openEHR</w:t>
      </w:r>
      <w:proofErr w:type="spellEnd"/>
      <w:r>
        <w:t xml:space="preserve"> [Trabajo de suficiencia profesional, Universidad Nacional Federico Villarreal]. Repositorio UNFV.</w:t>
      </w:r>
    </w:p>
    <w:p w14:paraId="557C656C" w14:textId="77777777" w:rsidR="00751FD9" w:rsidRDefault="006124A7">
      <w:pPr>
        <w:numPr>
          <w:ilvl w:val="0"/>
          <w:numId w:val="67"/>
        </w:numPr>
      </w:pPr>
      <w:r w:rsidRPr="00B36744">
        <w:rPr>
          <w:lang w:val="en-US"/>
        </w:rPr>
        <w:t xml:space="preserve">Raab, R., </w:t>
      </w:r>
      <w:proofErr w:type="spellStart"/>
      <w:r w:rsidRPr="00B36744">
        <w:rPr>
          <w:lang w:val="en-US"/>
        </w:rPr>
        <w:t>Kuderle</w:t>
      </w:r>
      <w:proofErr w:type="spellEnd"/>
      <w:r w:rsidRPr="00B36744">
        <w:rPr>
          <w:lang w:val="en-US"/>
        </w:rPr>
        <w:t xml:space="preserve">, A., </w:t>
      </w:r>
      <w:proofErr w:type="spellStart"/>
      <w:r w:rsidRPr="00B36744">
        <w:rPr>
          <w:lang w:val="en-US"/>
        </w:rPr>
        <w:t>Zakreuskaya</w:t>
      </w:r>
      <w:proofErr w:type="spellEnd"/>
      <w:r w:rsidRPr="00B36744">
        <w:rPr>
          <w:lang w:val="en-US"/>
        </w:rPr>
        <w:t xml:space="preserve">, A., Stern, A. D., </w:t>
      </w:r>
      <w:proofErr w:type="spellStart"/>
      <w:r w:rsidRPr="00B36744">
        <w:rPr>
          <w:lang w:val="en-US"/>
        </w:rPr>
        <w:t>Klucken</w:t>
      </w:r>
      <w:proofErr w:type="spellEnd"/>
      <w:r w:rsidRPr="00B36744">
        <w:rPr>
          <w:lang w:val="en-US"/>
        </w:rPr>
        <w:t xml:space="preserve">, J., </w:t>
      </w:r>
      <w:proofErr w:type="spellStart"/>
      <w:r w:rsidRPr="00B36744">
        <w:rPr>
          <w:lang w:val="en-US"/>
        </w:rPr>
        <w:t>Kaissis</w:t>
      </w:r>
      <w:proofErr w:type="spellEnd"/>
      <w:r w:rsidRPr="00B36744">
        <w:rPr>
          <w:lang w:val="en-US"/>
        </w:rPr>
        <w:t xml:space="preserve">, G., Rueckert, D., Boll, S., </w:t>
      </w:r>
      <w:proofErr w:type="spellStart"/>
      <w:r w:rsidRPr="00B36744">
        <w:rPr>
          <w:lang w:val="en-US"/>
        </w:rPr>
        <w:t>Eils</w:t>
      </w:r>
      <w:proofErr w:type="spellEnd"/>
      <w:r w:rsidRPr="00B36744">
        <w:rPr>
          <w:lang w:val="en-US"/>
        </w:rPr>
        <w:t xml:space="preserve">, R., Wagener, H., &amp; </w:t>
      </w:r>
      <w:proofErr w:type="spellStart"/>
      <w:r w:rsidRPr="00B36744">
        <w:rPr>
          <w:lang w:val="en-US"/>
        </w:rPr>
        <w:t>Eskofier</w:t>
      </w:r>
      <w:proofErr w:type="spellEnd"/>
      <w:r w:rsidRPr="00B36744">
        <w:rPr>
          <w:lang w:val="en-US"/>
        </w:rPr>
        <w:t xml:space="preserve">, B. M. (2023). Federated electronic health records for the European Health Data Space. </w:t>
      </w:r>
      <w:r>
        <w:rPr>
          <w:i/>
          <w:iCs/>
        </w:rPr>
        <w:lastRenderedPageBreak/>
        <w:t>The Lancet Digital Health, 5</w:t>
      </w:r>
      <w:r>
        <w:t>(11), e840-e847. https://doi.org/10.1016/S2589-7500(23)00156-5</w:t>
      </w:r>
    </w:p>
    <w:p w14:paraId="204BB5A8" w14:textId="77777777" w:rsidR="00751FD9" w:rsidRDefault="006124A7">
      <w:pPr>
        <w:numPr>
          <w:ilvl w:val="0"/>
          <w:numId w:val="67"/>
        </w:numPr>
      </w:pPr>
      <w:r w:rsidRPr="00B36744">
        <w:rPr>
          <w:lang w:val="en-US"/>
        </w:rPr>
        <w:t xml:space="preserve">Richwine, C., Strawley, C., Chang, W., &amp; Everson, J. (2025). Assessing the value of health information exchange organizations to hospital interoperability. </w:t>
      </w:r>
      <w:r>
        <w:rPr>
          <w:i/>
          <w:iCs/>
        </w:rPr>
        <w:t xml:space="preserve">Health </w:t>
      </w:r>
      <w:proofErr w:type="spellStart"/>
      <w:r>
        <w:rPr>
          <w:i/>
          <w:iCs/>
        </w:rPr>
        <w:t>Affairs</w:t>
      </w:r>
      <w:proofErr w:type="spellEnd"/>
      <w:r>
        <w:rPr>
          <w:i/>
          <w:iCs/>
        </w:rPr>
        <w:t xml:space="preserve"> Scholar, 3</w:t>
      </w:r>
      <w:r>
        <w:t>(7). https://doi.org/10.1093/haschl/qxaf133</w:t>
      </w:r>
    </w:p>
    <w:p w14:paraId="1384A435" w14:textId="77777777" w:rsidR="00751FD9" w:rsidRDefault="006124A7">
      <w:pPr>
        <w:numPr>
          <w:ilvl w:val="0"/>
          <w:numId w:val="67"/>
        </w:numPr>
      </w:pPr>
      <w:r>
        <w:t xml:space="preserve">Sánchez Calle, D. I. (2024). </w:t>
      </w:r>
      <w:r>
        <w:rPr>
          <w:i/>
          <w:iCs/>
        </w:rPr>
        <w:t>Arquitectura y requisitos de una historia clínica electrónica ocupacional según las normas ISO 18308:2011 e ISO 13606:2019</w:t>
      </w:r>
      <w:r>
        <w:t xml:space="preserve"> [Tesis de maestría, Universidad Peruana Cayetano Heredia]. Repositorio UPCH. https://hdl.handle.net/20.500.12866/17191</w:t>
      </w:r>
    </w:p>
    <w:p w14:paraId="629C453E" w14:textId="77777777" w:rsidR="00751FD9" w:rsidRPr="00B36744" w:rsidRDefault="006124A7">
      <w:pPr>
        <w:numPr>
          <w:ilvl w:val="0"/>
          <w:numId w:val="67"/>
        </w:numPr>
        <w:rPr>
          <w:lang w:val="en-US"/>
        </w:rPr>
      </w:pPr>
      <w:r w:rsidRPr="00B36744">
        <w:rPr>
          <w:lang w:val="en-US"/>
        </w:rPr>
        <w:t xml:space="preserve">Surisetty, L. S. (2026). End-to-End Clinical Data Interoperability: A Practical Implementation Blueprint Using HL7, FHIR, CCD, and EHR Integration Standards. </w:t>
      </w:r>
      <w:r w:rsidRPr="00B36744">
        <w:rPr>
          <w:i/>
          <w:iCs/>
          <w:lang w:val="en-US"/>
        </w:rPr>
        <w:t xml:space="preserve">International Journal of Multidisciplinary and Scientific Emerging </w:t>
      </w:r>
      <w:proofErr w:type="spellStart"/>
      <w:r w:rsidRPr="00B36744">
        <w:rPr>
          <w:i/>
          <w:iCs/>
          <w:lang w:val="en-US"/>
        </w:rPr>
        <w:t>ResearcH</w:t>
      </w:r>
      <w:proofErr w:type="spellEnd"/>
      <w:r w:rsidRPr="00B36744">
        <w:rPr>
          <w:i/>
          <w:iCs/>
          <w:lang w:val="en-US"/>
        </w:rPr>
        <w:t>, 14</w:t>
      </w:r>
      <w:r w:rsidRPr="00B36744">
        <w:rPr>
          <w:lang w:val="en-US"/>
        </w:rPr>
        <w:t>(1). https://doi.org/10.15662/ijmserh.2026.1401004</w:t>
      </w:r>
    </w:p>
    <w:p w14:paraId="20193A03" w14:textId="77777777" w:rsidR="00751FD9" w:rsidRDefault="006124A7">
      <w:pPr>
        <w:numPr>
          <w:ilvl w:val="0"/>
          <w:numId w:val="67"/>
        </w:numPr>
      </w:pPr>
      <w:r>
        <w:t xml:space="preserve">Tabari, P., Costagliola, G., De Rosa, M., &amp; Boeker, M. (2024). </w:t>
      </w:r>
      <w:r w:rsidRPr="00B36744">
        <w:rPr>
          <w:lang w:val="en-US"/>
        </w:rPr>
        <w:t xml:space="preserve">State-of-the-Art Fast Healthcare Interoperability Resources (FHIR)-Based Data Model and Structure Implementations: Systematic Scoping Review. </w:t>
      </w:r>
      <w:r>
        <w:rPr>
          <w:i/>
          <w:iCs/>
        </w:rPr>
        <w:t xml:space="preserve">JMIR Medical </w:t>
      </w:r>
      <w:proofErr w:type="spellStart"/>
      <w:r>
        <w:rPr>
          <w:i/>
          <w:iCs/>
        </w:rPr>
        <w:t>Informatics</w:t>
      </w:r>
      <w:proofErr w:type="spellEnd"/>
      <w:r>
        <w:rPr>
          <w:i/>
          <w:iCs/>
        </w:rPr>
        <w:t>, 12</w:t>
      </w:r>
      <w:r>
        <w:t>, e58445. https://doi.org/10.2196/58445</w:t>
      </w:r>
    </w:p>
    <w:p w14:paraId="02D33A71" w14:textId="77777777" w:rsidR="00751FD9" w:rsidRPr="00B36744" w:rsidRDefault="006124A7">
      <w:pPr>
        <w:numPr>
          <w:ilvl w:val="0"/>
          <w:numId w:val="67"/>
        </w:numPr>
        <w:rPr>
          <w:lang w:val="en-US"/>
        </w:rPr>
      </w:pPr>
      <w:proofErr w:type="spellStart"/>
      <w:r w:rsidRPr="00B36744">
        <w:rPr>
          <w:lang w:val="en-US"/>
        </w:rPr>
        <w:t>Torab-Miandoab</w:t>
      </w:r>
      <w:proofErr w:type="spellEnd"/>
      <w:r w:rsidRPr="00B36744">
        <w:rPr>
          <w:lang w:val="en-US"/>
        </w:rPr>
        <w:t xml:space="preserve">, A., Samad-Soltani, T., </w:t>
      </w:r>
      <w:proofErr w:type="spellStart"/>
      <w:r w:rsidRPr="00B36744">
        <w:rPr>
          <w:lang w:val="en-US"/>
        </w:rPr>
        <w:t>Jodati</w:t>
      </w:r>
      <w:proofErr w:type="spellEnd"/>
      <w:r w:rsidRPr="00B36744">
        <w:rPr>
          <w:lang w:val="en-US"/>
        </w:rPr>
        <w:t>, A., &amp; Rezaei-</w:t>
      </w:r>
      <w:proofErr w:type="spellStart"/>
      <w:r w:rsidRPr="00B36744">
        <w:rPr>
          <w:lang w:val="en-US"/>
        </w:rPr>
        <w:t>Hachesu</w:t>
      </w:r>
      <w:proofErr w:type="spellEnd"/>
      <w:r w:rsidRPr="00B36744">
        <w:rPr>
          <w:lang w:val="en-US"/>
        </w:rPr>
        <w:t xml:space="preserve">, P. (2023). Interoperability of heterogeneous health information systems: A systematic literature review. </w:t>
      </w:r>
      <w:r w:rsidRPr="00B36744">
        <w:rPr>
          <w:i/>
          <w:iCs/>
          <w:lang w:val="en-US"/>
        </w:rPr>
        <w:t>BMC Medical Informatics and Decision Making, 23</w:t>
      </w:r>
      <w:r w:rsidRPr="00B36744">
        <w:rPr>
          <w:lang w:val="en-US"/>
        </w:rPr>
        <w:t>(1). https://doi.org/10.1186/s12911-023-02115-5</w:t>
      </w:r>
    </w:p>
    <w:p w14:paraId="7C75C11C" w14:textId="77777777" w:rsidR="00751FD9" w:rsidRDefault="006124A7">
      <w:pPr>
        <w:numPr>
          <w:ilvl w:val="0"/>
          <w:numId w:val="67"/>
        </w:numPr>
      </w:pPr>
      <w:r w:rsidRPr="00B36744">
        <w:rPr>
          <w:lang w:val="en-US"/>
        </w:rPr>
        <w:t xml:space="preserve">Vorisek, C. N., Lehne, M., Klopfenstein, S. A. I., Mayer, P. J., </w:t>
      </w:r>
      <w:proofErr w:type="spellStart"/>
      <w:r w:rsidRPr="00B36744">
        <w:rPr>
          <w:lang w:val="en-US"/>
        </w:rPr>
        <w:t>Bartschke</w:t>
      </w:r>
      <w:proofErr w:type="spellEnd"/>
      <w:r w:rsidRPr="00B36744">
        <w:rPr>
          <w:lang w:val="en-US"/>
        </w:rPr>
        <w:t xml:space="preserve">, A., Haese, T., &amp; Thun, S. (2022). Fast Healthcare Interoperability Resources (FHIR) for Interoperability in Health Research: Systematic Review. </w:t>
      </w:r>
      <w:r>
        <w:rPr>
          <w:i/>
          <w:iCs/>
        </w:rPr>
        <w:t xml:space="preserve">JMIR Medical </w:t>
      </w:r>
      <w:proofErr w:type="spellStart"/>
      <w:r>
        <w:rPr>
          <w:i/>
          <w:iCs/>
        </w:rPr>
        <w:t>Informatics</w:t>
      </w:r>
      <w:proofErr w:type="spellEnd"/>
      <w:r>
        <w:rPr>
          <w:i/>
          <w:iCs/>
        </w:rPr>
        <w:t>, 10</w:t>
      </w:r>
      <w:r>
        <w:t>(7), e35724. https://doi.org/10.2196/35724</w:t>
      </w:r>
      <w:bookmarkEnd w:id="60"/>
    </w:p>
    <w:sectPr w:rsidR="00751FD9" w:rsidSect="008D367B">
      <w:footerReference w:type="even" r:id="rId9"/>
      <w:footerReference w:type="default" r:id="rId10"/>
      <w:pgSz w:w="11906" w:h="16838"/>
      <w:pgMar w:top="1701" w:right="1440" w:bottom="1440"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E47C" w14:textId="77777777" w:rsidR="00226FCC" w:rsidRDefault="00226FCC">
      <w:pPr>
        <w:spacing w:after="0" w:line="240" w:lineRule="auto"/>
      </w:pPr>
      <w:r>
        <w:separator/>
      </w:r>
    </w:p>
  </w:endnote>
  <w:endnote w:type="continuationSeparator" w:id="0">
    <w:p w14:paraId="75EFCD08" w14:textId="77777777" w:rsidR="00226FCC" w:rsidRDefault="00226F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574357449"/>
      <w:docPartObj>
        <w:docPartGallery w:val="Page Numbers (Bottom of Page)"/>
        <w:docPartUnique/>
      </w:docPartObj>
    </w:sdtPr>
    <w:sdtContent>
      <w:p w14:paraId="2206A675" w14:textId="77777777" w:rsidR="00B76F68" w:rsidRDefault="00B76F68" w:rsidP="00731B03">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sidR="002D4E50">
          <w:rPr>
            <w:rStyle w:val="Nmerodepgina"/>
            <w:noProof/>
          </w:rPr>
          <w:t>65</w:t>
        </w:r>
        <w:r>
          <w:rPr>
            <w:rStyle w:val="Nmerodepgina"/>
          </w:rPr>
          <w:fldChar w:fldCharType="end"/>
        </w:r>
      </w:p>
    </w:sdtContent>
  </w:sdt>
  <w:p w14:paraId="742CA3AD" w14:textId="77777777" w:rsidR="00B76F68" w:rsidRDefault="00B76F68" w:rsidP="008D367B">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658463462"/>
      <w:docPartObj>
        <w:docPartGallery w:val="Page Numbers (Bottom of Page)"/>
        <w:docPartUnique/>
      </w:docPartObj>
    </w:sdtPr>
    <w:sdtContent>
      <w:p w14:paraId="08481286" w14:textId="77777777" w:rsidR="00B76F68" w:rsidRDefault="00B76F68" w:rsidP="00731B03">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2</w:t>
        </w:r>
        <w:r>
          <w:rPr>
            <w:rStyle w:val="Nmerodepgina"/>
          </w:rPr>
          <w:fldChar w:fldCharType="end"/>
        </w:r>
      </w:p>
    </w:sdtContent>
  </w:sdt>
  <w:p w14:paraId="4FFB5AFF" w14:textId="77777777" w:rsidR="00B76F68" w:rsidRDefault="00B76F68" w:rsidP="008D367B">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81F1D" w14:textId="77777777" w:rsidR="00226FCC" w:rsidRDefault="00226FCC">
      <w:pPr>
        <w:spacing w:after="0" w:line="240" w:lineRule="auto"/>
      </w:pPr>
      <w:r>
        <w:separator/>
      </w:r>
    </w:p>
  </w:footnote>
  <w:footnote w:type="continuationSeparator" w:id="0">
    <w:p w14:paraId="50032268" w14:textId="77777777" w:rsidR="00226FCC" w:rsidRDefault="00226F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A06673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7426BD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4207CB"/>
    <w:multiLevelType w:val="hybridMultilevel"/>
    <w:tmpl w:val="32AA315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0F71FDF"/>
    <w:multiLevelType w:val="multilevel"/>
    <w:tmpl w:val="D8CA3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4A0A07"/>
    <w:multiLevelType w:val="multilevel"/>
    <w:tmpl w:val="E0C6BB9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AB5AC2"/>
    <w:multiLevelType w:val="multilevel"/>
    <w:tmpl w:val="5AEEF43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0CD45BF6"/>
    <w:multiLevelType w:val="multilevel"/>
    <w:tmpl w:val="5AEEF43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0E9A6E43"/>
    <w:multiLevelType w:val="multilevel"/>
    <w:tmpl w:val="9E3A7CD4"/>
    <w:lvl w:ilvl="0">
      <w:start w:val="2"/>
      <w:numFmt w:val="decimal"/>
      <w:lvlText w:val="%1."/>
      <w:lvlJc w:val="left"/>
      <w:pPr>
        <w:ind w:left="390" w:hanging="390"/>
      </w:pPr>
      <w:rPr>
        <w:rFonts w:ascii="Arial" w:eastAsiaTheme="minorHAnsi" w:hAnsi="Arial" w:cstheme="minorBidi" w:hint="default"/>
      </w:rPr>
    </w:lvl>
    <w:lvl w:ilvl="1">
      <w:start w:val="1"/>
      <w:numFmt w:val="decimal"/>
      <w:lvlText w:val="%1.%2."/>
      <w:lvlJc w:val="left"/>
      <w:pPr>
        <w:ind w:left="390" w:hanging="390"/>
      </w:pPr>
      <w:rPr>
        <w:rFonts w:ascii="Arial" w:eastAsiaTheme="minorHAnsi" w:hAnsi="Arial" w:cstheme="minorBidi" w:hint="default"/>
      </w:rPr>
    </w:lvl>
    <w:lvl w:ilvl="2">
      <w:start w:val="1"/>
      <w:numFmt w:val="decimal"/>
      <w:lvlText w:val="%1.%2.%3."/>
      <w:lvlJc w:val="left"/>
      <w:pPr>
        <w:ind w:left="720" w:hanging="720"/>
      </w:pPr>
      <w:rPr>
        <w:rFonts w:ascii="Arial" w:eastAsiaTheme="minorHAnsi" w:hAnsi="Arial" w:cstheme="minorBidi" w:hint="default"/>
      </w:rPr>
    </w:lvl>
    <w:lvl w:ilvl="3">
      <w:start w:val="1"/>
      <w:numFmt w:val="decimal"/>
      <w:lvlText w:val="%1.%2.%3.%4."/>
      <w:lvlJc w:val="left"/>
      <w:pPr>
        <w:ind w:left="720" w:hanging="720"/>
      </w:pPr>
      <w:rPr>
        <w:rFonts w:ascii="Arial" w:eastAsiaTheme="minorHAnsi" w:hAnsi="Arial" w:cstheme="minorBidi" w:hint="default"/>
      </w:rPr>
    </w:lvl>
    <w:lvl w:ilvl="4">
      <w:start w:val="1"/>
      <w:numFmt w:val="decimal"/>
      <w:lvlText w:val="%1.%2.%3.%4.%5."/>
      <w:lvlJc w:val="left"/>
      <w:pPr>
        <w:ind w:left="1080" w:hanging="1080"/>
      </w:pPr>
      <w:rPr>
        <w:rFonts w:ascii="Arial" w:eastAsiaTheme="minorHAnsi" w:hAnsi="Arial" w:cstheme="minorBidi" w:hint="default"/>
      </w:rPr>
    </w:lvl>
    <w:lvl w:ilvl="5">
      <w:start w:val="1"/>
      <w:numFmt w:val="decimal"/>
      <w:lvlText w:val="%1.%2.%3.%4.%5.%6."/>
      <w:lvlJc w:val="left"/>
      <w:pPr>
        <w:ind w:left="1080" w:hanging="1080"/>
      </w:pPr>
      <w:rPr>
        <w:rFonts w:ascii="Arial" w:eastAsiaTheme="minorHAnsi" w:hAnsi="Arial" w:cstheme="minorBidi" w:hint="default"/>
      </w:rPr>
    </w:lvl>
    <w:lvl w:ilvl="6">
      <w:start w:val="1"/>
      <w:numFmt w:val="decimal"/>
      <w:lvlText w:val="%1.%2.%3.%4.%5.%6.%7."/>
      <w:lvlJc w:val="left"/>
      <w:pPr>
        <w:ind w:left="1440" w:hanging="1440"/>
      </w:pPr>
      <w:rPr>
        <w:rFonts w:ascii="Arial" w:eastAsiaTheme="minorHAnsi" w:hAnsi="Arial" w:cstheme="minorBidi" w:hint="default"/>
      </w:rPr>
    </w:lvl>
    <w:lvl w:ilvl="7">
      <w:start w:val="1"/>
      <w:numFmt w:val="decimal"/>
      <w:lvlText w:val="%1.%2.%3.%4.%5.%6.%7.%8."/>
      <w:lvlJc w:val="left"/>
      <w:pPr>
        <w:ind w:left="1440" w:hanging="1440"/>
      </w:pPr>
      <w:rPr>
        <w:rFonts w:ascii="Arial" w:eastAsiaTheme="minorHAnsi" w:hAnsi="Arial" w:cstheme="minorBidi" w:hint="default"/>
      </w:rPr>
    </w:lvl>
    <w:lvl w:ilvl="8">
      <w:start w:val="1"/>
      <w:numFmt w:val="decimal"/>
      <w:lvlText w:val="%1.%2.%3.%4.%5.%6.%7.%8.%9."/>
      <w:lvlJc w:val="left"/>
      <w:pPr>
        <w:ind w:left="1800" w:hanging="1800"/>
      </w:pPr>
      <w:rPr>
        <w:rFonts w:ascii="Arial" w:eastAsiaTheme="minorHAnsi" w:hAnsi="Arial" w:cstheme="minorBidi" w:hint="default"/>
      </w:rPr>
    </w:lvl>
  </w:abstractNum>
  <w:abstractNum w:abstractNumId="8" w15:restartNumberingAfterBreak="0">
    <w:nsid w:val="0FB83A02"/>
    <w:multiLevelType w:val="multilevel"/>
    <w:tmpl w:val="1C32254A"/>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7153DA"/>
    <w:multiLevelType w:val="multilevel"/>
    <w:tmpl w:val="135AC0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F061B6"/>
    <w:multiLevelType w:val="multilevel"/>
    <w:tmpl w:val="457AAD78"/>
    <w:lvl w:ilvl="0">
      <w:start w:val="4"/>
      <w:numFmt w:val="decimal"/>
      <w:lvlText w:val="%1."/>
      <w:lvlJc w:val="left"/>
      <w:pPr>
        <w:ind w:left="390" w:hanging="390"/>
      </w:pPr>
      <w:rPr>
        <w:rFonts w:hint="default"/>
      </w:rPr>
    </w:lvl>
    <w:lvl w:ilvl="1">
      <w:start w:val="1"/>
      <w:numFmt w:val="decimal"/>
      <w:lvlText w:val="%1.%2."/>
      <w:lvlJc w:val="left"/>
      <w:pPr>
        <w:ind w:left="720" w:hanging="720"/>
      </w:pPr>
      <w:rPr>
        <w:rFonts w:ascii="Arial" w:hAnsi="Arial" w:cs="Arial" w:hint="default"/>
      </w:rPr>
    </w:lvl>
    <w:lvl w:ilvl="2">
      <w:start w:val="1"/>
      <w:numFmt w:val="decimal"/>
      <w:lvlText w:val="%1.%2.%3."/>
      <w:lvlJc w:val="left"/>
      <w:pPr>
        <w:ind w:left="720" w:hanging="720"/>
      </w:pPr>
      <w:rPr>
        <w:rFonts w:ascii="Arial" w:hAnsi="Arial" w:cs="Arial" w:hint="default"/>
        <w:b w:val="0"/>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9A17888"/>
    <w:multiLevelType w:val="hybridMultilevel"/>
    <w:tmpl w:val="73B083A4"/>
    <w:lvl w:ilvl="0" w:tplc="A8181910">
      <w:start w:val="1"/>
      <w:numFmt w:val="bullet"/>
      <w:lvlText w:val="•"/>
      <w:lvlJc w:val="left"/>
      <w:pPr>
        <w:tabs>
          <w:tab w:val="num" w:pos="720"/>
        </w:tabs>
        <w:ind w:left="720" w:hanging="360"/>
      </w:pPr>
      <w:rPr>
        <w:rFonts w:ascii="Arial" w:hAnsi="Arial" w:hint="default"/>
      </w:rPr>
    </w:lvl>
    <w:lvl w:ilvl="1" w:tplc="D17AB1B0" w:tentative="1">
      <w:start w:val="1"/>
      <w:numFmt w:val="bullet"/>
      <w:lvlText w:val="•"/>
      <w:lvlJc w:val="left"/>
      <w:pPr>
        <w:tabs>
          <w:tab w:val="num" w:pos="1440"/>
        </w:tabs>
        <w:ind w:left="1440" w:hanging="360"/>
      </w:pPr>
      <w:rPr>
        <w:rFonts w:ascii="Arial" w:hAnsi="Arial" w:hint="default"/>
      </w:rPr>
    </w:lvl>
    <w:lvl w:ilvl="2" w:tplc="52F04386" w:tentative="1">
      <w:start w:val="1"/>
      <w:numFmt w:val="bullet"/>
      <w:lvlText w:val="•"/>
      <w:lvlJc w:val="left"/>
      <w:pPr>
        <w:tabs>
          <w:tab w:val="num" w:pos="2160"/>
        </w:tabs>
        <w:ind w:left="2160" w:hanging="360"/>
      </w:pPr>
      <w:rPr>
        <w:rFonts w:ascii="Arial" w:hAnsi="Arial" w:hint="default"/>
      </w:rPr>
    </w:lvl>
    <w:lvl w:ilvl="3" w:tplc="CF3013AE" w:tentative="1">
      <w:start w:val="1"/>
      <w:numFmt w:val="bullet"/>
      <w:lvlText w:val="•"/>
      <w:lvlJc w:val="left"/>
      <w:pPr>
        <w:tabs>
          <w:tab w:val="num" w:pos="2880"/>
        </w:tabs>
        <w:ind w:left="2880" w:hanging="360"/>
      </w:pPr>
      <w:rPr>
        <w:rFonts w:ascii="Arial" w:hAnsi="Arial" w:hint="default"/>
      </w:rPr>
    </w:lvl>
    <w:lvl w:ilvl="4" w:tplc="45A2CF24" w:tentative="1">
      <w:start w:val="1"/>
      <w:numFmt w:val="bullet"/>
      <w:lvlText w:val="•"/>
      <w:lvlJc w:val="left"/>
      <w:pPr>
        <w:tabs>
          <w:tab w:val="num" w:pos="3600"/>
        </w:tabs>
        <w:ind w:left="3600" w:hanging="360"/>
      </w:pPr>
      <w:rPr>
        <w:rFonts w:ascii="Arial" w:hAnsi="Arial" w:hint="default"/>
      </w:rPr>
    </w:lvl>
    <w:lvl w:ilvl="5" w:tplc="43906F74" w:tentative="1">
      <w:start w:val="1"/>
      <w:numFmt w:val="bullet"/>
      <w:lvlText w:val="•"/>
      <w:lvlJc w:val="left"/>
      <w:pPr>
        <w:tabs>
          <w:tab w:val="num" w:pos="4320"/>
        </w:tabs>
        <w:ind w:left="4320" w:hanging="360"/>
      </w:pPr>
      <w:rPr>
        <w:rFonts w:ascii="Arial" w:hAnsi="Arial" w:hint="default"/>
      </w:rPr>
    </w:lvl>
    <w:lvl w:ilvl="6" w:tplc="43AA5F94" w:tentative="1">
      <w:start w:val="1"/>
      <w:numFmt w:val="bullet"/>
      <w:lvlText w:val="•"/>
      <w:lvlJc w:val="left"/>
      <w:pPr>
        <w:tabs>
          <w:tab w:val="num" w:pos="5040"/>
        </w:tabs>
        <w:ind w:left="5040" w:hanging="360"/>
      </w:pPr>
      <w:rPr>
        <w:rFonts w:ascii="Arial" w:hAnsi="Arial" w:hint="default"/>
      </w:rPr>
    </w:lvl>
    <w:lvl w:ilvl="7" w:tplc="2DFC94A2" w:tentative="1">
      <w:start w:val="1"/>
      <w:numFmt w:val="bullet"/>
      <w:lvlText w:val="•"/>
      <w:lvlJc w:val="left"/>
      <w:pPr>
        <w:tabs>
          <w:tab w:val="num" w:pos="5760"/>
        </w:tabs>
        <w:ind w:left="5760" w:hanging="360"/>
      </w:pPr>
      <w:rPr>
        <w:rFonts w:ascii="Arial" w:hAnsi="Arial" w:hint="default"/>
      </w:rPr>
    </w:lvl>
    <w:lvl w:ilvl="8" w:tplc="A23C4124"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19E51991"/>
    <w:multiLevelType w:val="multilevel"/>
    <w:tmpl w:val="0B10AEC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E810E1"/>
    <w:multiLevelType w:val="multilevel"/>
    <w:tmpl w:val="85662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421661"/>
    <w:multiLevelType w:val="multilevel"/>
    <w:tmpl w:val="685E7B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04E7714"/>
    <w:multiLevelType w:val="multilevel"/>
    <w:tmpl w:val="2DBAA8F6"/>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218383D"/>
    <w:multiLevelType w:val="multilevel"/>
    <w:tmpl w:val="5192DF8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3011C7A"/>
    <w:multiLevelType w:val="multilevel"/>
    <w:tmpl w:val="5C4083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42E2A1A"/>
    <w:multiLevelType w:val="multilevel"/>
    <w:tmpl w:val="E9E2491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4371974"/>
    <w:multiLevelType w:val="hybridMultilevel"/>
    <w:tmpl w:val="D7A438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2528251C"/>
    <w:multiLevelType w:val="multilevel"/>
    <w:tmpl w:val="A22E4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773208"/>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296C4DDD"/>
    <w:multiLevelType w:val="multilevel"/>
    <w:tmpl w:val="BDD2AEEC"/>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29920F7B"/>
    <w:multiLevelType w:val="multilevel"/>
    <w:tmpl w:val="096E23D2"/>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9CC3CEA"/>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A5D5F98"/>
    <w:multiLevelType w:val="multilevel"/>
    <w:tmpl w:val="21702F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1181343"/>
    <w:multiLevelType w:val="multilevel"/>
    <w:tmpl w:val="3F3C5AD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D2618F7"/>
    <w:multiLevelType w:val="multilevel"/>
    <w:tmpl w:val="F23216F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4D7B10"/>
    <w:multiLevelType w:val="multilevel"/>
    <w:tmpl w:val="ACDE44EA"/>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433D2C93"/>
    <w:multiLevelType w:val="multilevel"/>
    <w:tmpl w:val="6A0E02FA"/>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546F48"/>
    <w:multiLevelType w:val="multilevel"/>
    <w:tmpl w:val="C884F9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BE12B10"/>
    <w:multiLevelType w:val="multilevel"/>
    <w:tmpl w:val="9760D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D2D7EA0"/>
    <w:multiLevelType w:val="multilevel"/>
    <w:tmpl w:val="0540C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4A4B0C"/>
    <w:multiLevelType w:val="multilevel"/>
    <w:tmpl w:val="9D928118"/>
    <w:lvl w:ilvl="0">
      <w:start w:val="3"/>
      <w:numFmt w:val="decimal"/>
      <w:lvlText w:val="%1."/>
      <w:lvlJc w:val="left"/>
      <w:pPr>
        <w:ind w:left="390" w:hanging="390"/>
      </w:pPr>
      <w:rPr>
        <w:rFonts w:ascii="Arial" w:hAnsi="Arial" w:cstheme="majorBidi" w:hint="default"/>
      </w:rPr>
    </w:lvl>
    <w:lvl w:ilvl="1">
      <w:start w:val="1"/>
      <w:numFmt w:val="decimal"/>
      <w:lvlText w:val="%1.%2."/>
      <w:lvlJc w:val="left"/>
      <w:pPr>
        <w:ind w:left="390" w:hanging="390"/>
      </w:pPr>
      <w:rPr>
        <w:rFonts w:ascii="Arial" w:hAnsi="Arial" w:cstheme="majorBidi" w:hint="default"/>
      </w:rPr>
    </w:lvl>
    <w:lvl w:ilvl="2">
      <w:start w:val="1"/>
      <w:numFmt w:val="decimal"/>
      <w:lvlText w:val="%1.%2.%3."/>
      <w:lvlJc w:val="left"/>
      <w:pPr>
        <w:ind w:left="720" w:hanging="720"/>
      </w:pPr>
      <w:rPr>
        <w:rFonts w:ascii="Arial" w:hAnsi="Arial" w:cstheme="majorBidi" w:hint="default"/>
      </w:rPr>
    </w:lvl>
    <w:lvl w:ilvl="3">
      <w:start w:val="1"/>
      <w:numFmt w:val="decimal"/>
      <w:lvlText w:val="%1.%2.%3.%4."/>
      <w:lvlJc w:val="left"/>
      <w:pPr>
        <w:ind w:left="720" w:hanging="720"/>
      </w:pPr>
      <w:rPr>
        <w:rFonts w:ascii="Arial" w:hAnsi="Arial" w:cstheme="majorBidi" w:hint="default"/>
      </w:rPr>
    </w:lvl>
    <w:lvl w:ilvl="4">
      <w:start w:val="1"/>
      <w:numFmt w:val="decimal"/>
      <w:lvlText w:val="%1.%2.%3.%4.%5."/>
      <w:lvlJc w:val="left"/>
      <w:pPr>
        <w:ind w:left="1080" w:hanging="1080"/>
      </w:pPr>
      <w:rPr>
        <w:rFonts w:ascii="Arial" w:hAnsi="Arial" w:cstheme="majorBidi" w:hint="default"/>
      </w:rPr>
    </w:lvl>
    <w:lvl w:ilvl="5">
      <w:start w:val="1"/>
      <w:numFmt w:val="decimal"/>
      <w:lvlText w:val="%1.%2.%3.%4.%5.%6."/>
      <w:lvlJc w:val="left"/>
      <w:pPr>
        <w:ind w:left="1080" w:hanging="1080"/>
      </w:pPr>
      <w:rPr>
        <w:rFonts w:ascii="Arial" w:hAnsi="Arial" w:cstheme="majorBidi" w:hint="default"/>
      </w:rPr>
    </w:lvl>
    <w:lvl w:ilvl="6">
      <w:start w:val="1"/>
      <w:numFmt w:val="decimal"/>
      <w:lvlText w:val="%1.%2.%3.%4.%5.%6.%7."/>
      <w:lvlJc w:val="left"/>
      <w:pPr>
        <w:ind w:left="1440" w:hanging="1440"/>
      </w:pPr>
      <w:rPr>
        <w:rFonts w:ascii="Arial" w:hAnsi="Arial" w:cstheme="majorBidi" w:hint="default"/>
      </w:rPr>
    </w:lvl>
    <w:lvl w:ilvl="7">
      <w:start w:val="1"/>
      <w:numFmt w:val="decimal"/>
      <w:lvlText w:val="%1.%2.%3.%4.%5.%6.%7.%8."/>
      <w:lvlJc w:val="left"/>
      <w:pPr>
        <w:ind w:left="1440" w:hanging="1440"/>
      </w:pPr>
      <w:rPr>
        <w:rFonts w:ascii="Arial" w:hAnsi="Arial" w:cstheme="majorBidi" w:hint="default"/>
      </w:rPr>
    </w:lvl>
    <w:lvl w:ilvl="8">
      <w:start w:val="1"/>
      <w:numFmt w:val="decimal"/>
      <w:lvlText w:val="%1.%2.%3.%4.%5.%6.%7.%8.%9."/>
      <w:lvlJc w:val="left"/>
      <w:pPr>
        <w:ind w:left="1800" w:hanging="1800"/>
      </w:pPr>
      <w:rPr>
        <w:rFonts w:ascii="Arial" w:hAnsi="Arial" w:cstheme="majorBidi" w:hint="default"/>
      </w:rPr>
    </w:lvl>
  </w:abstractNum>
  <w:abstractNum w:abstractNumId="34" w15:restartNumberingAfterBreak="0">
    <w:nsid w:val="4E6B19F8"/>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54E63ABA"/>
    <w:multiLevelType w:val="multilevel"/>
    <w:tmpl w:val="7D78C72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6815B51"/>
    <w:multiLevelType w:val="multilevel"/>
    <w:tmpl w:val="E02CA5EC"/>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AAF2245"/>
    <w:multiLevelType w:val="multilevel"/>
    <w:tmpl w:val="CB005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C296244"/>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5DF41432"/>
    <w:multiLevelType w:val="multilevel"/>
    <w:tmpl w:val="CB201D8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E48326E"/>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67C24DE1"/>
    <w:multiLevelType w:val="multilevel"/>
    <w:tmpl w:val="04C413DC"/>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8833686"/>
    <w:multiLevelType w:val="multilevel"/>
    <w:tmpl w:val="FE28CBC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BEB6ADD"/>
    <w:multiLevelType w:val="multilevel"/>
    <w:tmpl w:val="D80614B6"/>
    <w:lvl w:ilvl="0">
      <w:start w:val="5"/>
      <w:numFmt w:val="decimal"/>
      <w:lvlText w:val="%1."/>
      <w:lvlJc w:val="left"/>
      <w:pPr>
        <w:ind w:left="390" w:hanging="390"/>
      </w:pPr>
      <w:rPr>
        <w:rFonts w:hint="default"/>
      </w:rPr>
    </w:lvl>
    <w:lvl w:ilvl="1">
      <w:start w:val="1"/>
      <w:numFmt w:val="decimal"/>
      <w:lvlText w:val="%1.%2."/>
      <w:lvlJc w:val="left"/>
      <w:pPr>
        <w:ind w:left="720" w:hanging="720"/>
      </w:pPr>
      <w:rPr>
        <w:rFonts w:ascii="Arial" w:hAnsi="Arial" w:cs="Arial"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6D6D460D"/>
    <w:multiLevelType w:val="hybridMultilevel"/>
    <w:tmpl w:val="3862913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5" w15:restartNumberingAfterBreak="0">
    <w:nsid w:val="71F47A8F"/>
    <w:multiLevelType w:val="hybridMultilevel"/>
    <w:tmpl w:val="0B5E81B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6" w15:restartNumberingAfterBreak="0">
    <w:nsid w:val="72CB351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73B36662"/>
    <w:multiLevelType w:val="multilevel"/>
    <w:tmpl w:val="1708F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BD44F20"/>
    <w:multiLevelType w:val="hybridMultilevel"/>
    <w:tmpl w:val="8BFE26F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9" w15:restartNumberingAfterBreak="0">
    <w:nsid w:val="7E554744"/>
    <w:multiLevelType w:val="multilevel"/>
    <w:tmpl w:val="8850D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69078351">
    <w:abstractNumId w:val="31"/>
  </w:num>
  <w:num w:numId="2" w16cid:durableId="1390376911">
    <w:abstractNumId w:val="25"/>
  </w:num>
  <w:num w:numId="3" w16cid:durableId="1237860153">
    <w:abstractNumId w:val="25"/>
    <w:lvlOverride w:ilvl="1">
      <w:lvl w:ilvl="1">
        <w:numFmt w:val="upperLetter"/>
        <w:lvlText w:val="%2."/>
        <w:lvlJc w:val="left"/>
      </w:lvl>
    </w:lvlOverride>
  </w:num>
  <w:num w:numId="4" w16cid:durableId="263998615">
    <w:abstractNumId w:val="36"/>
    <w:lvlOverride w:ilvl="0">
      <w:lvl w:ilvl="0">
        <w:numFmt w:val="decimal"/>
        <w:lvlText w:val="%1."/>
        <w:lvlJc w:val="left"/>
      </w:lvl>
    </w:lvlOverride>
  </w:num>
  <w:num w:numId="5" w16cid:durableId="696546944">
    <w:abstractNumId w:val="41"/>
    <w:lvlOverride w:ilvl="0">
      <w:lvl w:ilvl="0">
        <w:numFmt w:val="decimal"/>
        <w:lvlText w:val="%1."/>
        <w:lvlJc w:val="left"/>
      </w:lvl>
    </w:lvlOverride>
  </w:num>
  <w:num w:numId="6" w16cid:durableId="1225140524">
    <w:abstractNumId w:val="16"/>
    <w:lvlOverride w:ilvl="0">
      <w:lvl w:ilvl="0">
        <w:numFmt w:val="decimal"/>
        <w:lvlText w:val="%1."/>
        <w:lvlJc w:val="left"/>
      </w:lvl>
    </w:lvlOverride>
  </w:num>
  <w:num w:numId="7" w16cid:durableId="256639534">
    <w:abstractNumId w:val="49"/>
  </w:num>
  <w:num w:numId="8" w16cid:durableId="1598320894">
    <w:abstractNumId w:val="14"/>
    <w:lvlOverride w:ilvl="0">
      <w:lvl w:ilvl="0">
        <w:numFmt w:val="decimal"/>
        <w:lvlText w:val="%1."/>
        <w:lvlJc w:val="left"/>
      </w:lvl>
    </w:lvlOverride>
  </w:num>
  <w:num w:numId="9" w16cid:durableId="392123586">
    <w:abstractNumId w:val="26"/>
    <w:lvlOverride w:ilvl="0">
      <w:lvl w:ilvl="0">
        <w:numFmt w:val="decimal"/>
        <w:lvlText w:val="%1."/>
        <w:lvlJc w:val="left"/>
      </w:lvl>
    </w:lvlOverride>
  </w:num>
  <w:num w:numId="10" w16cid:durableId="6641366">
    <w:abstractNumId w:val="18"/>
  </w:num>
  <w:num w:numId="11" w16cid:durableId="2063366616">
    <w:abstractNumId w:val="29"/>
    <w:lvlOverride w:ilvl="0">
      <w:lvl w:ilvl="0">
        <w:numFmt w:val="decimal"/>
        <w:lvlText w:val="%1."/>
        <w:lvlJc w:val="left"/>
      </w:lvl>
    </w:lvlOverride>
  </w:num>
  <w:num w:numId="12" w16cid:durableId="1606159542">
    <w:abstractNumId w:val="30"/>
  </w:num>
  <w:num w:numId="13" w16cid:durableId="1009867538">
    <w:abstractNumId w:val="9"/>
    <w:lvlOverride w:ilvl="0">
      <w:lvl w:ilvl="0">
        <w:numFmt w:val="decimal"/>
        <w:lvlText w:val="%1."/>
        <w:lvlJc w:val="left"/>
      </w:lvl>
    </w:lvlOverride>
  </w:num>
  <w:num w:numId="14" w16cid:durableId="1254433587">
    <w:abstractNumId w:val="15"/>
    <w:lvlOverride w:ilvl="0">
      <w:lvl w:ilvl="0">
        <w:numFmt w:val="decimal"/>
        <w:lvlText w:val="%1."/>
        <w:lvlJc w:val="left"/>
      </w:lvl>
    </w:lvlOverride>
  </w:num>
  <w:num w:numId="15" w16cid:durableId="1163008642">
    <w:abstractNumId w:val="23"/>
    <w:lvlOverride w:ilvl="0">
      <w:lvl w:ilvl="0">
        <w:numFmt w:val="decimal"/>
        <w:lvlText w:val="%1."/>
        <w:lvlJc w:val="left"/>
      </w:lvl>
    </w:lvlOverride>
  </w:num>
  <w:num w:numId="16" w16cid:durableId="1783303035">
    <w:abstractNumId w:val="27"/>
    <w:lvlOverride w:ilvl="0">
      <w:lvl w:ilvl="0">
        <w:numFmt w:val="decimal"/>
        <w:lvlText w:val="%1."/>
        <w:lvlJc w:val="left"/>
      </w:lvl>
    </w:lvlOverride>
  </w:num>
  <w:num w:numId="17" w16cid:durableId="392628889">
    <w:abstractNumId w:val="20"/>
  </w:num>
  <w:num w:numId="18" w16cid:durableId="536619930">
    <w:abstractNumId w:val="35"/>
    <w:lvlOverride w:ilvl="0">
      <w:lvl w:ilvl="0">
        <w:numFmt w:val="decimal"/>
        <w:lvlText w:val="%1."/>
        <w:lvlJc w:val="left"/>
      </w:lvl>
    </w:lvlOverride>
  </w:num>
  <w:num w:numId="19" w16cid:durableId="238248572">
    <w:abstractNumId w:val="47"/>
  </w:num>
  <w:num w:numId="20" w16cid:durableId="2010524344">
    <w:abstractNumId w:val="28"/>
  </w:num>
  <w:num w:numId="21" w16cid:durableId="694233983">
    <w:abstractNumId w:val="44"/>
  </w:num>
  <w:num w:numId="22" w16cid:durableId="1886331865">
    <w:abstractNumId w:val="2"/>
  </w:num>
  <w:num w:numId="23" w16cid:durableId="2034376111">
    <w:abstractNumId w:val="40"/>
  </w:num>
  <w:num w:numId="24" w16cid:durableId="1979064939">
    <w:abstractNumId w:val="7"/>
  </w:num>
  <w:num w:numId="25" w16cid:durableId="1094670359">
    <w:abstractNumId w:val="46"/>
  </w:num>
  <w:num w:numId="26" w16cid:durableId="399207934">
    <w:abstractNumId w:val="33"/>
  </w:num>
  <w:num w:numId="27" w16cid:durableId="1105076517">
    <w:abstractNumId w:val="45"/>
  </w:num>
  <w:num w:numId="28" w16cid:durableId="725832434">
    <w:abstractNumId w:val="38"/>
  </w:num>
  <w:num w:numId="29" w16cid:durableId="1716732114">
    <w:abstractNumId w:val="10"/>
  </w:num>
  <w:num w:numId="30" w16cid:durableId="413742449">
    <w:abstractNumId w:val="24"/>
  </w:num>
  <w:num w:numId="31" w16cid:durableId="460465327">
    <w:abstractNumId w:val="21"/>
  </w:num>
  <w:num w:numId="32" w16cid:durableId="511648548">
    <w:abstractNumId w:val="34"/>
  </w:num>
  <w:num w:numId="33" w16cid:durableId="2048723748">
    <w:abstractNumId w:val="43"/>
  </w:num>
  <w:num w:numId="34" w16cid:durableId="513686215">
    <w:abstractNumId w:val="37"/>
  </w:num>
  <w:num w:numId="35" w16cid:durableId="686564936">
    <w:abstractNumId w:val="17"/>
  </w:num>
  <w:num w:numId="36" w16cid:durableId="1136604756">
    <w:abstractNumId w:val="42"/>
  </w:num>
  <w:num w:numId="37" w16cid:durableId="813567044">
    <w:abstractNumId w:val="4"/>
  </w:num>
  <w:num w:numId="38" w16cid:durableId="715005352">
    <w:abstractNumId w:val="12"/>
  </w:num>
  <w:num w:numId="39" w16cid:durableId="1064645248">
    <w:abstractNumId w:val="39"/>
  </w:num>
  <w:num w:numId="40" w16cid:durableId="1511796036">
    <w:abstractNumId w:val="8"/>
  </w:num>
  <w:num w:numId="41" w16cid:durableId="1468427407">
    <w:abstractNumId w:val="11"/>
  </w:num>
  <w:num w:numId="42" w16cid:durableId="2122995671">
    <w:abstractNumId w:val="3"/>
  </w:num>
  <w:num w:numId="43" w16cid:durableId="2024165722">
    <w:abstractNumId w:val="32"/>
  </w:num>
  <w:num w:numId="44" w16cid:durableId="2039815615">
    <w:abstractNumId w:val="13"/>
  </w:num>
  <w:num w:numId="45" w16cid:durableId="966620593">
    <w:abstractNumId w:val="19"/>
  </w:num>
  <w:num w:numId="46" w16cid:durableId="1745487902">
    <w:abstractNumId w:val="48"/>
  </w:num>
  <w:num w:numId="47" w16cid:durableId="76289578">
    <w:abstractNumId w:val="22"/>
  </w:num>
  <w:num w:numId="48" w16cid:durableId="1538813718">
    <w:abstractNumId w:val="0"/>
  </w:num>
  <w:num w:numId="49" w16cid:durableId="471218173">
    <w:abstractNumId w:val="1"/>
  </w:num>
  <w:num w:numId="50" w16cid:durableId="738941719">
    <w:abstractNumId w:val="1"/>
  </w:num>
  <w:num w:numId="51" w16cid:durableId="591083606">
    <w:abstractNumId w:val="1"/>
  </w:num>
  <w:num w:numId="52" w16cid:durableId="29960441">
    <w:abstractNumId w:val="1"/>
  </w:num>
  <w:num w:numId="53" w16cid:durableId="476339252">
    <w:abstractNumId w:val="1"/>
  </w:num>
  <w:num w:numId="54" w16cid:durableId="995036264">
    <w:abstractNumId w:val="1"/>
  </w:num>
  <w:num w:numId="55" w16cid:durableId="18286573">
    <w:abstractNumId w:val="1"/>
  </w:num>
  <w:num w:numId="56" w16cid:durableId="1881629721">
    <w:abstractNumId w:val="1"/>
  </w:num>
  <w:num w:numId="57" w16cid:durableId="1834179213">
    <w:abstractNumId w:val="1"/>
  </w:num>
  <w:num w:numId="58" w16cid:durableId="1646667817">
    <w:abstractNumId w:val="5"/>
  </w:num>
  <w:num w:numId="59" w16cid:durableId="1739935931">
    <w:abstractNumId w:val="5"/>
  </w:num>
  <w:num w:numId="60" w16cid:durableId="137758282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283436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443948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22095047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30181133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26846395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5983668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66169621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1425791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34F1"/>
    <w:rsid w:val="0005080D"/>
    <w:rsid w:val="00061F58"/>
    <w:rsid w:val="000662E2"/>
    <w:rsid w:val="00086CCB"/>
    <w:rsid w:val="000B6768"/>
    <w:rsid w:val="000C46B6"/>
    <w:rsid w:val="000D2F63"/>
    <w:rsid w:val="0010269F"/>
    <w:rsid w:val="001220BF"/>
    <w:rsid w:val="001364BE"/>
    <w:rsid w:val="001A2B3F"/>
    <w:rsid w:val="001C64DD"/>
    <w:rsid w:val="001D61C6"/>
    <w:rsid w:val="00214546"/>
    <w:rsid w:val="00216863"/>
    <w:rsid w:val="00226FCC"/>
    <w:rsid w:val="00260F3B"/>
    <w:rsid w:val="002769D8"/>
    <w:rsid w:val="002803BC"/>
    <w:rsid w:val="00295BAF"/>
    <w:rsid w:val="002A1CDE"/>
    <w:rsid w:val="002C42A5"/>
    <w:rsid w:val="002D4E50"/>
    <w:rsid w:val="00353A4B"/>
    <w:rsid w:val="003C2F73"/>
    <w:rsid w:val="004003B4"/>
    <w:rsid w:val="0040097A"/>
    <w:rsid w:val="00415D80"/>
    <w:rsid w:val="00435889"/>
    <w:rsid w:val="004B1BC6"/>
    <w:rsid w:val="004B7604"/>
    <w:rsid w:val="004D34C0"/>
    <w:rsid w:val="004D4CA8"/>
    <w:rsid w:val="00540003"/>
    <w:rsid w:val="005A2841"/>
    <w:rsid w:val="006071A8"/>
    <w:rsid w:val="006124A7"/>
    <w:rsid w:val="0062797C"/>
    <w:rsid w:val="00643094"/>
    <w:rsid w:val="006878FB"/>
    <w:rsid w:val="006A2734"/>
    <w:rsid w:val="006A6110"/>
    <w:rsid w:val="006F33B7"/>
    <w:rsid w:val="00702477"/>
    <w:rsid w:val="00731B03"/>
    <w:rsid w:val="00751FD9"/>
    <w:rsid w:val="00786BA2"/>
    <w:rsid w:val="007A2F22"/>
    <w:rsid w:val="00802F31"/>
    <w:rsid w:val="008152C2"/>
    <w:rsid w:val="00824F5D"/>
    <w:rsid w:val="00844F8B"/>
    <w:rsid w:val="008B5187"/>
    <w:rsid w:val="008C59AB"/>
    <w:rsid w:val="008D1518"/>
    <w:rsid w:val="008D367B"/>
    <w:rsid w:val="008F63DF"/>
    <w:rsid w:val="00973509"/>
    <w:rsid w:val="009943B3"/>
    <w:rsid w:val="009A34F1"/>
    <w:rsid w:val="009D1B82"/>
    <w:rsid w:val="00A134DE"/>
    <w:rsid w:val="00AA0350"/>
    <w:rsid w:val="00B36744"/>
    <w:rsid w:val="00B464E1"/>
    <w:rsid w:val="00B50B91"/>
    <w:rsid w:val="00B76F68"/>
    <w:rsid w:val="00BB0F6B"/>
    <w:rsid w:val="00BB3DDD"/>
    <w:rsid w:val="00BD3538"/>
    <w:rsid w:val="00C0476A"/>
    <w:rsid w:val="00C15E14"/>
    <w:rsid w:val="00C5661C"/>
    <w:rsid w:val="00CA2DF1"/>
    <w:rsid w:val="00CA7350"/>
    <w:rsid w:val="00CD090C"/>
    <w:rsid w:val="00CE2C66"/>
    <w:rsid w:val="00D90084"/>
    <w:rsid w:val="00DC68E5"/>
    <w:rsid w:val="00DD2C64"/>
    <w:rsid w:val="00E5181F"/>
    <w:rsid w:val="00E615E3"/>
    <w:rsid w:val="00ED762C"/>
    <w:rsid w:val="00F25BFF"/>
    <w:rsid w:val="00F4132A"/>
    <w:rsid w:val="00F51FF1"/>
    <w:rsid w:val="00FB650A"/>
    <w:rsid w:val="00FE6AE7"/>
    <w:rsid w:val="00FE79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69EC4"/>
  <w15:docId w15:val="{DA21BF47-E986-4B06-8273-C982CEFAB1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0350"/>
    <w:pPr>
      <w:spacing w:line="360" w:lineRule="auto"/>
      <w:jc w:val="both"/>
    </w:pPr>
    <w:rPr>
      <w:rFonts w:ascii="Arial" w:hAnsi="Arial"/>
      <w:sz w:val="24"/>
    </w:rPr>
  </w:style>
  <w:style w:type="paragraph" w:styleId="Ttulo1">
    <w:name w:val="heading 1"/>
    <w:basedOn w:val="Normal"/>
    <w:next w:val="Normal"/>
    <w:link w:val="Ttulo1Car"/>
    <w:uiPriority w:val="9"/>
    <w:qFormat/>
    <w:rsid w:val="00AA0350"/>
    <w:pPr>
      <w:keepNext/>
      <w:keepLines/>
      <w:spacing w:before="240" w:after="0"/>
      <w:jc w:val="cente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AA0350"/>
    <w:pPr>
      <w:keepNext/>
      <w:keepLines/>
      <w:spacing w:before="40" w:after="0"/>
      <w:outlineLvl w:val="1"/>
    </w:pPr>
    <w:rPr>
      <w:rFonts w:eastAsiaTheme="majorEastAsia" w:cstheme="majorBidi"/>
      <w:szCs w:val="26"/>
    </w:rPr>
  </w:style>
  <w:style w:type="paragraph" w:styleId="Ttulo3">
    <w:name w:val="heading 3"/>
    <w:basedOn w:val="Normal"/>
    <w:link w:val="Ttulo3Car"/>
    <w:uiPriority w:val="9"/>
    <w:qFormat/>
    <w:rsid w:val="0040097A"/>
    <w:pPr>
      <w:spacing w:before="100" w:beforeAutospacing="1" w:after="100" w:afterAutospacing="1" w:line="240" w:lineRule="auto"/>
      <w:outlineLvl w:val="2"/>
    </w:pPr>
    <w:rPr>
      <w:rFonts w:eastAsia="Times New Roman" w:cs="Times New Roman"/>
      <w:bCs/>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40097A"/>
    <w:rPr>
      <w:rFonts w:ascii="Arial" w:eastAsia="Times New Roman" w:hAnsi="Arial" w:cs="Times New Roman"/>
      <w:bCs/>
      <w:sz w:val="24"/>
      <w:szCs w:val="27"/>
      <w:lang w:eastAsia="es-PE"/>
    </w:rPr>
  </w:style>
  <w:style w:type="paragraph" w:styleId="NormalWeb">
    <w:name w:val="Normal (Web)"/>
    <w:basedOn w:val="Normal"/>
    <w:uiPriority w:val="99"/>
    <w:semiHidden/>
    <w:unhideWhenUsed/>
    <w:rsid w:val="009A34F1"/>
    <w:pPr>
      <w:spacing w:before="100" w:beforeAutospacing="1" w:after="100" w:afterAutospacing="1" w:line="240" w:lineRule="auto"/>
    </w:pPr>
    <w:rPr>
      <w:rFonts w:ascii="Times New Roman" w:eastAsia="Times New Roman" w:hAnsi="Times New Roman" w:cs="Times New Roman"/>
      <w:szCs w:val="24"/>
      <w:lang w:eastAsia="es-PE"/>
    </w:rPr>
  </w:style>
  <w:style w:type="character" w:customStyle="1" w:styleId="Ttulo1Car">
    <w:name w:val="Título 1 Car"/>
    <w:basedOn w:val="Fuentedeprrafopredeter"/>
    <w:link w:val="Ttulo1"/>
    <w:uiPriority w:val="9"/>
    <w:rsid w:val="00AA0350"/>
    <w:rPr>
      <w:rFonts w:ascii="Arial" w:eastAsiaTheme="majorEastAsia" w:hAnsi="Arial" w:cstheme="majorBidi"/>
      <w:b/>
      <w:sz w:val="24"/>
      <w:szCs w:val="32"/>
    </w:rPr>
  </w:style>
  <w:style w:type="paragraph" w:styleId="Prrafodelista">
    <w:name w:val="List Paragraph"/>
    <w:basedOn w:val="Normal"/>
    <w:uiPriority w:val="34"/>
    <w:qFormat/>
    <w:rsid w:val="00AA0350"/>
    <w:pPr>
      <w:ind w:left="720"/>
      <w:contextualSpacing/>
    </w:pPr>
  </w:style>
  <w:style w:type="character" w:customStyle="1" w:styleId="Ttulo2Car">
    <w:name w:val="Título 2 Car"/>
    <w:basedOn w:val="Fuentedeprrafopredeter"/>
    <w:link w:val="Ttulo2"/>
    <w:uiPriority w:val="9"/>
    <w:rsid w:val="00AA0350"/>
    <w:rPr>
      <w:rFonts w:ascii="Arial" w:eastAsiaTheme="majorEastAsia" w:hAnsi="Arial" w:cstheme="majorBidi"/>
      <w:sz w:val="24"/>
      <w:szCs w:val="26"/>
    </w:rPr>
  </w:style>
  <w:style w:type="paragraph" w:styleId="TDC1">
    <w:name w:val="toc 1"/>
    <w:basedOn w:val="Normal"/>
    <w:next w:val="Normal"/>
    <w:autoRedefine/>
    <w:uiPriority w:val="39"/>
    <w:unhideWhenUsed/>
    <w:rsid w:val="0040097A"/>
    <w:pPr>
      <w:spacing w:before="120" w:after="120"/>
      <w:jc w:val="left"/>
    </w:pPr>
    <w:rPr>
      <w:rFonts w:asciiTheme="minorHAnsi" w:hAnsiTheme="minorHAnsi" w:cstheme="minorHAnsi"/>
      <w:b/>
      <w:bCs/>
      <w:caps/>
      <w:sz w:val="20"/>
      <w:szCs w:val="20"/>
    </w:rPr>
  </w:style>
  <w:style w:type="paragraph" w:styleId="TDC2">
    <w:name w:val="toc 2"/>
    <w:basedOn w:val="Normal"/>
    <w:next w:val="Normal"/>
    <w:autoRedefine/>
    <w:uiPriority w:val="39"/>
    <w:unhideWhenUsed/>
    <w:rsid w:val="0040097A"/>
    <w:pPr>
      <w:spacing w:after="0"/>
      <w:ind w:left="240"/>
      <w:jc w:val="left"/>
    </w:pPr>
    <w:rPr>
      <w:rFonts w:asciiTheme="minorHAnsi" w:hAnsiTheme="minorHAnsi" w:cstheme="minorHAnsi"/>
      <w:smallCaps/>
      <w:sz w:val="20"/>
      <w:szCs w:val="20"/>
    </w:rPr>
  </w:style>
  <w:style w:type="paragraph" w:styleId="TDC3">
    <w:name w:val="toc 3"/>
    <w:basedOn w:val="Normal"/>
    <w:next w:val="Normal"/>
    <w:autoRedefine/>
    <w:uiPriority w:val="39"/>
    <w:unhideWhenUsed/>
    <w:rsid w:val="0040097A"/>
    <w:pPr>
      <w:spacing w:after="0"/>
      <w:ind w:left="480"/>
      <w:jc w:val="left"/>
    </w:pPr>
    <w:rPr>
      <w:rFonts w:asciiTheme="minorHAnsi" w:hAnsiTheme="minorHAnsi" w:cstheme="minorHAnsi"/>
      <w:i/>
      <w:iCs/>
      <w:sz w:val="20"/>
      <w:szCs w:val="20"/>
    </w:rPr>
  </w:style>
  <w:style w:type="paragraph" w:styleId="TDC4">
    <w:name w:val="toc 4"/>
    <w:basedOn w:val="Normal"/>
    <w:next w:val="Normal"/>
    <w:autoRedefine/>
    <w:uiPriority w:val="39"/>
    <w:unhideWhenUsed/>
    <w:rsid w:val="0040097A"/>
    <w:pPr>
      <w:spacing w:after="0"/>
      <w:ind w:left="720"/>
      <w:jc w:val="left"/>
    </w:pPr>
    <w:rPr>
      <w:rFonts w:asciiTheme="minorHAnsi" w:hAnsiTheme="minorHAnsi" w:cstheme="minorHAnsi"/>
      <w:sz w:val="18"/>
      <w:szCs w:val="18"/>
    </w:rPr>
  </w:style>
  <w:style w:type="paragraph" w:styleId="TDC5">
    <w:name w:val="toc 5"/>
    <w:basedOn w:val="Normal"/>
    <w:next w:val="Normal"/>
    <w:autoRedefine/>
    <w:uiPriority w:val="39"/>
    <w:unhideWhenUsed/>
    <w:rsid w:val="0040097A"/>
    <w:pPr>
      <w:spacing w:after="0"/>
      <w:ind w:left="960"/>
      <w:jc w:val="left"/>
    </w:pPr>
    <w:rPr>
      <w:rFonts w:asciiTheme="minorHAnsi" w:hAnsiTheme="minorHAnsi" w:cstheme="minorHAnsi"/>
      <w:sz w:val="18"/>
      <w:szCs w:val="18"/>
    </w:rPr>
  </w:style>
  <w:style w:type="paragraph" w:styleId="TDC6">
    <w:name w:val="toc 6"/>
    <w:basedOn w:val="Normal"/>
    <w:next w:val="Normal"/>
    <w:autoRedefine/>
    <w:uiPriority w:val="39"/>
    <w:unhideWhenUsed/>
    <w:rsid w:val="0040097A"/>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40097A"/>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40097A"/>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40097A"/>
    <w:pPr>
      <w:spacing w:after="0"/>
      <w:ind w:left="1920"/>
      <w:jc w:val="left"/>
    </w:pPr>
    <w:rPr>
      <w:rFonts w:asciiTheme="minorHAnsi" w:hAnsiTheme="minorHAnsi" w:cstheme="minorHAnsi"/>
      <w:sz w:val="18"/>
      <w:szCs w:val="18"/>
    </w:rPr>
  </w:style>
  <w:style w:type="character" w:styleId="Hipervnculo">
    <w:name w:val="Hyperlink"/>
    <w:basedOn w:val="Fuentedeprrafopredeter"/>
    <w:uiPriority w:val="99"/>
    <w:unhideWhenUsed/>
    <w:rsid w:val="0040097A"/>
    <w:rPr>
      <w:color w:val="0563C1" w:themeColor="hyperlink"/>
      <w:u w:val="single"/>
    </w:rPr>
  </w:style>
  <w:style w:type="table" w:styleId="Tablaconcuadrcula">
    <w:name w:val="Table Grid"/>
    <w:basedOn w:val="Tablanormal"/>
    <w:uiPriority w:val="39"/>
    <w:rsid w:val="006279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62797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2797C"/>
    <w:rPr>
      <w:rFonts w:ascii="Segoe UI" w:hAnsi="Segoe UI" w:cs="Segoe UI"/>
      <w:sz w:val="18"/>
      <w:szCs w:val="18"/>
    </w:rPr>
  </w:style>
  <w:style w:type="character" w:styleId="nfasis">
    <w:name w:val="Emphasis"/>
    <w:basedOn w:val="Fuentedeprrafopredeter"/>
    <w:uiPriority w:val="20"/>
    <w:qFormat/>
    <w:rsid w:val="004D4CA8"/>
    <w:rPr>
      <w:i/>
      <w:iCs/>
    </w:rPr>
  </w:style>
  <w:style w:type="character" w:styleId="Mencinsinresolver">
    <w:name w:val="Unresolved Mention"/>
    <w:basedOn w:val="Fuentedeprrafopredeter"/>
    <w:uiPriority w:val="99"/>
    <w:semiHidden/>
    <w:unhideWhenUsed/>
    <w:rsid w:val="004D4CA8"/>
    <w:rPr>
      <w:color w:val="605E5C"/>
      <w:shd w:val="clear" w:color="auto" w:fill="E1DFDD"/>
    </w:rPr>
  </w:style>
  <w:style w:type="paragraph" w:styleId="Piedepgina">
    <w:name w:val="footer"/>
    <w:basedOn w:val="Normal"/>
    <w:link w:val="PiedepginaCar"/>
    <w:uiPriority w:val="99"/>
    <w:unhideWhenUsed/>
    <w:rsid w:val="008D367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D367B"/>
    <w:rPr>
      <w:rFonts w:ascii="Arial" w:hAnsi="Arial"/>
      <w:sz w:val="24"/>
    </w:rPr>
  </w:style>
  <w:style w:type="character" w:styleId="Nmerodepgina">
    <w:name w:val="page number"/>
    <w:basedOn w:val="Fuentedeprrafopredeter"/>
    <w:uiPriority w:val="99"/>
    <w:semiHidden/>
    <w:unhideWhenUsed/>
    <w:rsid w:val="008D367B"/>
  </w:style>
  <w:style w:type="table" w:styleId="Tablaconcuadrculaclara">
    <w:name w:val="Grid Table Light"/>
    <w:basedOn w:val="Tablanormal"/>
    <w:uiPriority w:val="40"/>
    <w:rsid w:val="006A6110"/>
    <w:pPr>
      <w:spacing w:after="0" w:line="240" w:lineRule="auto"/>
      <w:jc w:val="both"/>
    </w:pPr>
    <w:rPr>
      <w:rFonts w:ascii="Cambria" w:eastAsia="Cambria" w:hAnsi="Cambria" w:cs="Cambria"/>
      <w:lang w:val="es-ES" w:eastAsia="es-P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Portada-Centrado">
    <w:name w:val="Portada-Centrado"/>
    <w:basedOn w:val="Normal"/>
    <w:pPr>
      <w:spacing w:before="120" w:after="120"/>
      <w:jc w:val="center"/>
    </w:p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0003014">
      <w:bodyDiv w:val="1"/>
      <w:marLeft w:val="0"/>
      <w:marRight w:val="0"/>
      <w:marTop w:val="0"/>
      <w:marBottom w:val="0"/>
      <w:divBdr>
        <w:top w:val="none" w:sz="0" w:space="0" w:color="auto"/>
        <w:left w:val="none" w:sz="0" w:space="0" w:color="auto"/>
        <w:bottom w:val="none" w:sz="0" w:space="0" w:color="auto"/>
        <w:right w:val="none" w:sz="0" w:space="0" w:color="auto"/>
      </w:divBdr>
      <w:divsChild>
        <w:div w:id="1899322247">
          <w:marLeft w:val="446"/>
          <w:marRight w:val="0"/>
          <w:marTop w:val="0"/>
          <w:marBottom w:val="0"/>
          <w:divBdr>
            <w:top w:val="none" w:sz="0" w:space="0" w:color="auto"/>
            <w:left w:val="none" w:sz="0" w:space="0" w:color="auto"/>
            <w:bottom w:val="none" w:sz="0" w:space="0" w:color="auto"/>
            <w:right w:val="none" w:sz="0" w:space="0" w:color="auto"/>
          </w:divBdr>
        </w:div>
        <w:div w:id="2077774485">
          <w:marLeft w:val="446"/>
          <w:marRight w:val="0"/>
          <w:marTop w:val="0"/>
          <w:marBottom w:val="0"/>
          <w:divBdr>
            <w:top w:val="none" w:sz="0" w:space="0" w:color="auto"/>
            <w:left w:val="none" w:sz="0" w:space="0" w:color="auto"/>
            <w:bottom w:val="none" w:sz="0" w:space="0" w:color="auto"/>
            <w:right w:val="none" w:sz="0" w:space="0" w:color="auto"/>
          </w:divBdr>
        </w:div>
        <w:div w:id="737675961">
          <w:marLeft w:val="446"/>
          <w:marRight w:val="0"/>
          <w:marTop w:val="0"/>
          <w:marBottom w:val="0"/>
          <w:divBdr>
            <w:top w:val="none" w:sz="0" w:space="0" w:color="auto"/>
            <w:left w:val="none" w:sz="0" w:space="0" w:color="auto"/>
            <w:bottom w:val="none" w:sz="0" w:space="0" w:color="auto"/>
            <w:right w:val="none" w:sz="0" w:space="0" w:color="auto"/>
          </w:divBdr>
        </w:div>
        <w:div w:id="488207531">
          <w:marLeft w:val="446"/>
          <w:marRight w:val="0"/>
          <w:marTop w:val="0"/>
          <w:marBottom w:val="0"/>
          <w:divBdr>
            <w:top w:val="none" w:sz="0" w:space="0" w:color="auto"/>
            <w:left w:val="none" w:sz="0" w:space="0" w:color="auto"/>
            <w:bottom w:val="none" w:sz="0" w:space="0" w:color="auto"/>
            <w:right w:val="none" w:sz="0" w:space="0" w:color="auto"/>
          </w:divBdr>
        </w:div>
        <w:div w:id="1646665623">
          <w:marLeft w:val="446"/>
          <w:marRight w:val="0"/>
          <w:marTop w:val="0"/>
          <w:marBottom w:val="0"/>
          <w:divBdr>
            <w:top w:val="none" w:sz="0" w:space="0" w:color="auto"/>
            <w:left w:val="none" w:sz="0" w:space="0" w:color="auto"/>
            <w:bottom w:val="none" w:sz="0" w:space="0" w:color="auto"/>
            <w:right w:val="none" w:sz="0" w:space="0" w:color="auto"/>
          </w:divBdr>
        </w:div>
        <w:div w:id="452558322">
          <w:marLeft w:val="446"/>
          <w:marRight w:val="0"/>
          <w:marTop w:val="0"/>
          <w:marBottom w:val="0"/>
          <w:divBdr>
            <w:top w:val="none" w:sz="0" w:space="0" w:color="auto"/>
            <w:left w:val="none" w:sz="0" w:space="0" w:color="auto"/>
            <w:bottom w:val="none" w:sz="0" w:space="0" w:color="auto"/>
            <w:right w:val="none" w:sz="0" w:space="0" w:color="auto"/>
          </w:divBdr>
        </w:div>
        <w:div w:id="1427070991">
          <w:marLeft w:val="446"/>
          <w:marRight w:val="0"/>
          <w:marTop w:val="0"/>
          <w:marBottom w:val="0"/>
          <w:divBdr>
            <w:top w:val="none" w:sz="0" w:space="0" w:color="auto"/>
            <w:left w:val="none" w:sz="0" w:space="0" w:color="auto"/>
            <w:bottom w:val="none" w:sz="0" w:space="0" w:color="auto"/>
            <w:right w:val="none" w:sz="0" w:space="0" w:color="auto"/>
          </w:divBdr>
        </w:div>
        <w:div w:id="1911189143">
          <w:marLeft w:val="446"/>
          <w:marRight w:val="0"/>
          <w:marTop w:val="0"/>
          <w:marBottom w:val="0"/>
          <w:divBdr>
            <w:top w:val="none" w:sz="0" w:space="0" w:color="auto"/>
            <w:left w:val="none" w:sz="0" w:space="0" w:color="auto"/>
            <w:bottom w:val="none" w:sz="0" w:space="0" w:color="auto"/>
            <w:right w:val="none" w:sz="0" w:space="0" w:color="auto"/>
          </w:divBdr>
        </w:div>
      </w:divsChild>
    </w:div>
    <w:div w:id="653410925">
      <w:bodyDiv w:val="1"/>
      <w:marLeft w:val="0"/>
      <w:marRight w:val="0"/>
      <w:marTop w:val="0"/>
      <w:marBottom w:val="0"/>
      <w:divBdr>
        <w:top w:val="none" w:sz="0" w:space="0" w:color="auto"/>
        <w:left w:val="none" w:sz="0" w:space="0" w:color="auto"/>
        <w:bottom w:val="none" w:sz="0" w:space="0" w:color="auto"/>
        <w:right w:val="none" w:sz="0" w:space="0" w:color="auto"/>
      </w:divBdr>
    </w:div>
    <w:div w:id="972639472">
      <w:bodyDiv w:val="1"/>
      <w:marLeft w:val="0"/>
      <w:marRight w:val="0"/>
      <w:marTop w:val="0"/>
      <w:marBottom w:val="0"/>
      <w:divBdr>
        <w:top w:val="none" w:sz="0" w:space="0" w:color="auto"/>
        <w:left w:val="none" w:sz="0" w:space="0" w:color="auto"/>
        <w:bottom w:val="none" w:sz="0" w:space="0" w:color="auto"/>
        <w:right w:val="none" w:sz="0" w:space="0" w:color="auto"/>
      </w:divBdr>
    </w:div>
    <w:div w:id="1034429374">
      <w:bodyDiv w:val="1"/>
      <w:marLeft w:val="0"/>
      <w:marRight w:val="0"/>
      <w:marTop w:val="0"/>
      <w:marBottom w:val="0"/>
      <w:divBdr>
        <w:top w:val="none" w:sz="0" w:space="0" w:color="auto"/>
        <w:left w:val="none" w:sz="0" w:space="0" w:color="auto"/>
        <w:bottom w:val="none" w:sz="0" w:space="0" w:color="auto"/>
        <w:right w:val="none" w:sz="0" w:space="0" w:color="auto"/>
      </w:divBdr>
    </w:div>
    <w:div w:id="1595167832">
      <w:bodyDiv w:val="1"/>
      <w:marLeft w:val="0"/>
      <w:marRight w:val="0"/>
      <w:marTop w:val="0"/>
      <w:marBottom w:val="0"/>
      <w:divBdr>
        <w:top w:val="none" w:sz="0" w:space="0" w:color="auto"/>
        <w:left w:val="none" w:sz="0" w:space="0" w:color="auto"/>
        <w:bottom w:val="none" w:sz="0" w:space="0" w:color="auto"/>
        <w:right w:val="none" w:sz="0" w:space="0" w:color="auto"/>
      </w:divBdr>
      <w:divsChild>
        <w:div w:id="1044862889">
          <w:marLeft w:val="446"/>
          <w:marRight w:val="0"/>
          <w:marTop w:val="0"/>
          <w:marBottom w:val="0"/>
          <w:divBdr>
            <w:top w:val="none" w:sz="0" w:space="0" w:color="auto"/>
            <w:left w:val="none" w:sz="0" w:space="0" w:color="auto"/>
            <w:bottom w:val="none" w:sz="0" w:space="0" w:color="auto"/>
            <w:right w:val="none" w:sz="0" w:space="0" w:color="auto"/>
          </w:divBdr>
        </w:div>
        <w:div w:id="1237862148">
          <w:marLeft w:val="446"/>
          <w:marRight w:val="0"/>
          <w:marTop w:val="0"/>
          <w:marBottom w:val="0"/>
          <w:divBdr>
            <w:top w:val="none" w:sz="0" w:space="0" w:color="auto"/>
            <w:left w:val="none" w:sz="0" w:space="0" w:color="auto"/>
            <w:bottom w:val="none" w:sz="0" w:space="0" w:color="auto"/>
            <w:right w:val="none" w:sz="0" w:space="0" w:color="auto"/>
          </w:divBdr>
        </w:div>
        <w:div w:id="2061904514">
          <w:marLeft w:val="446"/>
          <w:marRight w:val="0"/>
          <w:marTop w:val="0"/>
          <w:marBottom w:val="0"/>
          <w:divBdr>
            <w:top w:val="none" w:sz="0" w:space="0" w:color="auto"/>
            <w:left w:val="none" w:sz="0" w:space="0" w:color="auto"/>
            <w:bottom w:val="none" w:sz="0" w:space="0" w:color="auto"/>
            <w:right w:val="none" w:sz="0" w:space="0" w:color="auto"/>
          </w:divBdr>
        </w:div>
        <w:div w:id="1181161017">
          <w:marLeft w:val="446"/>
          <w:marRight w:val="0"/>
          <w:marTop w:val="0"/>
          <w:marBottom w:val="0"/>
          <w:divBdr>
            <w:top w:val="none" w:sz="0" w:space="0" w:color="auto"/>
            <w:left w:val="none" w:sz="0" w:space="0" w:color="auto"/>
            <w:bottom w:val="none" w:sz="0" w:space="0" w:color="auto"/>
            <w:right w:val="none" w:sz="0" w:space="0" w:color="auto"/>
          </w:divBdr>
        </w:div>
        <w:div w:id="578292164">
          <w:marLeft w:val="446"/>
          <w:marRight w:val="0"/>
          <w:marTop w:val="0"/>
          <w:marBottom w:val="0"/>
          <w:divBdr>
            <w:top w:val="none" w:sz="0" w:space="0" w:color="auto"/>
            <w:left w:val="none" w:sz="0" w:space="0" w:color="auto"/>
            <w:bottom w:val="none" w:sz="0" w:space="0" w:color="auto"/>
            <w:right w:val="none" w:sz="0" w:space="0" w:color="auto"/>
          </w:divBdr>
        </w:div>
        <w:div w:id="1651329872">
          <w:marLeft w:val="446"/>
          <w:marRight w:val="0"/>
          <w:marTop w:val="0"/>
          <w:marBottom w:val="0"/>
          <w:divBdr>
            <w:top w:val="none" w:sz="0" w:space="0" w:color="auto"/>
            <w:left w:val="none" w:sz="0" w:space="0" w:color="auto"/>
            <w:bottom w:val="none" w:sz="0" w:space="0" w:color="auto"/>
            <w:right w:val="none" w:sz="0" w:space="0" w:color="auto"/>
          </w:divBdr>
        </w:div>
        <w:div w:id="27800170">
          <w:marLeft w:val="446"/>
          <w:marRight w:val="0"/>
          <w:marTop w:val="0"/>
          <w:marBottom w:val="0"/>
          <w:divBdr>
            <w:top w:val="none" w:sz="0" w:space="0" w:color="auto"/>
            <w:left w:val="none" w:sz="0" w:space="0" w:color="auto"/>
            <w:bottom w:val="none" w:sz="0" w:space="0" w:color="auto"/>
            <w:right w:val="none" w:sz="0" w:space="0" w:color="auto"/>
          </w:divBdr>
        </w:div>
        <w:div w:id="204290562">
          <w:marLeft w:val="446"/>
          <w:marRight w:val="0"/>
          <w:marTop w:val="0"/>
          <w:marBottom w:val="0"/>
          <w:divBdr>
            <w:top w:val="none" w:sz="0" w:space="0" w:color="auto"/>
            <w:left w:val="none" w:sz="0" w:space="0" w:color="auto"/>
            <w:bottom w:val="none" w:sz="0" w:space="0" w:color="auto"/>
            <w:right w:val="none" w:sz="0" w:space="0" w:color="auto"/>
          </w:divBdr>
        </w:div>
      </w:divsChild>
    </w:div>
    <w:div w:id="1711108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TotalTime>
  <Pages>45</Pages>
  <Words>14352</Words>
  <Characters>78936</Characters>
  <Application>Microsoft Office Word</Application>
  <DocSecurity>0</DocSecurity>
  <Lines>657</Lines>
  <Paragraphs>186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Henry Cangalaya Carrasco</cp:lastModifiedBy>
  <cp:revision>8</cp:revision>
  <dcterms:created xsi:type="dcterms:W3CDTF">2026-03-27T21:50:00Z</dcterms:created>
  <dcterms:modified xsi:type="dcterms:W3CDTF">2026-03-28T02:23:00Z</dcterms:modified>
</cp:coreProperties>
</file>