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refinamiento-del-problema-paso-a-paso"/>
    <w:p>
      <w:pPr>
        <w:pStyle w:val="Heading1"/>
      </w:pPr>
      <w:r>
        <w:t xml:space="preserve">Refinamiento del problema: paso a paso</w:t>
      </w:r>
    </w:p>
    <w:bookmarkStart w:id="9" w:name="problema-base"/>
    <w:p>
      <w:pPr>
        <w:pStyle w:val="Heading2"/>
      </w:pPr>
      <w:r>
        <w:t xml:space="preserve">Problema base</w:t>
      </w:r>
    </w:p>
    <w:p>
      <w:pPr>
        <w:pStyle w:val="FirstParagraph"/>
      </w:pPr>
      <w:r>
        <w:t xml:space="preserve">Deficiencias en la interoperabilidad y en la gestión de historias clínicas de pacientes SIS en centros de salud del MINSA.</w:t>
      </w:r>
    </w:p>
    <w:bookmarkEnd w:id="9"/>
    <w:bookmarkStart w:id="13" w:name="paso-1.-definición-de-palabras-clave"/>
    <w:p>
      <w:pPr>
        <w:pStyle w:val="Heading2"/>
      </w:pPr>
      <w:r>
        <w:t xml:space="preserve">Paso 1. Definición de palabras clave</w:t>
      </w:r>
    </w:p>
    <w:bookmarkStart w:id="10" w:name="palabras-clave-núcleo-español"/>
    <w:p>
      <w:pPr>
        <w:pStyle w:val="Heading3"/>
      </w:pPr>
      <w:r>
        <w:t xml:space="preserve">Palabras clave núcleo (español)</w:t>
      </w:r>
    </w:p>
    <w:p>
      <w:pPr>
        <w:pStyle w:val="Compact"/>
        <w:numPr>
          <w:ilvl w:val="0"/>
          <w:numId w:val="1001"/>
        </w:numPr>
      </w:pPr>
      <w:r>
        <w:t xml:space="preserve">interoperabilidad en salud</w:t>
      </w:r>
    </w:p>
    <w:p>
      <w:pPr>
        <w:pStyle w:val="Compact"/>
        <w:numPr>
          <w:ilvl w:val="0"/>
          <w:numId w:val="1001"/>
        </w:numPr>
      </w:pPr>
      <w:r>
        <w:t xml:space="preserve">historia clínica electrónica</w:t>
      </w:r>
    </w:p>
    <w:p>
      <w:pPr>
        <w:pStyle w:val="Compact"/>
        <w:numPr>
          <w:ilvl w:val="0"/>
          <w:numId w:val="1001"/>
        </w:numPr>
      </w:pPr>
      <w:r>
        <w:t xml:space="preserve">sistemas de información asistenciales</w:t>
      </w:r>
    </w:p>
    <w:p>
      <w:pPr>
        <w:pStyle w:val="Compact"/>
        <w:numPr>
          <w:ilvl w:val="0"/>
          <w:numId w:val="1001"/>
        </w:numPr>
      </w:pPr>
      <w:r>
        <w:t xml:space="preserve">SIS</w:t>
      </w:r>
    </w:p>
    <w:p>
      <w:pPr>
        <w:pStyle w:val="Compact"/>
        <w:numPr>
          <w:ilvl w:val="0"/>
          <w:numId w:val="1001"/>
        </w:numPr>
      </w:pPr>
      <w:r>
        <w:t xml:space="preserve">MINSA</w:t>
      </w:r>
    </w:p>
    <w:p>
      <w:pPr>
        <w:pStyle w:val="Compact"/>
        <w:numPr>
          <w:ilvl w:val="0"/>
          <w:numId w:val="1001"/>
        </w:numPr>
      </w:pPr>
      <w:r>
        <w:t xml:space="preserve">RNIEDS</w:t>
      </w:r>
    </w:p>
    <w:p>
      <w:pPr>
        <w:pStyle w:val="Compact"/>
        <w:numPr>
          <w:ilvl w:val="0"/>
          <w:numId w:val="1001"/>
        </w:numPr>
      </w:pPr>
      <w:r>
        <w:t xml:space="preserve">PIDESALUD</w:t>
      </w:r>
    </w:p>
    <w:p>
      <w:pPr>
        <w:pStyle w:val="Compact"/>
        <w:numPr>
          <w:ilvl w:val="0"/>
          <w:numId w:val="1001"/>
        </w:numPr>
      </w:pPr>
      <w:r>
        <w:t xml:space="preserve">IEDS</w:t>
      </w:r>
    </w:p>
    <w:p>
      <w:pPr>
        <w:pStyle w:val="Compact"/>
        <w:numPr>
          <w:ilvl w:val="0"/>
          <w:numId w:val="1001"/>
        </w:numPr>
      </w:pPr>
      <w:r>
        <w:t xml:space="preserve">CIE-10</w:t>
      </w:r>
    </w:p>
    <w:p>
      <w:pPr>
        <w:pStyle w:val="Compact"/>
        <w:numPr>
          <w:ilvl w:val="0"/>
          <w:numId w:val="1001"/>
        </w:numPr>
      </w:pPr>
      <w:r>
        <w:t xml:space="preserve">CPMS</w:t>
      </w:r>
    </w:p>
    <w:p>
      <w:pPr>
        <w:pStyle w:val="Compact"/>
        <w:numPr>
          <w:ilvl w:val="0"/>
          <w:numId w:val="1001"/>
        </w:numPr>
      </w:pPr>
      <w:r>
        <w:t xml:space="preserve">calidad de dato clínico</w:t>
      </w:r>
    </w:p>
    <w:p>
      <w:pPr>
        <w:pStyle w:val="Compact"/>
        <w:numPr>
          <w:ilvl w:val="0"/>
          <w:numId w:val="1001"/>
        </w:numPr>
      </w:pPr>
      <w:r>
        <w:t xml:space="preserve">continuidad de atención</w:t>
      </w:r>
    </w:p>
    <w:bookmarkEnd w:id="10"/>
    <w:bookmarkStart w:id="11" w:name="palabras-clave-equivalentes-inglés"/>
    <w:p>
      <w:pPr>
        <w:pStyle w:val="Heading3"/>
      </w:pPr>
      <w:r>
        <w:t xml:space="preserve">Palabras clave equivalentes (inglés)</w:t>
      </w:r>
    </w:p>
    <w:p>
      <w:pPr>
        <w:pStyle w:val="Compact"/>
        <w:numPr>
          <w:ilvl w:val="0"/>
          <w:numId w:val="1002"/>
        </w:numPr>
      </w:pPr>
      <w:r>
        <w:t xml:space="preserve">health information interoperability</w:t>
      </w:r>
    </w:p>
    <w:p>
      <w:pPr>
        <w:pStyle w:val="Compact"/>
        <w:numPr>
          <w:ilvl w:val="0"/>
          <w:numId w:val="1002"/>
        </w:numPr>
      </w:pPr>
      <w:r>
        <w:t xml:space="preserve">electronic health record interoperability</w:t>
      </w:r>
    </w:p>
    <w:p>
      <w:pPr>
        <w:pStyle w:val="Compact"/>
        <w:numPr>
          <w:ilvl w:val="0"/>
          <w:numId w:val="1002"/>
        </w:numPr>
      </w:pPr>
      <w:r>
        <w:t xml:space="preserve">EHR interoperability</w:t>
      </w:r>
    </w:p>
    <w:p>
      <w:pPr>
        <w:pStyle w:val="Compact"/>
        <w:numPr>
          <w:ilvl w:val="0"/>
          <w:numId w:val="1002"/>
        </w:numPr>
      </w:pPr>
      <w:r>
        <w:t xml:space="preserve">HL7 FHIR</w:t>
      </w:r>
    </w:p>
    <w:p>
      <w:pPr>
        <w:pStyle w:val="Compact"/>
        <w:numPr>
          <w:ilvl w:val="0"/>
          <w:numId w:val="1002"/>
        </w:numPr>
      </w:pPr>
      <w:r>
        <w:t xml:space="preserve">DICOM</w:t>
      </w:r>
    </w:p>
    <w:p>
      <w:pPr>
        <w:pStyle w:val="Compact"/>
        <w:numPr>
          <w:ilvl w:val="0"/>
          <w:numId w:val="1002"/>
        </w:numPr>
      </w:pPr>
      <w:r>
        <w:t xml:space="preserve">semantic interoperability</w:t>
      </w:r>
    </w:p>
    <w:p>
      <w:pPr>
        <w:pStyle w:val="Compact"/>
        <w:numPr>
          <w:ilvl w:val="0"/>
          <w:numId w:val="1002"/>
        </w:numPr>
      </w:pPr>
      <w:r>
        <w:t xml:space="preserve">health information exchange (HIE)</w:t>
      </w:r>
    </w:p>
    <w:p>
      <w:pPr>
        <w:pStyle w:val="Compact"/>
        <w:numPr>
          <w:ilvl w:val="0"/>
          <w:numId w:val="1002"/>
        </w:numPr>
      </w:pPr>
      <w:r>
        <w:t xml:space="preserve">patient record continuity</w:t>
      </w:r>
    </w:p>
    <w:p>
      <w:pPr>
        <w:pStyle w:val="Compact"/>
        <w:numPr>
          <w:ilvl w:val="0"/>
          <w:numId w:val="1002"/>
        </w:numPr>
      </w:pPr>
      <w:r>
        <w:t xml:space="preserve">clinical coding quality</w:t>
      </w:r>
    </w:p>
    <w:p>
      <w:pPr>
        <w:pStyle w:val="Compact"/>
        <w:numPr>
          <w:ilvl w:val="0"/>
          <w:numId w:val="1002"/>
        </w:numPr>
      </w:pPr>
      <w:r>
        <w:t xml:space="preserve">health data standards</w:t>
      </w:r>
    </w:p>
    <w:bookmarkEnd w:id="11"/>
    <w:bookmarkStart w:id="12" w:name="combinaciones-sugeridas-para-búsqueda"/>
    <w:p>
      <w:pPr>
        <w:pStyle w:val="Heading3"/>
      </w:pPr>
      <w:r>
        <w:t xml:space="preserve">Combinaciones sugeridas para búsqueda</w:t>
      </w:r>
    </w:p>
    <w:p>
      <w:pPr>
        <w:pStyle w:val="Compact"/>
        <w:numPr>
          <w:ilvl w:val="0"/>
          <w:numId w:val="1003"/>
        </w:numPr>
      </w:pPr>
      <w:r>
        <w:t xml:space="preserve">“health information interoperability”</w:t>
      </w:r>
      <w:r>
        <w:t xml:space="preserve"> </w:t>
      </w:r>
      <w:r>
        <w:t xml:space="preserve">AND</w:t>
      </w:r>
      <w:r>
        <w:t xml:space="preserve"> </w:t>
      </w:r>
      <w:r>
        <w:t xml:space="preserve">“electronic health record”</w:t>
      </w:r>
      <w:r>
        <w:t xml:space="preserve"> </w:t>
      </w:r>
      <w:r>
        <w:t xml:space="preserve">AND (HL7 OR FHIR)</w:t>
      </w:r>
    </w:p>
    <w:p>
      <w:pPr>
        <w:pStyle w:val="Compact"/>
        <w:numPr>
          <w:ilvl w:val="0"/>
          <w:numId w:val="1003"/>
        </w:numPr>
      </w:pPr>
      <w:r>
        <w:t xml:space="preserve">“semantic interoperability”</w:t>
      </w:r>
      <w:r>
        <w:t xml:space="preserve"> </w:t>
      </w:r>
      <w:r>
        <w:t xml:space="preserve">AND</w:t>
      </w:r>
      <w:r>
        <w:t xml:space="preserve"> </w:t>
      </w:r>
      <w:r>
        <w:t xml:space="preserve">“clinical data”</w:t>
      </w:r>
      <w:r>
        <w:t xml:space="preserve"> </w:t>
      </w:r>
      <w:r>
        <w:t xml:space="preserve">AND (CIE-10 OR coding)</w:t>
      </w:r>
    </w:p>
    <w:p>
      <w:pPr>
        <w:pStyle w:val="Compact"/>
        <w:numPr>
          <w:ilvl w:val="0"/>
          <w:numId w:val="1003"/>
        </w:numPr>
      </w:pPr>
      <w:r>
        <w:t xml:space="preserve">“health information exchange”</w:t>
      </w:r>
      <w:r>
        <w:t xml:space="preserve"> </w:t>
      </w:r>
      <w:r>
        <w:t xml:space="preserve">AND</w:t>
      </w:r>
      <w:r>
        <w:t xml:space="preserve"> </w:t>
      </w:r>
      <w:r>
        <w:t xml:space="preserve">“hospital interoperability”</w:t>
      </w:r>
      <w:r>
        <w:t xml:space="preserve"> </w:t>
      </w:r>
      <w:r>
        <w:t xml:space="preserve">AND</w:t>
      </w:r>
      <w:r>
        <w:t xml:space="preserve"> </w:t>
      </w:r>
      <w:r>
        <w:t xml:space="preserve">“patient continuity”</w:t>
      </w:r>
    </w:p>
    <w:p>
      <w:pPr>
        <w:pStyle w:val="Compact"/>
        <w:numPr>
          <w:ilvl w:val="0"/>
          <w:numId w:val="1003"/>
        </w:numPr>
      </w:pPr>
      <w:r>
        <w:t xml:space="preserve">“Peru”</w:t>
      </w:r>
      <w:r>
        <w:t xml:space="preserve"> </w:t>
      </w:r>
      <w:r>
        <w:t xml:space="preserve">AND</w:t>
      </w:r>
      <w:r>
        <w:t xml:space="preserve"> </w:t>
      </w:r>
      <w:r>
        <w:t xml:space="preserve">“electronic health record interoperability”</w:t>
      </w:r>
    </w:p>
    <w:p>
      <w:pPr>
        <w:pStyle w:val="Compact"/>
        <w:numPr>
          <w:ilvl w:val="0"/>
          <w:numId w:val="1003"/>
        </w:numPr>
      </w:pPr>
      <w:r>
        <w:t xml:space="preserve">“interoperability”</w:t>
      </w:r>
      <w:r>
        <w:t xml:space="preserve"> </w:t>
      </w:r>
      <w:r>
        <w:t xml:space="preserve">AND</w:t>
      </w:r>
      <w:r>
        <w:t xml:space="preserve"> </w:t>
      </w:r>
      <w:r>
        <w:t xml:space="preserve">“SIS”</w:t>
      </w:r>
      <w:r>
        <w:t xml:space="preserve"> </w:t>
      </w:r>
      <w:r>
        <w:t xml:space="preserve">AND</w:t>
      </w:r>
      <w:r>
        <w:t xml:space="preserve"> </w:t>
      </w:r>
      <w:r>
        <w:t xml:space="preserve">“MINSA”</w:t>
      </w:r>
      <w:r>
        <w:t xml:space="preserve"> </w:t>
      </w:r>
      <w:r>
        <w:t xml:space="preserve">(para literatura local y gris)</w:t>
      </w:r>
    </w:p>
    <w:bookmarkEnd w:id="12"/>
    <w:bookmarkEnd w:id="13"/>
    <w:bookmarkStart w:id="17" w:name="paso-2.-búsqueda-en-web"/>
    <w:p>
      <w:pPr>
        <w:pStyle w:val="Heading2"/>
      </w:pPr>
      <w:r>
        <w:t xml:space="preserve">Paso 2. Búsqueda en web</w:t>
      </w:r>
    </w:p>
    <w:bookmarkStart w:id="14" w:name="criterios-aplicados"/>
    <w:p>
      <w:pPr>
        <w:pStyle w:val="Heading3"/>
      </w:pPr>
      <w:r>
        <w:t xml:space="preserve">Criterios aplicados</w:t>
      </w:r>
    </w:p>
    <w:p>
      <w:pPr>
        <w:pStyle w:val="Compact"/>
        <w:numPr>
          <w:ilvl w:val="0"/>
          <w:numId w:val="1004"/>
        </w:numPr>
      </w:pPr>
      <w:r>
        <w:t xml:space="preserve">ventana temporal: 2023-2025</w:t>
      </w:r>
    </w:p>
    <w:p>
      <w:pPr>
        <w:pStyle w:val="Compact"/>
        <w:numPr>
          <w:ilvl w:val="0"/>
          <w:numId w:val="1004"/>
        </w:numPr>
      </w:pPr>
      <w:r>
        <w:t xml:space="preserve">tipo de documento: journal article</w:t>
      </w:r>
    </w:p>
    <w:p>
      <w:pPr>
        <w:pStyle w:val="Compact"/>
        <w:numPr>
          <w:ilvl w:val="0"/>
          <w:numId w:val="1004"/>
        </w:numPr>
      </w:pPr>
      <w:r>
        <w:t xml:space="preserve">idioma: inglés preferente (y español cuando aporte contexto local)</w:t>
      </w:r>
    </w:p>
    <w:p>
      <w:pPr>
        <w:pStyle w:val="Compact"/>
        <w:numPr>
          <w:ilvl w:val="0"/>
          <w:numId w:val="1004"/>
        </w:numPr>
      </w:pPr>
      <w:r>
        <w:t xml:space="preserve">foco temático: interoperabilidad técnica, semántica y operativa de historias clínicas</w:t>
      </w:r>
    </w:p>
    <w:bookmarkEnd w:id="14"/>
    <w:bookmarkStart w:id="15" w:name="fuentes-usadas"/>
    <w:p>
      <w:pPr>
        <w:pStyle w:val="Heading3"/>
      </w:pPr>
      <w:r>
        <w:t xml:space="preserve">Fuentes usadas</w:t>
      </w:r>
    </w:p>
    <w:p>
      <w:pPr>
        <w:pStyle w:val="Compact"/>
        <w:numPr>
          <w:ilvl w:val="0"/>
          <w:numId w:val="1005"/>
        </w:numPr>
      </w:pPr>
      <w:r>
        <w:t xml:space="preserve">Crossref API (extracción de metadatos y DOI)</w:t>
      </w:r>
    </w:p>
    <w:p>
      <w:pPr>
        <w:pStyle w:val="Compact"/>
        <w:numPr>
          <w:ilvl w:val="0"/>
          <w:numId w:val="1005"/>
        </w:numPr>
      </w:pPr>
      <w:r>
        <w:t xml:space="preserve">Páginas institucionales de estándares (HL7, DICOM, OMS)</w:t>
      </w:r>
    </w:p>
    <w:bookmarkEnd w:id="15"/>
    <w:bookmarkStart w:id="16" w:name="nota-metodológica"/>
    <w:p>
      <w:pPr>
        <w:pStyle w:val="Heading3"/>
      </w:pPr>
      <w:r>
        <w:t xml:space="preserve">Nota metodológica</w:t>
      </w:r>
    </w:p>
    <w:p>
      <w:pPr>
        <w:pStyle w:val="FirstParagraph"/>
      </w:pPr>
      <w:r>
        <w:t xml:space="preserve">El criterio de cuartil Q1/Q2 no se puede confirmar al 100% solo con Crossref; para defensa formal se recomienda validar cada revista en Scopus/SCImago o Web of Science.</w:t>
      </w:r>
    </w:p>
    <w:bookmarkEnd w:id="16"/>
    <w:bookmarkEnd w:id="17"/>
    <w:bookmarkStart w:id="24" w:name="Xde1451763cb2a0b9ec473310a1d6a4cd1243e39"/>
    <w:p>
      <w:pPr>
        <w:pStyle w:val="Heading2"/>
      </w:pPr>
      <w:r>
        <w:t xml:space="preserve">Paso 3. Artículos encontrados (selección final)</w:t>
      </w:r>
    </w:p>
    <w:p>
      <w:pPr>
        <w:pStyle w:val="FirstParagraph"/>
      </w:pPr>
      <w:r>
        <w:t xml:space="preserve">Se consolidó una muestra útil de 10 artículos recientes con DOI verificable.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Año</w:t>
            </w:r>
          </w:p>
        </w:tc>
        <w:tc>
          <w:tcPr/>
          <w:p>
            <w:pPr>
              <w:pStyle w:val="Compact"/>
            </w:pPr>
            <w:r>
              <w:t xml:space="preserve">Artículo</w:t>
            </w:r>
          </w:p>
        </w:tc>
        <w:tc>
          <w:tcPr/>
          <w:p>
            <w:pPr>
              <w:pStyle w:val="Compact"/>
            </w:pPr>
            <w:r>
              <w:t xml:space="preserve">Revista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Assessing the value of health information exchange organizations to hospital interoperability</w:t>
            </w:r>
          </w:p>
        </w:tc>
        <w:tc>
          <w:tcPr/>
          <w:p>
            <w:pPr>
              <w:pStyle w:val="Compact"/>
            </w:pPr>
            <w:r>
              <w:t xml:space="preserve">Health Affairs Scholar</w:t>
            </w:r>
          </w:p>
        </w:tc>
        <w:tc>
          <w:tcPr/>
          <w:p>
            <w:pPr>
              <w:pStyle w:val="Compact"/>
            </w:pPr>
            <w:r>
              <w:t xml:space="preserve">10.1093/haschl/qxaf133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State-of-the-Art Fast Healthcare Interoperability Resources (FHIR)-Based Data Model and Structure Implementations: Systematic Scoping Review</w:t>
            </w:r>
          </w:p>
        </w:tc>
        <w:tc>
          <w:tcPr/>
          <w:p>
            <w:pPr>
              <w:pStyle w:val="Compact"/>
            </w:pPr>
            <w:r>
              <w:t xml:space="preserve">JMIR Medical Informatics</w:t>
            </w:r>
          </w:p>
        </w:tc>
        <w:tc>
          <w:tcPr/>
          <w:p>
            <w:pPr>
              <w:pStyle w:val="Compact"/>
            </w:pPr>
            <w:r>
              <w:t xml:space="preserve">10.2196/58445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Electronic Health Record and Semantic Issues Using Fast Healthcare Interoperability Resources: Systematic Mapping Review</w:t>
            </w:r>
          </w:p>
        </w:tc>
        <w:tc>
          <w:tcPr/>
          <w:p>
            <w:pPr>
              <w:pStyle w:val="Compact"/>
            </w:pPr>
            <w:r>
              <w:t xml:space="preserve">Journal of Medical Internet Research</w:t>
            </w:r>
          </w:p>
        </w:tc>
        <w:tc>
          <w:tcPr/>
          <w:p>
            <w:pPr>
              <w:pStyle w:val="Compact"/>
            </w:pPr>
            <w:r>
              <w:t xml:space="preserve">10.2196/45209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Interoperability of health data using FHIR Mapping Language: transforming HL7 CDA to FHIR with reusable visual components</w:t>
            </w:r>
          </w:p>
        </w:tc>
        <w:tc>
          <w:tcPr/>
          <w:p>
            <w:pPr>
              <w:pStyle w:val="Compact"/>
            </w:pPr>
            <w:r>
              <w:t xml:space="preserve">Frontiers in Digital Health</w:t>
            </w:r>
          </w:p>
        </w:tc>
        <w:tc>
          <w:tcPr/>
          <w:p>
            <w:pPr>
              <w:pStyle w:val="Compact"/>
            </w:pPr>
            <w:r>
              <w:t xml:space="preserve">10.3389/fdgth.2024.1480600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Electronic Health Record Interoperability System in Peru Using Blockchain</w:t>
            </w:r>
          </w:p>
        </w:tc>
        <w:tc>
          <w:tcPr/>
          <w:p>
            <w:pPr>
              <w:pStyle w:val="Compact"/>
            </w:pPr>
            <w:r>
              <w:t xml:space="preserve">International Journal of Online and Biomedical Engineering (iJOE)</w:t>
            </w:r>
          </w:p>
        </w:tc>
        <w:tc>
          <w:tcPr/>
          <w:p>
            <w:pPr>
              <w:pStyle w:val="Compact"/>
            </w:pPr>
            <w:r>
              <w:t xml:space="preserve">10.3991/ijoe.v20i03.44507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Interoperability of heterogeneous health information systems: a systematic literature review</w:t>
            </w:r>
          </w:p>
        </w:tc>
        <w:tc>
          <w:tcPr/>
          <w:p>
            <w:pPr>
              <w:pStyle w:val="Compact"/>
            </w:pPr>
            <w:r>
              <w:t xml:space="preserve">BMC Medical Informatics and Decision Making</w:t>
            </w:r>
          </w:p>
        </w:tc>
        <w:tc>
          <w:tcPr/>
          <w:p>
            <w:pPr>
              <w:pStyle w:val="Compact"/>
            </w:pPr>
            <w:r>
              <w:t xml:space="preserve">10.1186/s12911-023-02115-5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Interoperability with multiple Fast Healthcare Interoperability Resources (FHIR) profiles and versions</w:t>
            </w:r>
          </w:p>
        </w:tc>
        <w:tc>
          <w:tcPr/>
          <w:p>
            <w:pPr>
              <w:pStyle w:val="Compact"/>
            </w:pPr>
            <w:r>
              <w:t xml:space="preserve">JAMIA Open</w:t>
            </w:r>
          </w:p>
        </w:tc>
        <w:tc>
          <w:tcPr/>
          <w:p>
            <w:pPr>
              <w:pStyle w:val="Compact"/>
            </w:pPr>
            <w:r>
              <w:t xml:space="preserve">10.1093/jamiaopen/ooad001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Federated electronic health records for the European Health Data Space</w:t>
            </w:r>
          </w:p>
        </w:tc>
        <w:tc>
          <w:tcPr/>
          <w:p>
            <w:pPr>
              <w:pStyle w:val="Compact"/>
            </w:pPr>
            <w:r>
              <w:t xml:space="preserve">The Lancet Digital Health</w:t>
            </w:r>
          </w:p>
        </w:tc>
        <w:tc>
          <w:tcPr/>
          <w:p>
            <w:pPr>
              <w:pStyle w:val="Compact"/>
            </w:pPr>
            <w:r>
              <w:t xml:space="preserve">10.1016/S2589-7500(23)00156-5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Electronic health record interoperability using FHIR and blockchain: A bibliometric analysis and future perspective</w:t>
            </w:r>
          </w:p>
        </w:tc>
        <w:tc>
          <w:tcPr/>
          <w:p>
            <w:pPr>
              <w:pStyle w:val="Compact"/>
            </w:pPr>
            <w:r>
              <w:t xml:space="preserve">Perspectives in Clinical Research</w:t>
            </w:r>
          </w:p>
        </w:tc>
        <w:tc>
          <w:tcPr/>
          <w:p>
            <w:pPr>
              <w:pStyle w:val="Compact"/>
            </w:pPr>
            <w:r>
              <w:t xml:space="preserve">10.4103/picr.picr_272_22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Interoperability of Clinical Data through FHIR: A review</w:t>
            </w:r>
          </w:p>
        </w:tc>
        <w:tc>
          <w:tcPr/>
          <w:p>
            <w:pPr>
              <w:pStyle w:val="Compact"/>
            </w:pPr>
            <w:r>
              <w:t xml:space="preserve">Procedia Computer Science</w:t>
            </w:r>
          </w:p>
        </w:tc>
        <w:tc>
          <w:tcPr/>
          <w:p>
            <w:pPr>
              <w:pStyle w:val="Compact"/>
            </w:pPr>
            <w:r>
              <w:t xml:space="preserve">10.1016/j.procs.2023.03.115</w:t>
            </w:r>
          </w:p>
        </w:tc>
      </w:tr>
    </w:tbl>
    <w:p>
      <w:pPr>
        <w:pStyle w:val="BodyText"/>
      </w:pPr>
      <w:r>
        <w:t xml:space="preserve">Archivos de soporte generados:</w:t>
      </w:r>
    </w:p>
    <w:p>
      <w:pPr>
        <w:pStyle w:val="Compact"/>
        <w:numPr>
          <w:ilvl w:val="0"/>
          <w:numId w:val="1006"/>
        </w:numPr>
      </w:pPr>
      <w:r>
        <w:t xml:space="preserve">articulos-seleccionados.csv</w:t>
      </w:r>
    </w:p>
    <w:p>
      <w:pPr>
        <w:pStyle w:val="Compact"/>
        <w:numPr>
          <w:ilvl w:val="0"/>
          <w:numId w:val="1006"/>
        </w:numPr>
      </w:pPr>
      <w:r>
        <w:t xml:space="preserve">articulos-seleccionados.json</w:t>
      </w:r>
    </w:p>
    <w:bookmarkStart w:id="23" w:name="X20ac349714f3f69d26a48221eba8f307c4ac7bf"/>
    <w:p>
      <w:pPr>
        <w:pStyle w:val="Heading3"/>
      </w:pPr>
      <w:r>
        <w:t xml:space="preserve">Síntesis por categorías (según los artículos)</w:t>
      </w:r>
    </w:p>
    <w:bookmarkStart w:id="18" w:name="modelos-identificados"/>
    <w:p>
      <w:pPr>
        <w:pStyle w:val="Heading4"/>
      </w:pPr>
      <w:r>
        <w:t xml:space="preserve">Modelos identificados</w:t>
      </w:r>
    </w:p>
    <w:p>
      <w:pPr>
        <w:pStyle w:val="Compact"/>
        <w:numPr>
          <w:ilvl w:val="0"/>
          <w:numId w:val="1007"/>
        </w:numPr>
      </w:pPr>
      <w:r>
        <w:t xml:space="preserve">modelos de arquitectura federada para intercambio clínico</w:t>
      </w:r>
    </w:p>
    <w:p>
      <w:pPr>
        <w:pStyle w:val="Compact"/>
        <w:numPr>
          <w:ilvl w:val="0"/>
          <w:numId w:val="1007"/>
        </w:numPr>
      </w:pPr>
      <w:r>
        <w:t xml:space="preserve">modelos de mapeo semántico CDA-FHIR</w:t>
      </w:r>
    </w:p>
    <w:p>
      <w:pPr>
        <w:pStyle w:val="Compact"/>
        <w:numPr>
          <w:ilvl w:val="0"/>
          <w:numId w:val="1007"/>
        </w:numPr>
      </w:pPr>
      <w:r>
        <w:t xml:space="preserve">modelos de interoperabilidad con blockchain + FHIR</w:t>
      </w:r>
    </w:p>
    <w:p>
      <w:pPr>
        <w:pStyle w:val="Compact"/>
        <w:numPr>
          <w:ilvl w:val="0"/>
          <w:numId w:val="1007"/>
        </w:numPr>
      </w:pPr>
      <w:r>
        <w:t xml:space="preserve">modelos organizacionales de HIE/HIO para interoperabilidad hospitalaria</w:t>
      </w:r>
    </w:p>
    <w:p>
      <w:pPr>
        <w:pStyle w:val="Compact"/>
        <w:numPr>
          <w:ilvl w:val="0"/>
          <w:numId w:val="1007"/>
        </w:numPr>
      </w:pPr>
      <w:r>
        <w:t xml:space="preserve">modelos de evaluación de compatibilidad de perfiles FHIR</w:t>
      </w:r>
    </w:p>
    <w:bookmarkEnd w:id="18"/>
    <w:bookmarkStart w:id="19" w:name="metodologías-predominantes"/>
    <w:p>
      <w:pPr>
        <w:pStyle w:val="Heading4"/>
      </w:pPr>
      <w:r>
        <w:t xml:space="preserve">Metodologías predominantes</w:t>
      </w:r>
    </w:p>
    <w:p>
      <w:pPr>
        <w:pStyle w:val="Compact"/>
        <w:numPr>
          <w:ilvl w:val="0"/>
          <w:numId w:val="1008"/>
        </w:numPr>
      </w:pPr>
      <w:r>
        <w:t xml:space="preserve">revisiones sistemáticas</w:t>
      </w:r>
    </w:p>
    <w:p>
      <w:pPr>
        <w:pStyle w:val="Compact"/>
        <w:numPr>
          <w:ilvl w:val="0"/>
          <w:numId w:val="1008"/>
        </w:numPr>
      </w:pPr>
      <w:r>
        <w:t xml:space="preserve">scoping reviews</w:t>
      </w:r>
    </w:p>
    <w:p>
      <w:pPr>
        <w:pStyle w:val="Compact"/>
        <w:numPr>
          <w:ilvl w:val="0"/>
          <w:numId w:val="1008"/>
        </w:numPr>
      </w:pPr>
      <w:r>
        <w:t xml:space="preserve">systematic mapping reviews</w:t>
      </w:r>
    </w:p>
    <w:p>
      <w:pPr>
        <w:pStyle w:val="Compact"/>
        <w:numPr>
          <w:ilvl w:val="0"/>
          <w:numId w:val="1008"/>
        </w:numPr>
      </w:pPr>
      <w:r>
        <w:t xml:space="preserve">análisis bibliométrico</w:t>
      </w:r>
    </w:p>
    <w:p>
      <w:pPr>
        <w:pStyle w:val="Compact"/>
        <w:numPr>
          <w:ilvl w:val="0"/>
          <w:numId w:val="1008"/>
        </w:numPr>
      </w:pPr>
      <w:r>
        <w:t xml:space="preserve">estudios de implementación/prototipo</w:t>
      </w:r>
    </w:p>
    <w:bookmarkEnd w:id="19"/>
    <w:bookmarkStart w:id="20" w:name="métodos-recurrentes"/>
    <w:p>
      <w:pPr>
        <w:pStyle w:val="Heading4"/>
      </w:pPr>
      <w:r>
        <w:t xml:space="preserve">Métodos recurrentes</w:t>
      </w:r>
    </w:p>
    <w:p>
      <w:pPr>
        <w:pStyle w:val="Compact"/>
        <w:numPr>
          <w:ilvl w:val="0"/>
          <w:numId w:val="1009"/>
        </w:numPr>
      </w:pPr>
      <w:r>
        <w:t xml:space="preserve">mapeo terminológico y semántico</w:t>
      </w:r>
    </w:p>
    <w:p>
      <w:pPr>
        <w:pStyle w:val="Compact"/>
        <w:numPr>
          <w:ilvl w:val="0"/>
          <w:numId w:val="1009"/>
        </w:numPr>
      </w:pPr>
      <w:r>
        <w:t xml:space="preserve">transformación de estructuras clínicas a FHIR</w:t>
      </w:r>
    </w:p>
    <w:p>
      <w:pPr>
        <w:pStyle w:val="Compact"/>
        <w:numPr>
          <w:ilvl w:val="0"/>
          <w:numId w:val="1009"/>
        </w:numPr>
      </w:pPr>
      <w:r>
        <w:t xml:space="preserve">diseño de arquitectura interoperable</w:t>
      </w:r>
    </w:p>
    <w:p>
      <w:pPr>
        <w:pStyle w:val="Compact"/>
        <w:numPr>
          <w:ilvl w:val="0"/>
          <w:numId w:val="1009"/>
        </w:numPr>
      </w:pPr>
      <w:r>
        <w:t xml:space="preserve">evaluación de intercambio entre perfiles/servidores</w:t>
      </w:r>
    </w:p>
    <w:p>
      <w:pPr>
        <w:pStyle w:val="Compact"/>
        <w:numPr>
          <w:ilvl w:val="0"/>
          <w:numId w:val="1009"/>
        </w:numPr>
      </w:pPr>
      <w:r>
        <w:t xml:space="preserve">medición de adopción institucional de intercambio</w:t>
      </w:r>
    </w:p>
    <w:bookmarkEnd w:id="20"/>
    <w:bookmarkStart w:id="21" w:name="técnicas"/>
    <w:p>
      <w:pPr>
        <w:pStyle w:val="Heading4"/>
      </w:pPr>
      <w:r>
        <w:t xml:space="preserve">Técnicas</w:t>
      </w:r>
    </w:p>
    <w:p>
      <w:pPr>
        <w:pStyle w:val="Compact"/>
        <w:numPr>
          <w:ilvl w:val="0"/>
          <w:numId w:val="1010"/>
        </w:numPr>
      </w:pPr>
      <w:r>
        <w:t xml:space="preserve">HL7 FHIR profiles/resources</w:t>
      </w:r>
    </w:p>
    <w:p>
      <w:pPr>
        <w:pStyle w:val="Compact"/>
        <w:numPr>
          <w:ilvl w:val="0"/>
          <w:numId w:val="1010"/>
        </w:numPr>
      </w:pPr>
      <w:r>
        <w:t xml:space="preserve">CDA to FHIR mapping</w:t>
      </w:r>
    </w:p>
    <w:p>
      <w:pPr>
        <w:pStyle w:val="Compact"/>
        <w:numPr>
          <w:ilvl w:val="0"/>
          <w:numId w:val="1010"/>
        </w:numPr>
      </w:pPr>
      <w:r>
        <w:t xml:space="preserve">terminología clínica estandarizada</w:t>
      </w:r>
    </w:p>
    <w:p>
      <w:pPr>
        <w:pStyle w:val="Compact"/>
        <w:numPr>
          <w:ilvl w:val="0"/>
          <w:numId w:val="1010"/>
        </w:numPr>
      </w:pPr>
      <w:r>
        <w:t xml:space="preserve">APIs de interoperabilidad</w:t>
      </w:r>
    </w:p>
    <w:p>
      <w:pPr>
        <w:pStyle w:val="Compact"/>
        <w:numPr>
          <w:ilvl w:val="0"/>
          <w:numId w:val="1010"/>
        </w:numPr>
      </w:pPr>
      <w:r>
        <w:t xml:space="preserve">trazabilidad y control de acceso</w:t>
      </w:r>
    </w:p>
    <w:bookmarkEnd w:id="21"/>
    <w:bookmarkStart w:id="22" w:name="frameworksestándares-más-citados"/>
    <w:p>
      <w:pPr>
        <w:pStyle w:val="Heading4"/>
      </w:pPr>
      <w:r>
        <w:t xml:space="preserve">Frameworks/estándares más citados</w:t>
      </w:r>
    </w:p>
    <w:p>
      <w:pPr>
        <w:pStyle w:val="Compact"/>
        <w:numPr>
          <w:ilvl w:val="0"/>
          <w:numId w:val="1011"/>
        </w:numPr>
      </w:pPr>
      <w:r>
        <w:t xml:space="preserve">HL7 FHIR</w:t>
      </w:r>
    </w:p>
    <w:p>
      <w:pPr>
        <w:pStyle w:val="Compact"/>
        <w:numPr>
          <w:ilvl w:val="0"/>
          <w:numId w:val="1011"/>
        </w:numPr>
      </w:pPr>
      <w:r>
        <w:t xml:space="preserve">HL7 CDA</w:t>
      </w:r>
    </w:p>
    <w:p>
      <w:pPr>
        <w:pStyle w:val="Compact"/>
        <w:numPr>
          <w:ilvl w:val="0"/>
          <w:numId w:val="1011"/>
        </w:numPr>
      </w:pPr>
      <w:r>
        <w:t xml:space="preserve">DICOM (en integración de imágenes)</w:t>
      </w:r>
    </w:p>
    <w:p>
      <w:pPr>
        <w:pStyle w:val="Compact"/>
        <w:numPr>
          <w:ilvl w:val="0"/>
          <w:numId w:val="1011"/>
        </w:numPr>
      </w:pPr>
      <w:r>
        <w:t xml:space="preserve">marcos de HIE/HIO</w:t>
      </w:r>
    </w:p>
    <w:bookmarkEnd w:id="22"/>
    <w:bookmarkEnd w:id="23"/>
    <w:bookmarkEnd w:id="24"/>
    <w:bookmarkStart w:id="25" w:name="Xb1e84a43c6ad931875a14756788539bd871ee8d"/>
    <w:p>
      <w:pPr>
        <w:pStyle w:val="Heading2"/>
      </w:pPr>
      <w:r>
        <w:t xml:space="preserve">Paso 4. Título refinado (formato solicitado)</w:t>
      </w:r>
    </w:p>
    <w:p>
      <w:pPr>
        <w:pStyle w:val="FirstParagraph"/>
      </w:pPr>
      <w:r>
        <w:t xml:space="preserve">Formato: Aporte/Propuesta + Técnica + Problema + Escenario</w:t>
      </w:r>
    </w:p>
    <w:p>
      <w:pPr>
        <w:pStyle w:val="BodyText"/>
      </w:pPr>
      <w:r>
        <w:t xml:space="preserve">Título propuesto:</w:t>
      </w:r>
    </w:p>
    <w:p>
      <w:pPr>
        <w:pStyle w:val="BodyText"/>
      </w:pPr>
      <w:r>
        <w:t xml:space="preserve">Modelo de evaluación y predicción del riesgo de fragmentación de historias clínicas basado en estándares de interoperabilidad y aprendizaje automático en centros de salud MINSA del ámbito SIS en Lima.</w:t>
      </w:r>
    </w:p>
    <w:p>
      <w:pPr>
        <w:pStyle w:val="BodyText"/>
      </w:pPr>
      <w:r>
        <w:t xml:space="preserve">Desglose del formato:</w:t>
      </w:r>
    </w:p>
    <w:p>
      <w:pPr>
        <w:pStyle w:val="Compact"/>
        <w:numPr>
          <w:ilvl w:val="0"/>
          <w:numId w:val="1012"/>
        </w:numPr>
      </w:pPr>
      <w:r>
        <w:t xml:space="preserve">Aporte/Propuesta: Modelo de evaluación y predicción del riesgo de fragmentación.</w:t>
      </w:r>
    </w:p>
    <w:p>
      <w:pPr>
        <w:pStyle w:val="Compact"/>
        <w:numPr>
          <w:ilvl w:val="0"/>
          <w:numId w:val="1012"/>
        </w:numPr>
      </w:pPr>
      <w:r>
        <w:t xml:space="preserve">Técnica: Estándares de interoperabilidad + aprendizaje automático supervisado.</w:t>
      </w:r>
    </w:p>
    <w:p>
      <w:pPr>
        <w:pStyle w:val="Compact"/>
        <w:numPr>
          <w:ilvl w:val="0"/>
          <w:numId w:val="1012"/>
        </w:numPr>
      </w:pPr>
      <w:r>
        <w:t xml:space="preserve">Problema: Deficiencias de interoperabilidad y gestión de historia clínica SIS.</w:t>
      </w:r>
    </w:p>
    <w:p>
      <w:pPr>
        <w:pStyle w:val="Compact"/>
        <w:numPr>
          <w:ilvl w:val="0"/>
          <w:numId w:val="1012"/>
        </w:numPr>
      </w:pPr>
      <w:r>
        <w:t xml:space="preserve">Escenario: Centros de salud MINSA (Lima, con posibilidad de escalar a otras regiones).</w:t>
      </w:r>
    </w:p>
    <w:bookmarkEnd w:id="25"/>
    <w:bookmarkStart w:id="26" w:name="paso-5.-problema-general-refinado"/>
    <w:p>
      <w:pPr>
        <w:pStyle w:val="Heading2"/>
      </w:pPr>
      <w:r>
        <w:t xml:space="preserve">Paso 5. Problema general refinado</w:t>
      </w:r>
    </w:p>
    <w:p>
      <w:pPr>
        <w:pStyle w:val="FirstParagraph"/>
      </w:pPr>
      <w:r>
        <w:t xml:space="preserve">¿De qué manera un modelo de evaluación y predicción, basado en indicadores de interoperabilidad técnica y semántica, permitirá estimar el riesgo de fragmentación de historias clínicas de pacientes SIS en centros de salud del MINSA en Lima?</w:t>
      </w:r>
    </w:p>
    <w:bookmarkEnd w:id="26"/>
    <w:bookmarkStart w:id="27" w:name="X39c12490197e03639c953718a852cf34e21ae61"/>
    <w:p>
      <w:pPr>
        <w:pStyle w:val="Heading2"/>
      </w:pPr>
      <w:r>
        <w:t xml:space="preserve">Paso 6. Problemas específicos (alineados al esquema de clase)</w:t>
      </w:r>
    </w:p>
    <w:p>
      <w:pPr>
        <w:pStyle w:val="Compact"/>
        <w:numPr>
          <w:ilvl w:val="0"/>
          <w:numId w:val="1013"/>
        </w:numPr>
      </w:pPr>
      <w:r>
        <w:t xml:space="preserve">¿Qué variables de entrada (técnicas, semánticas, organizacionales y de proceso) influyen de forma significativa en la fragmentación de historias clínicas de pacientes SIS?</w:t>
      </w:r>
    </w:p>
    <w:p>
      <w:pPr>
        <w:pStyle w:val="Compact"/>
        <w:numPr>
          <w:ilvl w:val="0"/>
          <w:numId w:val="1013"/>
        </w:numPr>
      </w:pPr>
      <w:r>
        <w:t xml:space="preserve">¿Qué técnicas o algoritmos permiten estimar con mayor confiabilidad la probabilidad de fragmentación e inconsistencia del dato clínico?</w:t>
      </w:r>
    </w:p>
    <w:p>
      <w:pPr>
        <w:pStyle w:val="Compact"/>
        <w:numPr>
          <w:ilvl w:val="0"/>
          <w:numId w:val="1013"/>
        </w:numPr>
      </w:pPr>
      <w:r>
        <w:t xml:space="preserve">¿Qué nivel de desempeño (AUC-ROC, F1, precisión, sensibilidad) demuestra capacidad predictiva suficiente para apoyar decisiones de mejora en interoperabilidad?</w:t>
      </w:r>
    </w:p>
    <w:bookmarkEnd w:id="27"/>
    <w:bookmarkStart w:id="31" w:name="X6f074255798dd3fb41d929f0be2661062ccbfec"/>
    <w:p>
      <w:pPr>
        <w:pStyle w:val="Heading2"/>
      </w:pPr>
      <w:r>
        <w:t xml:space="preserve">Paso 7. Variables para el modelo específico</w:t>
      </w:r>
    </w:p>
    <w:bookmarkStart w:id="28" w:name="variables-de-entrada-sugeridas"/>
    <w:p>
      <w:pPr>
        <w:pStyle w:val="Heading3"/>
      </w:pPr>
      <w:r>
        <w:t xml:space="preserve">Variables de entrada sugeridas</w:t>
      </w:r>
    </w:p>
    <w:p>
      <w:pPr>
        <w:pStyle w:val="Compact"/>
        <w:numPr>
          <w:ilvl w:val="0"/>
          <w:numId w:val="1014"/>
        </w:numPr>
      </w:pPr>
      <w:r>
        <w:t xml:space="preserve">porcentaje de campos obligatorios completos</w:t>
      </w:r>
    </w:p>
    <w:p>
      <w:pPr>
        <w:pStyle w:val="Compact"/>
        <w:numPr>
          <w:ilvl w:val="0"/>
          <w:numId w:val="1014"/>
        </w:numPr>
      </w:pPr>
      <w:r>
        <w:t xml:space="preserve">porcentaje de diagnósticos codificados en CIE-10 válidos</w:t>
      </w:r>
    </w:p>
    <w:p>
      <w:pPr>
        <w:pStyle w:val="Compact"/>
        <w:numPr>
          <w:ilvl w:val="0"/>
          <w:numId w:val="1014"/>
        </w:numPr>
      </w:pPr>
      <w:r>
        <w:t xml:space="preserve">porcentaje de procedimientos codificados en CPMS válidos</w:t>
      </w:r>
    </w:p>
    <w:p>
      <w:pPr>
        <w:pStyle w:val="Compact"/>
        <w:numPr>
          <w:ilvl w:val="0"/>
          <w:numId w:val="1014"/>
        </w:numPr>
      </w:pPr>
      <w:r>
        <w:t xml:space="preserve">sincronización de catálogos IEDS (sí/no y frecuencia)</w:t>
      </w:r>
    </w:p>
    <w:p>
      <w:pPr>
        <w:pStyle w:val="Compact"/>
        <w:numPr>
          <w:ilvl w:val="0"/>
          <w:numId w:val="1014"/>
        </w:numPr>
      </w:pPr>
      <w:r>
        <w:t xml:space="preserve">disponibilidad de conexión operativa a PIDESALUD</w:t>
      </w:r>
    </w:p>
    <w:p>
      <w:pPr>
        <w:pStyle w:val="Compact"/>
        <w:numPr>
          <w:ilvl w:val="0"/>
          <w:numId w:val="1014"/>
        </w:numPr>
      </w:pPr>
      <w:r>
        <w:t xml:space="preserve">número de duplicados por paciente/atención</w:t>
      </w:r>
    </w:p>
    <w:p>
      <w:pPr>
        <w:pStyle w:val="Compact"/>
        <w:numPr>
          <w:ilvl w:val="0"/>
          <w:numId w:val="1014"/>
        </w:numPr>
      </w:pPr>
      <w:r>
        <w:t xml:space="preserve">tiempo de validación administrativa SIS</w:t>
      </w:r>
    </w:p>
    <w:p>
      <w:pPr>
        <w:pStyle w:val="Compact"/>
        <w:numPr>
          <w:ilvl w:val="0"/>
          <w:numId w:val="1014"/>
        </w:numPr>
      </w:pPr>
      <w:r>
        <w:t xml:space="preserve">disponibilidad de trazabilidad/auditoría de accesos</w:t>
      </w:r>
    </w:p>
    <w:bookmarkEnd w:id="28"/>
    <w:bookmarkStart w:id="29" w:name="variable-objetivo-target"/>
    <w:p>
      <w:pPr>
        <w:pStyle w:val="Heading3"/>
      </w:pPr>
      <w:r>
        <w:t xml:space="preserve">Variable objetivo (target)</w:t>
      </w:r>
    </w:p>
    <w:p>
      <w:pPr>
        <w:pStyle w:val="Compact"/>
        <w:numPr>
          <w:ilvl w:val="0"/>
          <w:numId w:val="1015"/>
        </w:numPr>
      </w:pPr>
      <w:r>
        <w:t xml:space="preserve">riesgo de fragmentación de historia clínica: bajo, medio, alto</w:t>
      </w:r>
    </w:p>
    <w:bookmarkEnd w:id="29"/>
    <w:bookmarkStart w:id="30" w:name="métricas-sugeridas"/>
    <w:p>
      <w:pPr>
        <w:pStyle w:val="Heading3"/>
      </w:pPr>
      <w:r>
        <w:t xml:space="preserve">Métricas sugeridas</w:t>
      </w:r>
    </w:p>
    <w:p>
      <w:pPr>
        <w:pStyle w:val="Compact"/>
        <w:numPr>
          <w:ilvl w:val="0"/>
          <w:numId w:val="1016"/>
        </w:numPr>
      </w:pPr>
      <w:r>
        <w:t xml:space="preserve">AUC-ROC</w:t>
      </w:r>
    </w:p>
    <w:p>
      <w:pPr>
        <w:pStyle w:val="Compact"/>
        <w:numPr>
          <w:ilvl w:val="0"/>
          <w:numId w:val="1016"/>
        </w:numPr>
      </w:pPr>
      <w:r>
        <w:t xml:space="preserve">F1-score</w:t>
      </w:r>
    </w:p>
    <w:p>
      <w:pPr>
        <w:pStyle w:val="Compact"/>
        <w:numPr>
          <w:ilvl w:val="0"/>
          <w:numId w:val="1016"/>
        </w:numPr>
      </w:pPr>
      <w:r>
        <w:t xml:space="preserve">precisión</w:t>
      </w:r>
    </w:p>
    <w:p>
      <w:pPr>
        <w:pStyle w:val="Compact"/>
        <w:numPr>
          <w:ilvl w:val="0"/>
          <w:numId w:val="1016"/>
        </w:numPr>
      </w:pPr>
      <w:r>
        <w:t xml:space="preserve">sensibilidad/recall</w:t>
      </w:r>
    </w:p>
    <w:p>
      <w:pPr>
        <w:pStyle w:val="Compact"/>
        <w:numPr>
          <w:ilvl w:val="0"/>
          <w:numId w:val="1016"/>
        </w:numPr>
      </w:pPr>
      <w:r>
        <w:t xml:space="preserve">matriz de confusión</w:t>
      </w:r>
    </w:p>
    <w:bookmarkEnd w:id="30"/>
    <w:bookmarkEnd w:id="31"/>
    <w:bookmarkStart w:id="32" w:name="paso-8.-lista-de-trabajo-para-continuar"/>
    <w:p>
      <w:pPr>
        <w:pStyle w:val="Heading2"/>
      </w:pPr>
      <w:r>
        <w:t xml:space="preserve">Paso 8. Lista de trabajo para continuar</w:t>
      </w:r>
    </w:p>
    <w:p>
      <w:pPr>
        <w:pStyle w:val="Compact"/>
        <w:numPr>
          <w:ilvl w:val="0"/>
          <w:numId w:val="1017"/>
        </w:numPr>
      </w:pPr>
      <w:r>
        <w:t xml:space="preserve">Definir muestra de establecimientos (mínimo 3 niveles de complejidad).</w:t>
      </w:r>
    </w:p>
    <w:p>
      <w:pPr>
        <w:pStyle w:val="Compact"/>
        <w:numPr>
          <w:ilvl w:val="0"/>
          <w:numId w:val="1017"/>
        </w:numPr>
      </w:pPr>
      <w:r>
        <w:t xml:space="preserve">Construir ficha de levantamiento de datos por establecimiento.</w:t>
      </w:r>
    </w:p>
    <w:p>
      <w:pPr>
        <w:pStyle w:val="Compact"/>
        <w:numPr>
          <w:ilvl w:val="0"/>
          <w:numId w:val="1017"/>
        </w:numPr>
      </w:pPr>
      <w:r>
        <w:t xml:space="preserve">Operacionalizar cada variable con fórmula y fuente.</w:t>
      </w:r>
    </w:p>
    <w:p>
      <w:pPr>
        <w:pStyle w:val="Compact"/>
        <w:numPr>
          <w:ilvl w:val="0"/>
          <w:numId w:val="1017"/>
        </w:numPr>
      </w:pPr>
      <w:r>
        <w:t xml:space="preserve">Ejecutar prueba piloto de calidad de datos.</w:t>
      </w:r>
    </w:p>
    <w:p>
      <w:pPr>
        <w:pStyle w:val="Compact"/>
        <w:numPr>
          <w:ilvl w:val="0"/>
          <w:numId w:val="1017"/>
        </w:numPr>
      </w:pPr>
      <w:r>
        <w:t xml:space="preserve">Entrenar y comparar 2-4 algoritmos base (ejemplo: regresión logística, random forest, XGBoost, árbol de decisión).</w:t>
      </w:r>
    </w:p>
    <w:p>
      <w:pPr>
        <w:pStyle w:val="Compact"/>
        <w:numPr>
          <w:ilvl w:val="0"/>
          <w:numId w:val="1017"/>
        </w:numPr>
      </w:pPr>
      <w:r>
        <w:t xml:space="preserve">Validar desempeño y seleccionar modelo final.</w:t>
      </w:r>
    </w:p>
    <w:bookmarkEnd w:id="32"/>
    <w:bookmarkStart w:id="33" w:name="entregable-de-diagrama"/>
    <w:p>
      <w:pPr>
        <w:pStyle w:val="Heading2"/>
      </w:pPr>
      <w:r>
        <w:t xml:space="preserve">Entregable de diagrama</w:t>
      </w:r>
    </w:p>
    <w:p>
      <w:pPr>
        <w:pStyle w:val="FirstParagraph"/>
      </w:pPr>
      <w:r>
        <w:t xml:space="preserve">Se creó el diagrama específico del problema en:</w:t>
      </w:r>
    </w:p>
    <w:p>
      <w:pPr>
        <w:pStyle w:val="Compact"/>
        <w:numPr>
          <w:ilvl w:val="0"/>
          <w:numId w:val="1018"/>
        </w:numPr>
      </w:pPr>
      <w:r>
        <w:t xml:space="preserve">diagrama-problema-especifico.puml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2026-03-18T23:30:52Z</dcterms:created>
  <dcterms:modified xsi:type="dcterms:W3CDTF">2026-03-18T23:30:52Z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