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A973"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2FA3590D" w14:textId="77777777" w:rsidR="006F33B7" w:rsidRDefault="006F33B7" w:rsidP="006F33B7">
      <w:pPr>
        <w:pStyle w:val="Portada-Centrado"/>
        <w:spacing w:before="0" w:after="0" w:line="240" w:lineRule="auto"/>
      </w:pPr>
    </w:p>
    <w:p w14:paraId="289C0B03" w14:textId="77777777" w:rsidR="00CA7350" w:rsidRDefault="00A134DE">
      <w:pPr>
        <w:pStyle w:val="Portada-Centrado"/>
        <w:spacing w:after="280" w:line="276" w:lineRule="auto"/>
      </w:pPr>
      <w:r>
        <w:rPr>
          <w:b/>
          <w:bCs/>
          <w:sz w:val="34"/>
        </w:rPr>
        <w:t>MAESTRÍA EN INGENIERÍA DE SOFTWARE</w:t>
      </w:r>
    </w:p>
    <w:p w14:paraId="055F29EA" w14:textId="77777777" w:rsidR="00CA7350" w:rsidRDefault="00A134DE">
      <w:pPr>
        <w:pStyle w:val="Portada-Centrado"/>
        <w:spacing w:after="360" w:line="276" w:lineRule="auto"/>
      </w:pPr>
      <w:r>
        <w:rPr>
          <w:b/>
          <w:bCs/>
          <w:sz w:val="32"/>
        </w:rPr>
        <w:t>PROYECTO DE TESIS</w:t>
      </w:r>
    </w:p>
    <w:p w14:paraId="2ED7B5D9" w14:textId="77777777" w:rsidR="00CA7350" w:rsidRDefault="00A134DE">
      <w:pPr>
        <w:pStyle w:val="Portada-Centrado"/>
        <w:spacing w:before="0" w:after="360" w:line="276" w:lineRule="auto"/>
      </w:pPr>
      <w:r>
        <w:t> </w:t>
      </w:r>
    </w:p>
    <w:p w14:paraId="24681662"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482F6B31" w14:textId="77777777" w:rsidR="00CA7350" w:rsidRDefault="00A134DE">
      <w:pPr>
        <w:pStyle w:val="Portada-Centrado"/>
        <w:spacing w:before="0" w:after="360" w:line="276" w:lineRule="auto"/>
      </w:pPr>
      <w:r>
        <w:t> </w:t>
      </w:r>
    </w:p>
    <w:p w14:paraId="5E301C7A" w14:textId="77777777" w:rsidR="00CA7350" w:rsidRDefault="00A134DE">
      <w:pPr>
        <w:pStyle w:val="Portada-Centrado"/>
        <w:spacing w:after="240" w:line="276" w:lineRule="auto"/>
      </w:pPr>
      <w:r>
        <w:rPr>
          <w:sz w:val="28"/>
        </w:rPr>
        <w:t>PRESENTADO POR:</w:t>
      </w:r>
    </w:p>
    <w:p w14:paraId="76C160D0" w14:textId="77777777" w:rsidR="00CA7350" w:rsidRDefault="00A134DE">
      <w:pPr>
        <w:pStyle w:val="Portada-Centrado"/>
        <w:spacing w:after="140" w:line="276" w:lineRule="auto"/>
      </w:pPr>
      <w:r>
        <w:rPr>
          <w:b/>
          <w:bCs/>
          <w:sz w:val="28"/>
        </w:rPr>
        <w:t>Bach. Cangalaya Carrasco Henry Miguel</w:t>
      </w:r>
    </w:p>
    <w:p w14:paraId="73AC0C5D"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2A632EEB"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3A0BACD6" w14:textId="77777777" w:rsidR="00CA7350" w:rsidRDefault="00A134DE">
      <w:pPr>
        <w:pStyle w:val="Portada-Centrado"/>
        <w:spacing w:before="0" w:after="360" w:line="276" w:lineRule="auto"/>
      </w:pPr>
      <w:r>
        <w:t> </w:t>
      </w:r>
    </w:p>
    <w:p w14:paraId="6CF261CF" w14:textId="77777777" w:rsidR="00CA7350" w:rsidRDefault="00A134DE">
      <w:pPr>
        <w:pStyle w:val="Portada-Centrado"/>
        <w:spacing w:before="200" w:after="240" w:line="276" w:lineRule="auto"/>
      </w:pPr>
      <w:r>
        <w:rPr>
          <w:sz w:val="28"/>
        </w:rPr>
        <w:t>PARA OPTAR EL GRADO ACADÉMICO DE:</w:t>
      </w:r>
    </w:p>
    <w:p w14:paraId="299F3AC3" w14:textId="77777777" w:rsidR="00CA7350" w:rsidRDefault="00A134DE">
      <w:pPr>
        <w:pStyle w:val="Portada-Centrado"/>
        <w:spacing w:after="200" w:line="276" w:lineRule="auto"/>
      </w:pPr>
      <w:r>
        <w:rPr>
          <w:b/>
          <w:bCs/>
          <w:sz w:val="32"/>
        </w:rPr>
        <w:t>MAESTRO(A) EN INGENIERÍA DE SOFTWARE</w:t>
      </w:r>
    </w:p>
    <w:p w14:paraId="5C9E085B" w14:textId="77777777" w:rsidR="00CA7350" w:rsidRDefault="00A134DE">
      <w:pPr>
        <w:pStyle w:val="Portada-Centrado"/>
        <w:spacing w:before="0" w:after="360" w:line="276" w:lineRule="auto"/>
      </w:pPr>
      <w:r>
        <w:t> </w:t>
      </w:r>
    </w:p>
    <w:p w14:paraId="35B369C5" w14:textId="77777777" w:rsidR="00CA7350" w:rsidRDefault="00A134DE">
      <w:pPr>
        <w:pStyle w:val="Portada-Centrado"/>
        <w:spacing w:line="276" w:lineRule="auto"/>
      </w:pPr>
      <w:r>
        <w:rPr>
          <w:b/>
          <w:bCs/>
          <w:sz w:val="26"/>
        </w:rPr>
        <w:t>LIMA</w:t>
      </w:r>
    </w:p>
    <w:p w14:paraId="3EED74D2" w14:textId="77777777" w:rsidR="00CA7350" w:rsidRDefault="00A134DE">
      <w:pPr>
        <w:pStyle w:val="Portada-Centrado"/>
        <w:spacing w:line="276" w:lineRule="auto"/>
      </w:pPr>
      <w:r>
        <w:rPr>
          <w:b/>
          <w:bCs/>
          <w:sz w:val="26"/>
        </w:rPr>
        <w:t>2026</w:t>
      </w:r>
    </w:p>
    <w:p w14:paraId="36A7765B" w14:textId="77777777" w:rsidR="00720442" w:rsidRDefault="0080011C">
      <w:pPr>
        <w:pStyle w:val="Ttulo1"/>
        <w:pageBreakBefore/>
      </w:pPr>
      <w:bookmarkStart w:id="0" w:name="índice"/>
      <w:bookmarkStart w:id="1" w:name="_Toc225938994"/>
      <w:r>
        <w:lastRenderedPageBreak/>
        <w:t>Índice</w:t>
      </w:r>
      <w:bookmarkEnd w:id="1"/>
    </w:p>
    <w:p w14:paraId="3947AD86" w14:textId="019A2EA8" w:rsidR="005314D4" w:rsidRDefault="0080011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938994" w:history="1">
        <w:r w:rsidR="005314D4" w:rsidRPr="00AA25CF">
          <w:rPr>
            <w:rStyle w:val="Hipervnculo"/>
            <w:noProof/>
          </w:rPr>
          <w:t>Índice</w:t>
        </w:r>
        <w:r w:rsidR="005314D4">
          <w:rPr>
            <w:noProof/>
            <w:webHidden/>
          </w:rPr>
          <w:tab/>
        </w:r>
        <w:r w:rsidR="005314D4">
          <w:rPr>
            <w:noProof/>
            <w:webHidden/>
          </w:rPr>
          <w:fldChar w:fldCharType="begin"/>
        </w:r>
        <w:r w:rsidR="005314D4">
          <w:rPr>
            <w:noProof/>
            <w:webHidden/>
          </w:rPr>
          <w:instrText xml:space="preserve"> PAGEREF _Toc225938994 \h </w:instrText>
        </w:r>
        <w:r w:rsidR="005314D4">
          <w:rPr>
            <w:noProof/>
            <w:webHidden/>
          </w:rPr>
        </w:r>
        <w:r w:rsidR="005314D4">
          <w:rPr>
            <w:noProof/>
            <w:webHidden/>
          </w:rPr>
          <w:fldChar w:fldCharType="separate"/>
        </w:r>
        <w:r w:rsidR="005314D4">
          <w:rPr>
            <w:noProof/>
            <w:webHidden/>
          </w:rPr>
          <w:t>2</w:t>
        </w:r>
        <w:r w:rsidR="005314D4">
          <w:rPr>
            <w:noProof/>
            <w:webHidden/>
          </w:rPr>
          <w:fldChar w:fldCharType="end"/>
        </w:r>
      </w:hyperlink>
    </w:p>
    <w:p w14:paraId="0DD8B5B0" w14:textId="7D1302D2" w:rsidR="005314D4" w:rsidRDefault="005314D4">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38995" w:history="1">
        <w:r w:rsidRPr="00AA25CF">
          <w:rPr>
            <w:rStyle w:val="Hipervnculo"/>
            <w:noProof/>
          </w:rPr>
          <w:t>Índice de tablas</w:t>
        </w:r>
        <w:r>
          <w:rPr>
            <w:noProof/>
            <w:webHidden/>
          </w:rPr>
          <w:tab/>
        </w:r>
        <w:r>
          <w:rPr>
            <w:noProof/>
            <w:webHidden/>
          </w:rPr>
          <w:fldChar w:fldCharType="begin"/>
        </w:r>
        <w:r>
          <w:rPr>
            <w:noProof/>
            <w:webHidden/>
          </w:rPr>
          <w:instrText xml:space="preserve"> PAGEREF _Toc225938995 \h </w:instrText>
        </w:r>
        <w:r>
          <w:rPr>
            <w:noProof/>
            <w:webHidden/>
          </w:rPr>
        </w:r>
        <w:r>
          <w:rPr>
            <w:noProof/>
            <w:webHidden/>
          </w:rPr>
          <w:fldChar w:fldCharType="separate"/>
        </w:r>
        <w:r>
          <w:rPr>
            <w:noProof/>
            <w:webHidden/>
          </w:rPr>
          <w:t>4</w:t>
        </w:r>
        <w:r>
          <w:rPr>
            <w:noProof/>
            <w:webHidden/>
          </w:rPr>
          <w:fldChar w:fldCharType="end"/>
        </w:r>
      </w:hyperlink>
    </w:p>
    <w:p w14:paraId="4DBEE9C4" w14:textId="4F6B02D0" w:rsidR="005314D4" w:rsidRDefault="005314D4">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38996" w:history="1">
        <w:r w:rsidRPr="00AA25CF">
          <w:rPr>
            <w:rStyle w:val="Hipervnculo"/>
            <w:noProof/>
          </w:rPr>
          <w:t>Índice de figuras</w:t>
        </w:r>
        <w:r>
          <w:rPr>
            <w:noProof/>
            <w:webHidden/>
          </w:rPr>
          <w:tab/>
        </w:r>
        <w:r>
          <w:rPr>
            <w:noProof/>
            <w:webHidden/>
          </w:rPr>
          <w:fldChar w:fldCharType="begin"/>
        </w:r>
        <w:r>
          <w:rPr>
            <w:noProof/>
            <w:webHidden/>
          </w:rPr>
          <w:instrText xml:space="preserve"> PAGEREF _Toc225938996 \h </w:instrText>
        </w:r>
        <w:r>
          <w:rPr>
            <w:noProof/>
            <w:webHidden/>
          </w:rPr>
        </w:r>
        <w:r>
          <w:rPr>
            <w:noProof/>
            <w:webHidden/>
          </w:rPr>
          <w:fldChar w:fldCharType="separate"/>
        </w:r>
        <w:r>
          <w:rPr>
            <w:noProof/>
            <w:webHidden/>
          </w:rPr>
          <w:t>5</w:t>
        </w:r>
        <w:r>
          <w:rPr>
            <w:noProof/>
            <w:webHidden/>
          </w:rPr>
          <w:fldChar w:fldCharType="end"/>
        </w:r>
      </w:hyperlink>
    </w:p>
    <w:p w14:paraId="301AF353" w14:textId="5D95B5BC" w:rsidR="005314D4" w:rsidRDefault="005314D4">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38997" w:history="1">
        <w:r w:rsidRPr="00AA25CF">
          <w:rPr>
            <w:rStyle w:val="Hipervnculo"/>
            <w:noProof/>
          </w:rPr>
          <w:t>Capítulo I. Planteamiento del estudio</w:t>
        </w:r>
        <w:r>
          <w:rPr>
            <w:noProof/>
            <w:webHidden/>
          </w:rPr>
          <w:tab/>
        </w:r>
        <w:r>
          <w:rPr>
            <w:noProof/>
            <w:webHidden/>
          </w:rPr>
          <w:fldChar w:fldCharType="begin"/>
        </w:r>
        <w:r>
          <w:rPr>
            <w:noProof/>
            <w:webHidden/>
          </w:rPr>
          <w:instrText xml:space="preserve"> PAGEREF _Toc225938997 \h </w:instrText>
        </w:r>
        <w:r>
          <w:rPr>
            <w:noProof/>
            <w:webHidden/>
          </w:rPr>
        </w:r>
        <w:r>
          <w:rPr>
            <w:noProof/>
            <w:webHidden/>
          </w:rPr>
          <w:fldChar w:fldCharType="separate"/>
        </w:r>
        <w:r>
          <w:rPr>
            <w:noProof/>
            <w:webHidden/>
          </w:rPr>
          <w:t>6</w:t>
        </w:r>
        <w:r>
          <w:rPr>
            <w:noProof/>
            <w:webHidden/>
          </w:rPr>
          <w:fldChar w:fldCharType="end"/>
        </w:r>
      </w:hyperlink>
    </w:p>
    <w:p w14:paraId="14F578F1" w14:textId="1C68371F"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8998" w:history="1">
        <w:r w:rsidRPr="00AA25CF">
          <w:rPr>
            <w:rStyle w:val="Hipervnculo"/>
            <w:noProof/>
          </w:rPr>
          <w:t>1.1. Planteamiento y formulación del problema</w:t>
        </w:r>
        <w:r>
          <w:rPr>
            <w:noProof/>
            <w:webHidden/>
          </w:rPr>
          <w:tab/>
        </w:r>
        <w:r>
          <w:rPr>
            <w:noProof/>
            <w:webHidden/>
          </w:rPr>
          <w:fldChar w:fldCharType="begin"/>
        </w:r>
        <w:r>
          <w:rPr>
            <w:noProof/>
            <w:webHidden/>
          </w:rPr>
          <w:instrText xml:space="preserve"> PAGEREF _Toc225938998 \h </w:instrText>
        </w:r>
        <w:r>
          <w:rPr>
            <w:noProof/>
            <w:webHidden/>
          </w:rPr>
        </w:r>
        <w:r>
          <w:rPr>
            <w:noProof/>
            <w:webHidden/>
          </w:rPr>
          <w:fldChar w:fldCharType="separate"/>
        </w:r>
        <w:r>
          <w:rPr>
            <w:noProof/>
            <w:webHidden/>
          </w:rPr>
          <w:t>6</w:t>
        </w:r>
        <w:r>
          <w:rPr>
            <w:noProof/>
            <w:webHidden/>
          </w:rPr>
          <w:fldChar w:fldCharType="end"/>
        </w:r>
      </w:hyperlink>
    </w:p>
    <w:p w14:paraId="282D7B76" w14:textId="4D80CDF9"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8999" w:history="1">
        <w:r w:rsidRPr="00AA25CF">
          <w:rPr>
            <w:rStyle w:val="Hipervnculo"/>
            <w:noProof/>
          </w:rPr>
          <w:t>1.1.1. Planteamiento del problema</w:t>
        </w:r>
        <w:r>
          <w:rPr>
            <w:noProof/>
            <w:webHidden/>
          </w:rPr>
          <w:tab/>
        </w:r>
        <w:r>
          <w:rPr>
            <w:noProof/>
            <w:webHidden/>
          </w:rPr>
          <w:fldChar w:fldCharType="begin"/>
        </w:r>
        <w:r>
          <w:rPr>
            <w:noProof/>
            <w:webHidden/>
          </w:rPr>
          <w:instrText xml:space="preserve"> PAGEREF _Toc225938999 \h </w:instrText>
        </w:r>
        <w:r>
          <w:rPr>
            <w:noProof/>
            <w:webHidden/>
          </w:rPr>
        </w:r>
        <w:r>
          <w:rPr>
            <w:noProof/>
            <w:webHidden/>
          </w:rPr>
          <w:fldChar w:fldCharType="separate"/>
        </w:r>
        <w:r>
          <w:rPr>
            <w:noProof/>
            <w:webHidden/>
          </w:rPr>
          <w:t>6</w:t>
        </w:r>
        <w:r>
          <w:rPr>
            <w:noProof/>
            <w:webHidden/>
          </w:rPr>
          <w:fldChar w:fldCharType="end"/>
        </w:r>
      </w:hyperlink>
    </w:p>
    <w:p w14:paraId="73E62366" w14:textId="567FA452"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0" w:history="1">
        <w:r w:rsidRPr="00AA25CF">
          <w:rPr>
            <w:rStyle w:val="Hipervnculo"/>
            <w:noProof/>
          </w:rPr>
          <w:t>1.1.2. Formulación del problema</w:t>
        </w:r>
        <w:r>
          <w:rPr>
            <w:noProof/>
            <w:webHidden/>
          </w:rPr>
          <w:tab/>
        </w:r>
        <w:r>
          <w:rPr>
            <w:noProof/>
            <w:webHidden/>
          </w:rPr>
          <w:fldChar w:fldCharType="begin"/>
        </w:r>
        <w:r>
          <w:rPr>
            <w:noProof/>
            <w:webHidden/>
          </w:rPr>
          <w:instrText xml:space="preserve"> PAGEREF _Toc225939000 \h </w:instrText>
        </w:r>
        <w:r>
          <w:rPr>
            <w:noProof/>
            <w:webHidden/>
          </w:rPr>
        </w:r>
        <w:r>
          <w:rPr>
            <w:noProof/>
            <w:webHidden/>
          </w:rPr>
          <w:fldChar w:fldCharType="separate"/>
        </w:r>
        <w:r>
          <w:rPr>
            <w:noProof/>
            <w:webHidden/>
          </w:rPr>
          <w:t>13</w:t>
        </w:r>
        <w:r>
          <w:rPr>
            <w:noProof/>
            <w:webHidden/>
          </w:rPr>
          <w:fldChar w:fldCharType="end"/>
        </w:r>
      </w:hyperlink>
    </w:p>
    <w:p w14:paraId="5EE8EF79" w14:textId="2F969ABE"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01" w:history="1">
        <w:r w:rsidRPr="00AA25CF">
          <w:rPr>
            <w:rStyle w:val="Hipervnculo"/>
            <w:noProof/>
          </w:rPr>
          <w:t>1.2. Determinación de objetivos</w:t>
        </w:r>
        <w:r>
          <w:rPr>
            <w:noProof/>
            <w:webHidden/>
          </w:rPr>
          <w:tab/>
        </w:r>
        <w:r>
          <w:rPr>
            <w:noProof/>
            <w:webHidden/>
          </w:rPr>
          <w:fldChar w:fldCharType="begin"/>
        </w:r>
        <w:r>
          <w:rPr>
            <w:noProof/>
            <w:webHidden/>
          </w:rPr>
          <w:instrText xml:space="preserve"> PAGEREF _Toc225939001 \h </w:instrText>
        </w:r>
        <w:r>
          <w:rPr>
            <w:noProof/>
            <w:webHidden/>
          </w:rPr>
        </w:r>
        <w:r>
          <w:rPr>
            <w:noProof/>
            <w:webHidden/>
          </w:rPr>
          <w:fldChar w:fldCharType="separate"/>
        </w:r>
        <w:r>
          <w:rPr>
            <w:noProof/>
            <w:webHidden/>
          </w:rPr>
          <w:t>15</w:t>
        </w:r>
        <w:r>
          <w:rPr>
            <w:noProof/>
            <w:webHidden/>
          </w:rPr>
          <w:fldChar w:fldCharType="end"/>
        </w:r>
      </w:hyperlink>
    </w:p>
    <w:p w14:paraId="2937D2B2" w14:textId="0A1A9454"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2" w:history="1">
        <w:r w:rsidRPr="00AA25CF">
          <w:rPr>
            <w:rStyle w:val="Hipervnculo"/>
            <w:noProof/>
          </w:rPr>
          <w:t>1.2.1. Objetivo general</w:t>
        </w:r>
        <w:r>
          <w:rPr>
            <w:noProof/>
            <w:webHidden/>
          </w:rPr>
          <w:tab/>
        </w:r>
        <w:r>
          <w:rPr>
            <w:noProof/>
            <w:webHidden/>
          </w:rPr>
          <w:fldChar w:fldCharType="begin"/>
        </w:r>
        <w:r>
          <w:rPr>
            <w:noProof/>
            <w:webHidden/>
          </w:rPr>
          <w:instrText xml:space="preserve"> PAGEREF _Toc225939002 \h </w:instrText>
        </w:r>
        <w:r>
          <w:rPr>
            <w:noProof/>
            <w:webHidden/>
          </w:rPr>
        </w:r>
        <w:r>
          <w:rPr>
            <w:noProof/>
            <w:webHidden/>
          </w:rPr>
          <w:fldChar w:fldCharType="separate"/>
        </w:r>
        <w:r>
          <w:rPr>
            <w:noProof/>
            <w:webHidden/>
          </w:rPr>
          <w:t>15</w:t>
        </w:r>
        <w:r>
          <w:rPr>
            <w:noProof/>
            <w:webHidden/>
          </w:rPr>
          <w:fldChar w:fldCharType="end"/>
        </w:r>
      </w:hyperlink>
    </w:p>
    <w:p w14:paraId="5D9AB30E" w14:textId="2F4C1015"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3" w:history="1">
        <w:r w:rsidRPr="00AA25CF">
          <w:rPr>
            <w:rStyle w:val="Hipervnculo"/>
            <w:noProof/>
          </w:rPr>
          <w:t>1.2.2. Objetivos específicos</w:t>
        </w:r>
        <w:r>
          <w:rPr>
            <w:noProof/>
            <w:webHidden/>
          </w:rPr>
          <w:tab/>
        </w:r>
        <w:r>
          <w:rPr>
            <w:noProof/>
            <w:webHidden/>
          </w:rPr>
          <w:fldChar w:fldCharType="begin"/>
        </w:r>
        <w:r>
          <w:rPr>
            <w:noProof/>
            <w:webHidden/>
          </w:rPr>
          <w:instrText xml:space="preserve"> PAGEREF _Toc225939003 \h </w:instrText>
        </w:r>
        <w:r>
          <w:rPr>
            <w:noProof/>
            <w:webHidden/>
          </w:rPr>
        </w:r>
        <w:r>
          <w:rPr>
            <w:noProof/>
            <w:webHidden/>
          </w:rPr>
          <w:fldChar w:fldCharType="separate"/>
        </w:r>
        <w:r>
          <w:rPr>
            <w:noProof/>
            <w:webHidden/>
          </w:rPr>
          <w:t>16</w:t>
        </w:r>
        <w:r>
          <w:rPr>
            <w:noProof/>
            <w:webHidden/>
          </w:rPr>
          <w:fldChar w:fldCharType="end"/>
        </w:r>
      </w:hyperlink>
    </w:p>
    <w:p w14:paraId="12D4095D" w14:textId="0A1D4299"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04" w:history="1">
        <w:r w:rsidRPr="00AA25CF">
          <w:rPr>
            <w:rStyle w:val="Hipervnculo"/>
            <w:noProof/>
          </w:rPr>
          <w:t>1.3. Justificación e importancia del estudio</w:t>
        </w:r>
        <w:r>
          <w:rPr>
            <w:noProof/>
            <w:webHidden/>
          </w:rPr>
          <w:tab/>
        </w:r>
        <w:r>
          <w:rPr>
            <w:noProof/>
            <w:webHidden/>
          </w:rPr>
          <w:fldChar w:fldCharType="begin"/>
        </w:r>
        <w:r>
          <w:rPr>
            <w:noProof/>
            <w:webHidden/>
          </w:rPr>
          <w:instrText xml:space="preserve"> PAGEREF _Toc225939004 \h </w:instrText>
        </w:r>
        <w:r>
          <w:rPr>
            <w:noProof/>
            <w:webHidden/>
          </w:rPr>
        </w:r>
        <w:r>
          <w:rPr>
            <w:noProof/>
            <w:webHidden/>
          </w:rPr>
          <w:fldChar w:fldCharType="separate"/>
        </w:r>
        <w:r>
          <w:rPr>
            <w:noProof/>
            <w:webHidden/>
          </w:rPr>
          <w:t>16</w:t>
        </w:r>
        <w:r>
          <w:rPr>
            <w:noProof/>
            <w:webHidden/>
          </w:rPr>
          <w:fldChar w:fldCharType="end"/>
        </w:r>
      </w:hyperlink>
    </w:p>
    <w:p w14:paraId="6B77F020" w14:textId="0926654C"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5" w:history="1">
        <w:r w:rsidRPr="00AA25CF">
          <w:rPr>
            <w:rStyle w:val="Hipervnculo"/>
            <w:noProof/>
          </w:rPr>
          <w:t>1.3.1. Justificación teórica</w:t>
        </w:r>
        <w:r>
          <w:rPr>
            <w:noProof/>
            <w:webHidden/>
          </w:rPr>
          <w:tab/>
        </w:r>
        <w:r>
          <w:rPr>
            <w:noProof/>
            <w:webHidden/>
          </w:rPr>
          <w:fldChar w:fldCharType="begin"/>
        </w:r>
        <w:r>
          <w:rPr>
            <w:noProof/>
            <w:webHidden/>
          </w:rPr>
          <w:instrText xml:space="preserve"> PAGEREF _Toc225939005 \h </w:instrText>
        </w:r>
        <w:r>
          <w:rPr>
            <w:noProof/>
            <w:webHidden/>
          </w:rPr>
        </w:r>
        <w:r>
          <w:rPr>
            <w:noProof/>
            <w:webHidden/>
          </w:rPr>
          <w:fldChar w:fldCharType="separate"/>
        </w:r>
        <w:r>
          <w:rPr>
            <w:noProof/>
            <w:webHidden/>
          </w:rPr>
          <w:t>16</w:t>
        </w:r>
        <w:r>
          <w:rPr>
            <w:noProof/>
            <w:webHidden/>
          </w:rPr>
          <w:fldChar w:fldCharType="end"/>
        </w:r>
      </w:hyperlink>
    </w:p>
    <w:p w14:paraId="7343F66E" w14:textId="6A9472C8"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6" w:history="1">
        <w:r w:rsidRPr="00AA25CF">
          <w:rPr>
            <w:rStyle w:val="Hipervnculo"/>
            <w:noProof/>
          </w:rPr>
          <w:t>1.3.2. Justificación metodológica</w:t>
        </w:r>
        <w:r>
          <w:rPr>
            <w:noProof/>
            <w:webHidden/>
          </w:rPr>
          <w:tab/>
        </w:r>
        <w:r>
          <w:rPr>
            <w:noProof/>
            <w:webHidden/>
          </w:rPr>
          <w:fldChar w:fldCharType="begin"/>
        </w:r>
        <w:r>
          <w:rPr>
            <w:noProof/>
            <w:webHidden/>
          </w:rPr>
          <w:instrText xml:space="preserve"> PAGEREF _Toc225939006 \h </w:instrText>
        </w:r>
        <w:r>
          <w:rPr>
            <w:noProof/>
            <w:webHidden/>
          </w:rPr>
        </w:r>
        <w:r>
          <w:rPr>
            <w:noProof/>
            <w:webHidden/>
          </w:rPr>
          <w:fldChar w:fldCharType="separate"/>
        </w:r>
        <w:r>
          <w:rPr>
            <w:noProof/>
            <w:webHidden/>
          </w:rPr>
          <w:t>17</w:t>
        </w:r>
        <w:r>
          <w:rPr>
            <w:noProof/>
            <w:webHidden/>
          </w:rPr>
          <w:fldChar w:fldCharType="end"/>
        </w:r>
      </w:hyperlink>
    </w:p>
    <w:p w14:paraId="1151CF14" w14:textId="2B5211A3"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7" w:history="1">
        <w:r w:rsidRPr="00AA25CF">
          <w:rPr>
            <w:rStyle w:val="Hipervnculo"/>
            <w:noProof/>
          </w:rPr>
          <w:t>1.3.3. Justificación social</w:t>
        </w:r>
        <w:r>
          <w:rPr>
            <w:noProof/>
            <w:webHidden/>
          </w:rPr>
          <w:tab/>
        </w:r>
        <w:r>
          <w:rPr>
            <w:noProof/>
            <w:webHidden/>
          </w:rPr>
          <w:fldChar w:fldCharType="begin"/>
        </w:r>
        <w:r>
          <w:rPr>
            <w:noProof/>
            <w:webHidden/>
          </w:rPr>
          <w:instrText xml:space="preserve"> PAGEREF _Toc225939007 \h </w:instrText>
        </w:r>
        <w:r>
          <w:rPr>
            <w:noProof/>
            <w:webHidden/>
          </w:rPr>
        </w:r>
        <w:r>
          <w:rPr>
            <w:noProof/>
            <w:webHidden/>
          </w:rPr>
          <w:fldChar w:fldCharType="separate"/>
        </w:r>
        <w:r>
          <w:rPr>
            <w:noProof/>
            <w:webHidden/>
          </w:rPr>
          <w:t>19</w:t>
        </w:r>
        <w:r>
          <w:rPr>
            <w:noProof/>
            <w:webHidden/>
          </w:rPr>
          <w:fldChar w:fldCharType="end"/>
        </w:r>
      </w:hyperlink>
    </w:p>
    <w:p w14:paraId="0A81E226" w14:textId="44B381B6"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08" w:history="1">
        <w:r w:rsidRPr="00AA25CF">
          <w:rPr>
            <w:rStyle w:val="Hipervnculo"/>
            <w:noProof/>
          </w:rPr>
          <w:t>1.4. Limitaciones de la presente investigación</w:t>
        </w:r>
        <w:r>
          <w:rPr>
            <w:noProof/>
            <w:webHidden/>
          </w:rPr>
          <w:tab/>
        </w:r>
        <w:r>
          <w:rPr>
            <w:noProof/>
            <w:webHidden/>
          </w:rPr>
          <w:fldChar w:fldCharType="begin"/>
        </w:r>
        <w:r>
          <w:rPr>
            <w:noProof/>
            <w:webHidden/>
          </w:rPr>
          <w:instrText xml:space="preserve"> PAGEREF _Toc225939008 \h </w:instrText>
        </w:r>
        <w:r>
          <w:rPr>
            <w:noProof/>
            <w:webHidden/>
          </w:rPr>
        </w:r>
        <w:r>
          <w:rPr>
            <w:noProof/>
            <w:webHidden/>
          </w:rPr>
          <w:fldChar w:fldCharType="separate"/>
        </w:r>
        <w:r>
          <w:rPr>
            <w:noProof/>
            <w:webHidden/>
          </w:rPr>
          <w:t>20</w:t>
        </w:r>
        <w:r>
          <w:rPr>
            <w:noProof/>
            <w:webHidden/>
          </w:rPr>
          <w:fldChar w:fldCharType="end"/>
        </w:r>
      </w:hyperlink>
    </w:p>
    <w:p w14:paraId="33CD81E7" w14:textId="2557FFFC"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09" w:history="1">
        <w:r w:rsidRPr="00AA25CF">
          <w:rPr>
            <w:rStyle w:val="Hipervnculo"/>
            <w:noProof/>
          </w:rPr>
          <w:t>1.4.1. Disponibilidad y calidad de los datos</w:t>
        </w:r>
        <w:r>
          <w:rPr>
            <w:noProof/>
            <w:webHidden/>
          </w:rPr>
          <w:tab/>
        </w:r>
        <w:r>
          <w:rPr>
            <w:noProof/>
            <w:webHidden/>
          </w:rPr>
          <w:fldChar w:fldCharType="begin"/>
        </w:r>
        <w:r>
          <w:rPr>
            <w:noProof/>
            <w:webHidden/>
          </w:rPr>
          <w:instrText xml:space="preserve"> PAGEREF _Toc225939009 \h </w:instrText>
        </w:r>
        <w:r>
          <w:rPr>
            <w:noProof/>
            <w:webHidden/>
          </w:rPr>
        </w:r>
        <w:r>
          <w:rPr>
            <w:noProof/>
            <w:webHidden/>
          </w:rPr>
          <w:fldChar w:fldCharType="separate"/>
        </w:r>
        <w:r>
          <w:rPr>
            <w:noProof/>
            <w:webHidden/>
          </w:rPr>
          <w:t>20</w:t>
        </w:r>
        <w:r>
          <w:rPr>
            <w:noProof/>
            <w:webHidden/>
          </w:rPr>
          <w:fldChar w:fldCharType="end"/>
        </w:r>
      </w:hyperlink>
    </w:p>
    <w:p w14:paraId="6DFD5A4D" w14:textId="0901B4D5"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0" w:history="1">
        <w:r w:rsidRPr="00AA25CF">
          <w:rPr>
            <w:rStyle w:val="Hipervnculo"/>
            <w:noProof/>
          </w:rPr>
          <w:t>1.4.2. Acceso a fuentes de información</w:t>
        </w:r>
        <w:r>
          <w:rPr>
            <w:noProof/>
            <w:webHidden/>
          </w:rPr>
          <w:tab/>
        </w:r>
        <w:r>
          <w:rPr>
            <w:noProof/>
            <w:webHidden/>
          </w:rPr>
          <w:fldChar w:fldCharType="begin"/>
        </w:r>
        <w:r>
          <w:rPr>
            <w:noProof/>
            <w:webHidden/>
          </w:rPr>
          <w:instrText xml:space="preserve"> PAGEREF _Toc225939010 \h </w:instrText>
        </w:r>
        <w:r>
          <w:rPr>
            <w:noProof/>
            <w:webHidden/>
          </w:rPr>
        </w:r>
        <w:r>
          <w:rPr>
            <w:noProof/>
            <w:webHidden/>
          </w:rPr>
          <w:fldChar w:fldCharType="separate"/>
        </w:r>
        <w:r>
          <w:rPr>
            <w:noProof/>
            <w:webHidden/>
          </w:rPr>
          <w:t>21</w:t>
        </w:r>
        <w:r>
          <w:rPr>
            <w:noProof/>
            <w:webHidden/>
          </w:rPr>
          <w:fldChar w:fldCharType="end"/>
        </w:r>
      </w:hyperlink>
    </w:p>
    <w:p w14:paraId="2B7E1E94" w14:textId="39C0E0DA"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1" w:history="1">
        <w:r w:rsidRPr="00AA25CF">
          <w:rPr>
            <w:rStyle w:val="Hipervnculo"/>
            <w:noProof/>
          </w:rPr>
          <w:t>1.4.3. Alcance geográfico</w:t>
        </w:r>
        <w:r>
          <w:rPr>
            <w:noProof/>
            <w:webHidden/>
          </w:rPr>
          <w:tab/>
        </w:r>
        <w:r>
          <w:rPr>
            <w:noProof/>
            <w:webHidden/>
          </w:rPr>
          <w:fldChar w:fldCharType="begin"/>
        </w:r>
        <w:r>
          <w:rPr>
            <w:noProof/>
            <w:webHidden/>
          </w:rPr>
          <w:instrText xml:space="preserve"> PAGEREF _Toc225939011 \h </w:instrText>
        </w:r>
        <w:r>
          <w:rPr>
            <w:noProof/>
            <w:webHidden/>
          </w:rPr>
        </w:r>
        <w:r>
          <w:rPr>
            <w:noProof/>
            <w:webHidden/>
          </w:rPr>
          <w:fldChar w:fldCharType="separate"/>
        </w:r>
        <w:r>
          <w:rPr>
            <w:noProof/>
            <w:webHidden/>
          </w:rPr>
          <w:t>23</w:t>
        </w:r>
        <w:r>
          <w:rPr>
            <w:noProof/>
            <w:webHidden/>
          </w:rPr>
          <w:fldChar w:fldCharType="end"/>
        </w:r>
      </w:hyperlink>
    </w:p>
    <w:p w14:paraId="2067EF1B" w14:textId="1A1F9C34"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2" w:history="1">
        <w:r w:rsidRPr="00AA25CF">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_Toc225939012 \h </w:instrText>
        </w:r>
        <w:r>
          <w:rPr>
            <w:noProof/>
            <w:webHidden/>
          </w:rPr>
        </w:r>
        <w:r>
          <w:rPr>
            <w:noProof/>
            <w:webHidden/>
          </w:rPr>
          <w:fldChar w:fldCharType="separate"/>
        </w:r>
        <w:r>
          <w:rPr>
            <w:noProof/>
            <w:webHidden/>
          </w:rPr>
          <w:t>24</w:t>
        </w:r>
        <w:r>
          <w:rPr>
            <w:noProof/>
            <w:webHidden/>
          </w:rPr>
          <w:fldChar w:fldCharType="end"/>
        </w:r>
      </w:hyperlink>
    </w:p>
    <w:p w14:paraId="4E4CA265" w14:textId="3A691C5F"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3" w:history="1">
        <w:r w:rsidRPr="00AA25CF">
          <w:rPr>
            <w:rStyle w:val="Hipervnculo"/>
            <w:noProof/>
          </w:rPr>
          <w:t>1.4.5. Variables no identificadas</w:t>
        </w:r>
        <w:r>
          <w:rPr>
            <w:noProof/>
            <w:webHidden/>
          </w:rPr>
          <w:tab/>
        </w:r>
        <w:r>
          <w:rPr>
            <w:noProof/>
            <w:webHidden/>
          </w:rPr>
          <w:fldChar w:fldCharType="begin"/>
        </w:r>
        <w:r>
          <w:rPr>
            <w:noProof/>
            <w:webHidden/>
          </w:rPr>
          <w:instrText xml:space="preserve"> PAGEREF _Toc225939013 \h </w:instrText>
        </w:r>
        <w:r>
          <w:rPr>
            <w:noProof/>
            <w:webHidden/>
          </w:rPr>
        </w:r>
        <w:r>
          <w:rPr>
            <w:noProof/>
            <w:webHidden/>
          </w:rPr>
          <w:fldChar w:fldCharType="separate"/>
        </w:r>
        <w:r>
          <w:rPr>
            <w:noProof/>
            <w:webHidden/>
          </w:rPr>
          <w:t>25</w:t>
        </w:r>
        <w:r>
          <w:rPr>
            <w:noProof/>
            <w:webHidden/>
          </w:rPr>
          <w:fldChar w:fldCharType="end"/>
        </w:r>
      </w:hyperlink>
    </w:p>
    <w:p w14:paraId="6CFED062" w14:textId="525A1486"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4" w:history="1">
        <w:r w:rsidRPr="00AA25CF">
          <w:rPr>
            <w:rStyle w:val="Hipervnculo"/>
            <w:noProof/>
          </w:rPr>
          <w:t>1.4.6. Restricciones de tiempo y recursos</w:t>
        </w:r>
        <w:r>
          <w:rPr>
            <w:noProof/>
            <w:webHidden/>
          </w:rPr>
          <w:tab/>
        </w:r>
        <w:r>
          <w:rPr>
            <w:noProof/>
            <w:webHidden/>
          </w:rPr>
          <w:fldChar w:fldCharType="begin"/>
        </w:r>
        <w:r>
          <w:rPr>
            <w:noProof/>
            <w:webHidden/>
          </w:rPr>
          <w:instrText xml:space="preserve"> PAGEREF _Toc225939014 \h </w:instrText>
        </w:r>
        <w:r>
          <w:rPr>
            <w:noProof/>
            <w:webHidden/>
          </w:rPr>
        </w:r>
        <w:r>
          <w:rPr>
            <w:noProof/>
            <w:webHidden/>
          </w:rPr>
          <w:fldChar w:fldCharType="separate"/>
        </w:r>
        <w:r>
          <w:rPr>
            <w:noProof/>
            <w:webHidden/>
          </w:rPr>
          <w:t>25</w:t>
        </w:r>
        <w:r>
          <w:rPr>
            <w:noProof/>
            <w:webHidden/>
          </w:rPr>
          <w:fldChar w:fldCharType="end"/>
        </w:r>
      </w:hyperlink>
    </w:p>
    <w:p w14:paraId="068D3BB0" w14:textId="6F67644C" w:rsidR="005314D4" w:rsidRDefault="005314D4">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39015" w:history="1">
        <w:r w:rsidRPr="00AA25CF">
          <w:rPr>
            <w:rStyle w:val="Hipervnculo"/>
            <w:noProof/>
          </w:rPr>
          <w:t>Capítulo II. Marco teórico</w:t>
        </w:r>
        <w:r>
          <w:rPr>
            <w:noProof/>
            <w:webHidden/>
          </w:rPr>
          <w:tab/>
        </w:r>
        <w:r>
          <w:rPr>
            <w:noProof/>
            <w:webHidden/>
          </w:rPr>
          <w:fldChar w:fldCharType="begin"/>
        </w:r>
        <w:r>
          <w:rPr>
            <w:noProof/>
            <w:webHidden/>
          </w:rPr>
          <w:instrText xml:space="preserve"> PAGEREF _Toc225939015 \h </w:instrText>
        </w:r>
        <w:r>
          <w:rPr>
            <w:noProof/>
            <w:webHidden/>
          </w:rPr>
        </w:r>
        <w:r>
          <w:rPr>
            <w:noProof/>
            <w:webHidden/>
          </w:rPr>
          <w:fldChar w:fldCharType="separate"/>
        </w:r>
        <w:r>
          <w:rPr>
            <w:noProof/>
            <w:webHidden/>
          </w:rPr>
          <w:t>27</w:t>
        </w:r>
        <w:r>
          <w:rPr>
            <w:noProof/>
            <w:webHidden/>
          </w:rPr>
          <w:fldChar w:fldCharType="end"/>
        </w:r>
      </w:hyperlink>
    </w:p>
    <w:p w14:paraId="73377A9E" w14:textId="767CE931"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16" w:history="1">
        <w:r w:rsidRPr="00AA25CF">
          <w:rPr>
            <w:rStyle w:val="Hipervnculo"/>
            <w:noProof/>
          </w:rPr>
          <w:t>2.1. Antecedentes del problema</w:t>
        </w:r>
        <w:r>
          <w:rPr>
            <w:noProof/>
            <w:webHidden/>
          </w:rPr>
          <w:tab/>
        </w:r>
        <w:r>
          <w:rPr>
            <w:noProof/>
            <w:webHidden/>
          </w:rPr>
          <w:fldChar w:fldCharType="begin"/>
        </w:r>
        <w:r>
          <w:rPr>
            <w:noProof/>
            <w:webHidden/>
          </w:rPr>
          <w:instrText xml:space="preserve"> PAGEREF _Toc225939016 \h </w:instrText>
        </w:r>
        <w:r>
          <w:rPr>
            <w:noProof/>
            <w:webHidden/>
          </w:rPr>
        </w:r>
        <w:r>
          <w:rPr>
            <w:noProof/>
            <w:webHidden/>
          </w:rPr>
          <w:fldChar w:fldCharType="separate"/>
        </w:r>
        <w:r>
          <w:rPr>
            <w:noProof/>
            <w:webHidden/>
          </w:rPr>
          <w:t>27</w:t>
        </w:r>
        <w:r>
          <w:rPr>
            <w:noProof/>
            <w:webHidden/>
          </w:rPr>
          <w:fldChar w:fldCharType="end"/>
        </w:r>
      </w:hyperlink>
    </w:p>
    <w:p w14:paraId="3267FBA1" w14:textId="0C512FDB"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7" w:history="1">
        <w:r w:rsidRPr="00AA25CF">
          <w:rPr>
            <w:rStyle w:val="Hipervnculo"/>
            <w:noProof/>
          </w:rPr>
          <w:t>2.1.1. Internacionales</w:t>
        </w:r>
        <w:r>
          <w:rPr>
            <w:noProof/>
            <w:webHidden/>
          </w:rPr>
          <w:tab/>
        </w:r>
        <w:r>
          <w:rPr>
            <w:noProof/>
            <w:webHidden/>
          </w:rPr>
          <w:fldChar w:fldCharType="begin"/>
        </w:r>
        <w:r>
          <w:rPr>
            <w:noProof/>
            <w:webHidden/>
          </w:rPr>
          <w:instrText xml:space="preserve"> PAGEREF _Toc225939017 \h </w:instrText>
        </w:r>
        <w:r>
          <w:rPr>
            <w:noProof/>
            <w:webHidden/>
          </w:rPr>
        </w:r>
        <w:r>
          <w:rPr>
            <w:noProof/>
            <w:webHidden/>
          </w:rPr>
          <w:fldChar w:fldCharType="separate"/>
        </w:r>
        <w:r>
          <w:rPr>
            <w:noProof/>
            <w:webHidden/>
          </w:rPr>
          <w:t>27</w:t>
        </w:r>
        <w:r>
          <w:rPr>
            <w:noProof/>
            <w:webHidden/>
          </w:rPr>
          <w:fldChar w:fldCharType="end"/>
        </w:r>
      </w:hyperlink>
    </w:p>
    <w:p w14:paraId="5A2D2F9F" w14:textId="6B2AA765"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8" w:history="1">
        <w:r w:rsidRPr="00AA25CF">
          <w:rPr>
            <w:rStyle w:val="Hipervnculo"/>
            <w:noProof/>
          </w:rPr>
          <w:t>2.1.2. Nacionales</w:t>
        </w:r>
        <w:r>
          <w:rPr>
            <w:noProof/>
            <w:webHidden/>
          </w:rPr>
          <w:tab/>
        </w:r>
        <w:r>
          <w:rPr>
            <w:noProof/>
            <w:webHidden/>
          </w:rPr>
          <w:fldChar w:fldCharType="begin"/>
        </w:r>
        <w:r>
          <w:rPr>
            <w:noProof/>
            <w:webHidden/>
          </w:rPr>
          <w:instrText xml:space="preserve"> PAGEREF _Toc225939018 \h </w:instrText>
        </w:r>
        <w:r>
          <w:rPr>
            <w:noProof/>
            <w:webHidden/>
          </w:rPr>
        </w:r>
        <w:r>
          <w:rPr>
            <w:noProof/>
            <w:webHidden/>
          </w:rPr>
          <w:fldChar w:fldCharType="separate"/>
        </w:r>
        <w:r>
          <w:rPr>
            <w:noProof/>
            <w:webHidden/>
          </w:rPr>
          <w:t>41</w:t>
        </w:r>
        <w:r>
          <w:rPr>
            <w:noProof/>
            <w:webHidden/>
          </w:rPr>
          <w:fldChar w:fldCharType="end"/>
        </w:r>
      </w:hyperlink>
    </w:p>
    <w:p w14:paraId="1288C254" w14:textId="5719F71D"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19" w:history="1">
        <w:r w:rsidRPr="00AA25CF">
          <w:rPr>
            <w:rStyle w:val="Hipervnculo"/>
            <w:noProof/>
          </w:rPr>
          <w:t>2.1.3. Síntesis crítica de antecedentes</w:t>
        </w:r>
        <w:r>
          <w:rPr>
            <w:noProof/>
            <w:webHidden/>
          </w:rPr>
          <w:tab/>
        </w:r>
        <w:r>
          <w:rPr>
            <w:noProof/>
            <w:webHidden/>
          </w:rPr>
          <w:fldChar w:fldCharType="begin"/>
        </w:r>
        <w:r>
          <w:rPr>
            <w:noProof/>
            <w:webHidden/>
          </w:rPr>
          <w:instrText xml:space="preserve"> PAGEREF _Toc225939019 \h </w:instrText>
        </w:r>
        <w:r>
          <w:rPr>
            <w:noProof/>
            <w:webHidden/>
          </w:rPr>
        </w:r>
        <w:r>
          <w:rPr>
            <w:noProof/>
            <w:webHidden/>
          </w:rPr>
          <w:fldChar w:fldCharType="separate"/>
        </w:r>
        <w:r>
          <w:rPr>
            <w:noProof/>
            <w:webHidden/>
          </w:rPr>
          <w:t>53</w:t>
        </w:r>
        <w:r>
          <w:rPr>
            <w:noProof/>
            <w:webHidden/>
          </w:rPr>
          <w:fldChar w:fldCharType="end"/>
        </w:r>
      </w:hyperlink>
    </w:p>
    <w:p w14:paraId="2393C2A5" w14:textId="5810D030"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20" w:history="1">
        <w:r w:rsidRPr="00AA25CF">
          <w:rPr>
            <w:rStyle w:val="Hipervnculo"/>
            <w:noProof/>
          </w:rPr>
          <w:t>2.2. Bases teóricas</w:t>
        </w:r>
        <w:r>
          <w:rPr>
            <w:noProof/>
            <w:webHidden/>
          </w:rPr>
          <w:tab/>
        </w:r>
        <w:r>
          <w:rPr>
            <w:noProof/>
            <w:webHidden/>
          </w:rPr>
          <w:fldChar w:fldCharType="begin"/>
        </w:r>
        <w:r>
          <w:rPr>
            <w:noProof/>
            <w:webHidden/>
          </w:rPr>
          <w:instrText xml:space="preserve"> PAGEREF _Toc225939020 \h </w:instrText>
        </w:r>
        <w:r>
          <w:rPr>
            <w:noProof/>
            <w:webHidden/>
          </w:rPr>
        </w:r>
        <w:r>
          <w:rPr>
            <w:noProof/>
            <w:webHidden/>
          </w:rPr>
          <w:fldChar w:fldCharType="separate"/>
        </w:r>
        <w:r>
          <w:rPr>
            <w:noProof/>
            <w:webHidden/>
          </w:rPr>
          <w:t>56</w:t>
        </w:r>
        <w:r>
          <w:rPr>
            <w:noProof/>
            <w:webHidden/>
          </w:rPr>
          <w:fldChar w:fldCharType="end"/>
        </w:r>
      </w:hyperlink>
    </w:p>
    <w:p w14:paraId="769EFB45" w14:textId="2D3CFC81"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21" w:history="1">
        <w:r w:rsidRPr="00AA25CF">
          <w:rPr>
            <w:rStyle w:val="Hipervnculo"/>
            <w:noProof/>
          </w:rPr>
          <w:t>2.2.1. Desarrollo histórico</w:t>
        </w:r>
        <w:r>
          <w:rPr>
            <w:noProof/>
            <w:webHidden/>
          </w:rPr>
          <w:tab/>
        </w:r>
        <w:r>
          <w:rPr>
            <w:noProof/>
            <w:webHidden/>
          </w:rPr>
          <w:fldChar w:fldCharType="begin"/>
        </w:r>
        <w:r>
          <w:rPr>
            <w:noProof/>
            <w:webHidden/>
          </w:rPr>
          <w:instrText xml:space="preserve"> PAGEREF _Toc225939021 \h </w:instrText>
        </w:r>
        <w:r>
          <w:rPr>
            <w:noProof/>
            <w:webHidden/>
          </w:rPr>
        </w:r>
        <w:r>
          <w:rPr>
            <w:noProof/>
            <w:webHidden/>
          </w:rPr>
          <w:fldChar w:fldCharType="separate"/>
        </w:r>
        <w:r>
          <w:rPr>
            <w:noProof/>
            <w:webHidden/>
          </w:rPr>
          <w:t>56</w:t>
        </w:r>
        <w:r>
          <w:rPr>
            <w:noProof/>
            <w:webHidden/>
          </w:rPr>
          <w:fldChar w:fldCharType="end"/>
        </w:r>
      </w:hyperlink>
    </w:p>
    <w:p w14:paraId="4C1A8345" w14:textId="4A6C8AA4"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22" w:history="1">
        <w:r w:rsidRPr="00AA25CF">
          <w:rPr>
            <w:rStyle w:val="Hipervnculo"/>
            <w:noProof/>
          </w:rPr>
          <w:t>2.2.2. Fundamentación teórica</w:t>
        </w:r>
        <w:r>
          <w:rPr>
            <w:noProof/>
            <w:webHidden/>
          </w:rPr>
          <w:tab/>
        </w:r>
        <w:r>
          <w:rPr>
            <w:noProof/>
            <w:webHidden/>
          </w:rPr>
          <w:fldChar w:fldCharType="begin"/>
        </w:r>
        <w:r>
          <w:rPr>
            <w:noProof/>
            <w:webHidden/>
          </w:rPr>
          <w:instrText xml:space="preserve"> PAGEREF _Toc225939022 \h </w:instrText>
        </w:r>
        <w:r>
          <w:rPr>
            <w:noProof/>
            <w:webHidden/>
          </w:rPr>
        </w:r>
        <w:r>
          <w:rPr>
            <w:noProof/>
            <w:webHidden/>
          </w:rPr>
          <w:fldChar w:fldCharType="separate"/>
        </w:r>
        <w:r>
          <w:rPr>
            <w:noProof/>
            <w:webHidden/>
          </w:rPr>
          <w:t>60</w:t>
        </w:r>
        <w:r>
          <w:rPr>
            <w:noProof/>
            <w:webHidden/>
          </w:rPr>
          <w:fldChar w:fldCharType="end"/>
        </w:r>
      </w:hyperlink>
    </w:p>
    <w:p w14:paraId="302ADBFD" w14:textId="0E879BD4"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23" w:history="1">
        <w:r w:rsidRPr="00AA25CF">
          <w:rPr>
            <w:rStyle w:val="Hipervnculo"/>
            <w:noProof/>
          </w:rPr>
          <w:t>2.2.3. Marco conceptual</w:t>
        </w:r>
        <w:r>
          <w:rPr>
            <w:noProof/>
            <w:webHidden/>
          </w:rPr>
          <w:tab/>
        </w:r>
        <w:r>
          <w:rPr>
            <w:noProof/>
            <w:webHidden/>
          </w:rPr>
          <w:fldChar w:fldCharType="begin"/>
        </w:r>
        <w:r>
          <w:rPr>
            <w:noProof/>
            <w:webHidden/>
          </w:rPr>
          <w:instrText xml:space="preserve"> PAGEREF _Toc225939023 \h </w:instrText>
        </w:r>
        <w:r>
          <w:rPr>
            <w:noProof/>
            <w:webHidden/>
          </w:rPr>
        </w:r>
        <w:r>
          <w:rPr>
            <w:noProof/>
            <w:webHidden/>
          </w:rPr>
          <w:fldChar w:fldCharType="separate"/>
        </w:r>
        <w:r>
          <w:rPr>
            <w:noProof/>
            <w:webHidden/>
          </w:rPr>
          <w:t>76</w:t>
        </w:r>
        <w:r>
          <w:rPr>
            <w:noProof/>
            <w:webHidden/>
          </w:rPr>
          <w:fldChar w:fldCharType="end"/>
        </w:r>
      </w:hyperlink>
    </w:p>
    <w:p w14:paraId="77463E4A" w14:textId="408E8C78" w:rsidR="005314D4" w:rsidRDefault="005314D4">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39024" w:history="1">
        <w:r w:rsidRPr="00AA25CF">
          <w:rPr>
            <w:rStyle w:val="Hipervnculo"/>
            <w:noProof/>
          </w:rPr>
          <w:t>2.3. Definición de términos básicos</w:t>
        </w:r>
        <w:r>
          <w:rPr>
            <w:noProof/>
            <w:webHidden/>
          </w:rPr>
          <w:tab/>
        </w:r>
        <w:r>
          <w:rPr>
            <w:noProof/>
            <w:webHidden/>
          </w:rPr>
          <w:fldChar w:fldCharType="begin"/>
        </w:r>
        <w:r>
          <w:rPr>
            <w:noProof/>
            <w:webHidden/>
          </w:rPr>
          <w:instrText xml:space="preserve"> PAGEREF _Toc225939024 \h </w:instrText>
        </w:r>
        <w:r>
          <w:rPr>
            <w:noProof/>
            <w:webHidden/>
          </w:rPr>
        </w:r>
        <w:r>
          <w:rPr>
            <w:noProof/>
            <w:webHidden/>
          </w:rPr>
          <w:fldChar w:fldCharType="separate"/>
        </w:r>
        <w:r>
          <w:rPr>
            <w:noProof/>
            <w:webHidden/>
          </w:rPr>
          <w:t>80</w:t>
        </w:r>
        <w:r>
          <w:rPr>
            <w:noProof/>
            <w:webHidden/>
          </w:rPr>
          <w:fldChar w:fldCharType="end"/>
        </w:r>
      </w:hyperlink>
    </w:p>
    <w:p w14:paraId="5CD0A4BA" w14:textId="6A8A1D3E" w:rsidR="005314D4" w:rsidRDefault="005314D4">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39025" w:history="1">
        <w:r w:rsidRPr="00AA25CF">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_Toc225939025 \h </w:instrText>
        </w:r>
        <w:r>
          <w:rPr>
            <w:noProof/>
            <w:webHidden/>
          </w:rPr>
        </w:r>
        <w:r>
          <w:rPr>
            <w:noProof/>
            <w:webHidden/>
          </w:rPr>
          <w:fldChar w:fldCharType="separate"/>
        </w:r>
        <w:r>
          <w:rPr>
            <w:noProof/>
            <w:webHidden/>
          </w:rPr>
          <w:t>85</w:t>
        </w:r>
        <w:r>
          <w:rPr>
            <w:noProof/>
            <w:webHidden/>
          </w:rPr>
          <w:fldChar w:fldCharType="end"/>
        </w:r>
      </w:hyperlink>
    </w:p>
    <w:p w14:paraId="4B4C598C" w14:textId="015C80A7" w:rsidR="005314D4" w:rsidRDefault="005314D4">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39026" w:history="1">
        <w:r w:rsidRPr="00AA25CF">
          <w:rPr>
            <w:rStyle w:val="Hipervnculo"/>
            <w:noProof/>
          </w:rPr>
          <w:t>Referencias</w:t>
        </w:r>
        <w:r>
          <w:rPr>
            <w:noProof/>
            <w:webHidden/>
          </w:rPr>
          <w:tab/>
        </w:r>
        <w:r>
          <w:rPr>
            <w:noProof/>
            <w:webHidden/>
          </w:rPr>
          <w:fldChar w:fldCharType="begin"/>
        </w:r>
        <w:r>
          <w:rPr>
            <w:noProof/>
            <w:webHidden/>
          </w:rPr>
          <w:instrText xml:space="preserve"> PAGEREF _Toc225939026 \h </w:instrText>
        </w:r>
        <w:r>
          <w:rPr>
            <w:noProof/>
            <w:webHidden/>
          </w:rPr>
        </w:r>
        <w:r>
          <w:rPr>
            <w:noProof/>
            <w:webHidden/>
          </w:rPr>
          <w:fldChar w:fldCharType="separate"/>
        </w:r>
        <w:r>
          <w:rPr>
            <w:noProof/>
            <w:webHidden/>
          </w:rPr>
          <w:t>87</w:t>
        </w:r>
        <w:r>
          <w:rPr>
            <w:noProof/>
            <w:webHidden/>
          </w:rPr>
          <w:fldChar w:fldCharType="end"/>
        </w:r>
      </w:hyperlink>
    </w:p>
    <w:p w14:paraId="4084DCC6" w14:textId="4B1431DD" w:rsidR="00720442" w:rsidRDefault="0080011C">
      <w:r>
        <w:lastRenderedPageBreak/>
        <w:fldChar w:fldCharType="end"/>
      </w:r>
    </w:p>
    <w:p w14:paraId="44166B8D" w14:textId="77777777" w:rsidR="00720442" w:rsidRDefault="0080011C">
      <w:pPr>
        <w:pStyle w:val="Ttulo1"/>
        <w:pageBreakBefore/>
      </w:pPr>
      <w:bookmarkStart w:id="2" w:name="índice-de-tablas"/>
      <w:bookmarkStart w:id="3" w:name="_Toc225938995"/>
      <w:bookmarkEnd w:id="0"/>
      <w:r>
        <w:lastRenderedPageBreak/>
        <w:t>Índice de tablas</w:t>
      </w:r>
      <w:bookmarkEnd w:id="3"/>
    </w:p>
    <w:p w14:paraId="40FB4FC4" w14:textId="084C1F99" w:rsidR="005314D4" w:rsidRDefault="0080011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"Table"</w:instrText>
      </w:r>
      <w:r>
        <w:fldChar w:fldCharType="separate"/>
      </w:r>
      <w:hyperlink w:anchor="_Toc225939027" w:history="1">
        <w:r w:rsidR="005314D4" w:rsidRPr="00A2299D">
          <w:rPr>
            <w:rStyle w:val="Hipervnculo"/>
            <w:noProof/>
          </w:rPr>
          <w:t>Tabla 1. Madurez de interoperabilidad de EHR en países de América Latina</w:t>
        </w:r>
        <w:r w:rsidR="005314D4">
          <w:rPr>
            <w:noProof/>
            <w:webHidden/>
          </w:rPr>
          <w:tab/>
        </w:r>
        <w:r w:rsidR="005314D4">
          <w:rPr>
            <w:noProof/>
            <w:webHidden/>
          </w:rPr>
          <w:fldChar w:fldCharType="begin"/>
        </w:r>
        <w:r w:rsidR="005314D4">
          <w:rPr>
            <w:noProof/>
            <w:webHidden/>
          </w:rPr>
          <w:instrText xml:space="preserve"> PAGEREF _Toc225939027 \h </w:instrText>
        </w:r>
        <w:r w:rsidR="005314D4">
          <w:rPr>
            <w:noProof/>
            <w:webHidden/>
          </w:rPr>
        </w:r>
        <w:r w:rsidR="005314D4">
          <w:rPr>
            <w:noProof/>
            <w:webHidden/>
          </w:rPr>
          <w:fldChar w:fldCharType="separate"/>
        </w:r>
        <w:r w:rsidR="005314D4">
          <w:rPr>
            <w:noProof/>
            <w:webHidden/>
          </w:rPr>
          <w:t>9</w:t>
        </w:r>
        <w:r w:rsidR="005314D4">
          <w:rPr>
            <w:noProof/>
            <w:webHidden/>
          </w:rPr>
          <w:fldChar w:fldCharType="end"/>
        </w:r>
      </w:hyperlink>
    </w:p>
    <w:p w14:paraId="042FD6D7" w14:textId="1768B251"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28" w:history="1">
        <w:r w:rsidRPr="00A2299D">
          <w:rPr>
            <w:rStyle w:val="Hipervnculo"/>
            <w:noProof/>
          </w:rPr>
          <w:t>Tabla 2. Indicadores cuantitativos de la brecha de interoperabilidad en el sistema de salud peruano</w:t>
        </w:r>
        <w:r>
          <w:rPr>
            <w:noProof/>
            <w:webHidden/>
          </w:rPr>
          <w:tab/>
        </w:r>
        <w:r>
          <w:rPr>
            <w:noProof/>
            <w:webHidden/>
          </w:rPr>
          <w:fldChar w:fldCharType="begin"/>
        </w:r>
        <w:r>
          <w:rPr>
            <w:noProof/>
            <w:webHidden/>
          </w:rPr>
          <w:instrText xml:space="preserve"> PAGEREF _Toc225939028 \h </w:instrText>
        </w:r>
        <w:r>
          <w:rPr>
            <w:noProof/>
            <w:webHidden/>
          </w:rPr>
        </w:r>
        <w:r>
          <w:rPr>
            <w:noProof/>
            <w:webHidden/>
          </w:rPr>
          <w:fldChar w:fldCharType="separate"/>
        </w:r>
        <w:r>
          <w:rPr>
            <w:noProof/>
            <w:webHidden/>
          </w:rPr>
          <w:t>11</w:t>
        </w:r>
        <w:r>
          <w:rPr>
            <w:noProof/>
            <w:webHidden/>
          </w:rPr>
          <w:fldChar w:fldCharType="end"/>
        </w:r>
      </w:hyperlink>
    </w:p>
    <w:p w14:paraId="3A51B845" w14:textId="1D467337"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29" w:history="1">
        <w:r w:rsidRPr="00A2299D">
          <w:rPr>
            <w:rStyle w:val="Hipervnculo"/>
            <w:noProof/>
          </w:rPr>
          <w:t>Tabla 3. Brechas operativas en establecimientos del MINSA según hallazgos de Mauricio et al. (2024)</w:t>
        </w:r>
        <w:r>
          <w:rPr>
            <w:noProof/>
            <w:webHidden/>
          </w:rPr>
          <w:tab/>
        </w:r>
        <w:r>
          <w:rPr>
            <w:noProof/>
            <w:webHidden/>
          </w:rPr>
          <w:fldChar w:fldCharType="begin"/>
        </w:r>
        <w:r>
          <w:rPr>
            <w:noProof/>
            <w:webHidden/>
          </w:rPr>
          <w:instrText xml:space="preserve"> PAGEREF _Toc225939029 \h </w:instrText>
        </w:r>
        <w:r>
          <w:rPr>
            <w:noProof/>
            <w:webHidden/>
          </w:rPr>
        </w:r>
        <w:r>
          <w:rPr>
            <w:noProof/>
            <w:webHidden/>
          </w:rPr>
          <w:fldChar w:fldCharType="separate"/>
        </w:r>
        <w:r>
          <w:rPr>
            <w:noProof/>
            <w:webHidden/>
          </w:rPr>
          <w:t>22</w:t>
        </w:r>
        <w:r>
          <w:rPr>
            <w:noProof/>
            <w:webHidden/>
          </w:rPr>
          <w:fldChar w:fldCharType="end"/>
        </w:r>
      </w:hyperlink>
    </w:p>
    <w:p w14:paraId="6C16F173" w14:textId="59B1726F"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0" w:history="1">
        <w:r w:rsidRPr="00A2299D">
          <w:rPr>
            <w:rStyle w:val="Hipervnculo"/>
            <w:noProof/>
          </w:rPr>
          <w:t>Tabla 4. Síntesis comparativa de antecedentes internacionales</w:t>
        </w:r>
        <w:r>
          <w:rPr>
            <w:noProof/>
            <w:webHidden/>
          </w:rPr>
          <w:tab/>
        </w:r>
        <w:r>
          <w:rPr>
            <w:noProof/>
            <w:webHidden/>
          </w:rPr>
          <w:fldChar w:fldCharType="begin"/>
        </w:r>
        <w:r>
          <w:rPr>
            <w:noProof/>
            <w:webHidden/>
          </w:rPr>
          <w:instrText xml:space="preserve"> PAGEREF _Toc225939030 \h </w:instrText>
        </w:r>
        <w:r>
          <w:rPr>
            <w:noProof/>
            <w:webHidden/>
          </w:rPr>
        </w:r>
        <w:r>
          <w:rPr>
            <w:noProof/>
            <w:webHidden/>
          </w:rPr>
          <w:fldChar w:fldCharType="separate"/>
        </w:r>
        <w:r>
          <w:rPr>
            <w:noProof/>
            <w:webHidden/>
          </w:rPr>
          <w:t>48</w:t>
        </w:r>
        <w:r>
          <w:rPr>
            <w:noProof/>
            <w:webHidden/>
          </w:rPr>
          <w:fldChar w:fldCharType="end"/>
        </w:r>
      </w:hyperlink>
    </w:p>
    <w:p w14:paraId="4739C66F" w14:textId="51D89D7B"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1" w:history="1">
        <w:r w:rsidRPr="00A2299D">
          <w:rPr>
            <w:rStyle w:val="Hipervnculo"/>
            <w:noProof/>
          </w:rPr>
          <w:t>Tabla 5. Síntesis comparativa de antecedentes nacionales</w:t>
        </w:r>
        <w:r>
          <w:rPr>
            <w:noProof/>
            <w:webHidden/>
          </w:rPr>
          <w:tab/>
        </w:r>
        <w:r>
          <w:rPr>
            <w:noProof/>
            <w:webHidden/>
          </w:rPr>
          <w:fldChar w:fldCharType="begin"/>
        </w:r>
        <w:r>
          <w:rPr>
            <w:noProof/>
            <w:webHidden/>
          </w:rPr>
          <w:instrText xml:space="preserve"> PAGEREF _Toc225939031 \h </w:instrText>
        </w:r>
        <w:r>
          <w:rPr>
            <w:noProof/>
            <w:webHidden/>
          </w:rPr>
        </w:r>
        <w:r>
          <w:rPr>
            <w:noProof/>
            <w:webHidden/>
          </w:rPr>
          <w:fldChar w:fldCharType="separate"/>
        </w:r>
        <w:r>
          <w:rPr>
            <w:noProof/>
            <w:webHidden/>
          </w:rPr>
          <w:t>51</w:t>
        </w:r>
        <w:r>
          <w:rPr>
            <w:noProof/>
            <w:webHidden/>
          </w:rPr>
          <w:fldChar w:fldCharType="end"/>
        </w:r>
      </w:hyperlink>
    </w:p>
    <w:p w14:paraId="0E7E5B55" w14:textId="6B1C1F81"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2" w:history="1">
        <w:r w:rsidRPr="00A2299D">
          <w:rPr>
            <w:rStyle w:val="Hipervnculo"/>
            <w:noProof/>
          </w:rPr>
          <w:t>Tabla 6. Correspondencia entre antecedentes y dimensiones de calidad del intercambio evaluadas</w:t>
        </w:r>
        <w:r>
          <w:rPr>
            <w:noProof/>
            <w:webHidden/>
          </w:rPr>
          <w:tab/>
        </w:r>
        <w:r>
          <w:rPr>
            <w:noProof/>
            <w:webHidden/>
          </w:rPr>
          <w:fldChar w:fldCharType="begin"/>
        </w:r>
        <w:r>
          <w:rPr>
            <w:noProof/>
            <w:webHidden/>
          </w:rPr>
          <w:instrText xml:space="preserve"> PAGEREF _Toc225939032 \h </w:instrText>
        </w:r>
        <w:r>
          <w:rPr>
            <w:noProof/>
            <w:webHidden/>
          </w:rPr>
        </w:r>
        <w:r>
          <w:rPr>
            <w:noProof/>
            <w:webHidden/>
          </w:rPr>
          <w:fldChar w:fldCharType="separate"/>
        </w:r>
        <w:r>
          <w:rPr>
            <w:noProof/>
            <w:webHidden/>
          </w:rPr>
          <w:t>54</w:t>
        </w:r>
        <w:r>
          <w:rPr>
            <w:noProof/>
            <w:webHidden/>
          </w:rPr>
          <w:fldChar w:fldCharType="end"/>
        </w:r>
      </w:hyperlink>
    </w:p>
    <w:p w14:paraId="2082788A" w14:textId="3FE2103C"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3" w:history="1">
        <w:r w:rsidRPr="00A2299D">
          <w:rPr>
            <w:rStyle w:val="Hipervnculo"/>
            <w:noProof/>
          </w:rPr>
          <w:t>Tabla 7. Comparativa de estándares de interoperabilidad clínica</w:t>
        </w:r>
        <w:r>
          <w:rPr>
            <w:noProof/>
            <w:webHidden/>
          </w:rPr>
          <w:tab/>
        </w:r>
        <w:r>
          <w:rPr>
            <w:noProof/>
            <w:webHidden/>
          </w:rPr>
          <w:fldChar w:fldCharType="begin"/>
        </w:r>
        <w:r>
          <w:rPr>
            <w:noProof/>
            <w:webHidden/>
          </w:rPr>
          <w:instrText xml:space="preserve"> PAGEREF _Toc225939033 \h </w:instrText>
        </w:r>
        <w:r>
          <w:rPr>
            <w:noProof/>
            <w:webHidden/>
          </w:rPr>
        </w:r>
        <w:r>
          <w:rPr>
            <w:noProof/>
            <w:webHidden/>
          </w:rPr>
          <w:fldChar w:fldCharType="separate"/>
        </w:r>
        <w:r>
          <w:rPr>
            <w:noProof/>
            <w:webHidden/>
          </w:rPr>
          <w:t>58</w:t>
        </w:r>
        <w:r>
          <w:rPr>
            <w:noProof/>
            <w:webHidden/>
          </w:rPr>
          <w:fldChar w:fldCharType="end"/>
        </w:r>
      </w:hyperlink>
    </w:p>
    <w:p w14:paraId="48570380" w14:textId="2B19AEBF"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4" w:history="1">
        <w:r w:rsidRPr="00A2299D">
          <w:rPr>
            <w:rStyle w:val="Hipervnculo"/>
            <w:noProof/>
          </w:rPr>
          <w:t>Tabla 8. Distribución de usos de FHIR en investigación y terminologías complementarias</w:t>
        </w:r>
        <w:r>
          <w:rPr>
            <w:noProof/>
            <w:webHidden/>
          </w:rPr>
          <w:tab/>
        </w:r>
        <w:r>
          <w:rPr>
            <w:noProof/>
            <w:webHidden/>
          </w:rPr>
          <w:fldChar w:fldCharType="begin"/>
        </w:r>
        <w:r>
          <w:rPr>
            <w:noProof/>
            <w:webHidden/>
          </w:rPr>
          <w:instrText xml:space="preserve"> PAGEREF _Toc225939034 \h </w:instrText>
        </w:r>
        <w:r>
          <w:rPr>
            <w:noProof/>
            <w:webHidden/>
          </w:rPr>
        </w:r>
        <w:r>
          <w:rPr>
            <w:noProof/>
            <w:webHidden/>
          </w:rPr>
          <w:fldChar w:fldCharType="separate"/>
        </w:r>
        <w:r>
          <w:rPr>
            <w:noProof/>
            <w:webHidden/>
          </w:rPr>
          <w:t>65</w:t>
        </w:r>
        <w:r>
          <w:rPr>
            <w:noProof/>
            <w:webHidden/>
          </w:rPr>
          <w:fldChar w:fldCharType="end"/>
        </w:r>
      </w:hyperlink>
    </w:p>
    <w:p w14:paraId="4D2E1646" w14:textId="3D748FFF"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5" w:history="1">
        <w:r w:rsidRPr="00A2299D">
          <w:rPr>
            <w:rStyle w:val="Hipervnculo"/>
            <w:noProof/>
          </w:rPr>
          <w:t>Tabla 9. Enfoques de interoperabilidad semántica con FHIR</w:t>
        </w:r>
        <w:r>
          <w:rPr>
            <w:noProof/>
            <w:webHidden/>
          </w:rPr>
          <w:tab/>
        </w:r>
        <w:r>
          <w:rPr>
            <w:noProof/>
            <w:webHidden/>
          </w:rPr>
          <w:fldChar w:fldCharType="begin"/>
        </w:r>
        <w:r>
          <w:rPr>
            <w:noProof/>
            <w:webHidden/>
          </w:rPr>
          <w:instrText xml:space="preserve"> PAGEREF _Toc225939035 \h </w:instrText>
        </w:r>
        <w:r>
          <w:rPr>
            <w:noProof/>
            <w:webHidden/>
          </w:rPr>
        </w:r>
        <w:r>
          <w:rPr>
            <w:noProof/>
            <w:webHidden/>
          </w:rPr>
          <w:fldChar w:fldCharType="separate"/>
        </w:r>
        <w:r>
          <w:rPr>
            <w:noProof/>
            <w:webHidden/>
          </w:rPr>
          <w:t>66</w:t>
        </w:r>
        <w:r>
          <w:rPr>
            <w:noProof/>
            <w:webHidden/>
          </w:rPr>
          <w:fldChar w:fldCharType="end"/>
        </w:r>
      </w:hyperlink>
    </w:p>
    <w:p w14:paraId="7C194DEC" w14:textId="0EF55E93"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6" w:history="1">
        <w:r w:rsidRPr="00A2299D">
          <w:rPr>
            <w:rStyle w:val="Hipervnculo"/>
            <w:noProof/>
          </w:rPr>
          <w:t>Tabla 10. Comparativa de políticas de intercambio de información de salud en cinco países</w:t>
        </w:r>
        <w:r>
          <w:rPr>
            <w:noProof/>
            <w:webHidden/>
          </w:rPr>
          <w:tab/>
        </w:r>
        <w:r>
          <w:rPr>
            <w:noProof/>
            <w:webHidden/>
          </w:rPr>
          <w:fldChar w:fldCharType="begin"/>
        </w:r>
        <w:r>
          <w:rPr>
            <w:noProof/>
            <w:webHidden/>
          </w:rPr>
          <w:instrText xml:space="preserve"> PAGEREF _Toc225939036 \h </w:instrText>
        </w:r>
        <w:r>
          <w:rPr>
            <w:noProof/>
            <w:webHidden/>
          </w:rPr>
        </w:r>
        <w:r>
          <w:rPr>
            <w:noProof/>
            <w:webHidden/>
          </w:rPr>
          <w:fldChar w:fldCharType="separate"/>
        </w:r>
        <w:r>
          <w:rPr>
            <w:noProof/>
            <w:webHidden/>
          </w:rPr>
          <w:t>68</w:t>
        </w:r>
        <w:r>
          <w:rPr>
            <w:noProof/>
            <w:webHidden/>
          </w:rPr>
          <w:fldChar w:fldCharType="end"/>
        </w:r>
      </w:hyperlink>
    </w:p>
    <w:p w14:paraId="71CF5669" w14:textId="26FEB7B2"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7" w:history="1">
        <w:r w:rsidRPr="00A2299D">
          <w:rPr>
            <w:rStyle w:val="Hipervnculo"/>
            <w:noProof/>
          </w:rPr>
          <w:t>Tabla 11. Dimensiones de calidad de datos clínicos y su operacionalización en la investigación</w:t>
        </w:r>
        <w:r>
          <w:rPr>
            <w:noProof/>
            <w:webHidden/>
          </w:rPr>
          <w:tab/>
        </w:r>
        <w:r>
          <w:rPr>
            <w:noProof/>
            <w:webHidden/>
          </w:rPr>
          <w:fldChar w:fldCharType="begin"/>
        </w:r>
        <w:r>
          <w:rPr>
            <w:noProof/>
            <w:webHidden/>
          </w:rPr>
          <w:instrText xml:space="preserve"> PAGEREF _Toc225939037 \h </w:instrText>
        </w:r>
        <w:r>
          <w:rPr>
            <w:noProof/>
            <w:webHidden/>
          </w:rPr>
        </w:r>
        <w:r>
          <w:rPr>
            <w:noProof/>
            <w:webHidden/>
          </w:rPr>
          <w:fldChar w:fldCharType="separate"/>
        </w:r>
        <w:r>
          <w:rPr>
            <w:noProof/>
            <w:webHidden/>
          </w:rPr>
          <w:t>74</w:t>
        </w:r>
        <w:r>
          <w:rPr>
            <w:noProof/>
            <w:webHidden/>
          </w:rPr>
          <w:fldChar w:fldCharType="end"/>
        </w:r>
      </w:hyperlink>
    </w:p>
    <w:p w14:paraId="3A32E7C4" w14:textId="064B33A6"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38" w:history="1">
        <w:r w:rsidRPr="00A2299D">
          <w:rPr>
            <w:rStyle w:val="Hipervnculo"/>
            <w:noProof/>
          </w:rPr>
          <w:t>Tabla 12. Marco normativo peruano para la interoperabilidad en salud</w:t>
        </w:r>
        <w:r>
          <w:rPr>
            <w:noProof/>
            <w:webHidden/>
          </w:rPr>
          <w:tab/>
        </w:r>
        <w:r>
          <w:rPr>
            <w:noProof/>
            <w:webHidden/>
          </w:rPr>
          <w:fldChar w:fldCharType="begin"/>
        </w:r>
        <w:r>
          <w:rPr>
            <w:noProof/>
            <w:webHidden/>
          </w:rPr>
          <w:instrText xml:space="preserve"> PAGEREF _Toc225939038 \h </w:instrText>
        </w:r>
        <w:r>
          <w:rPr>
            <w:noProof/>
            <w:webHidden/>
          </w:rPr>
        </w:r>
        <w:r>
          <w:rPr>
            <w:noProof/>
            <w:webHidden/>
          </w:rPr>
          <w:fldChar w:fldCharType="separate"/>
        </w:r>
        <w:r>
          <w:rPr>
            <w:noProof/>
            <w:webHidden/>
          </w:rPr>
          <w:t>79</w:t>
        </w:r>
        <w:r>
          <w:rPr>
            <w:noProof/>
            <w:webHidden/>
          </w:rPr>
          <w:fldChar w:fldCharType="end"/>
        </w:r>
      </w:hyperlink>
    </w:p>
    <w:p w14:paraId="2A07F1CA" w14:textId="4DF21A27" w:rsidR="00720442" w:rsidRDefault="0080011C">
      <w:r>
        <w:fldChar w:fldCharType="end"/>
      </w:r>
    </w:p>
    <w:p w14:paraId="0DD3AAA7" w14:textId="77777777" w:rsidR="00720442" w:rsidRDefault="0080011C">
      <w:pPr>
        <w:pStyle w:val="Ttulo1"/>
        <w:pageBreakBefore/>
      </w:pPr>
      <w:bookmarkStart w:id="4" w:name="índice-de-figuras"/>
      <w:bookmarkStart w:id="5" w:name="_Toc225938996"/>
      <w:bookmarkEnd w:id="2"/>
      <w:r>
        <w:lastRenderedPageBreak/>
        <w:t>Índice de figuras</w:t>
      </w:r>
      <w:bookmarkEnd w:id="5"/>
    </w:p>
    <w:p w14:paraId="44457454" w14:textId="1C5B87D0" w:rsidR="005314D4" w:rsidRDefault="0080011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5939039" w:history="1">
        <w:r w:rsidR="005314D4" w:rsidRPr="00F610DF">
          <w:rPr>
            <w:rStyle w:val="Hipervnculo"/>
            <w:i/>
            <w:noProof/>
          </w:rPr>
          <w:t xml:space="preserve">Figura </w:t>
        </w:r>
        <w:r w:rsidR="005314D4" w:rsidRPr="00F610DF">
          <w:rPr>
            <w:rStyle w:val="Hipervnculo"/>
            <w:noProof/>
          </w:rPr>
          <w:t>1</w:t>
        </w:r>
        <w:r w:rsidR="005314D4" w:rsidRPr="00F610DF">
          <w:rPr>
            <w:rStyle w:val="Hipervnculo"/>
            <w:i/>
            <w:noProof/>
          </w:rPr>
          <w:t>. Fragmentación del sistema de salud peruano y múltiples historias clínicas por paciente</w:t>
        </w:r>
        <w:r w:rsidR="005314D4">
          <w:rPr>
            <w:noProof/>
            <w:webHidden/>
          </w:rPr>
          <w:tab/>
        </w:r>
        <w:r w:rsidR="005314D4">
          <w:rPr>
            <w:noProof/>
            <w:webHidden/>
          </w:rPr>
          <w:fldChar w:fldCharType="begin"/>
        </w:r>
        <w:r w:rsidR="005314D4">
          <w:rPr>
            <w:noProof/>
            <w:webHidden/>
          </w:rPr>
          <w:instrText xml:space="preserve"> PAGEREF _Toc225939039 \h </w:instrText>
        </w:r>
        <w:r w:rsidR="005314D4">
          <w:rPr>
            <w:noProof/>
            <w:webHidden/>
          </w:rPr>
        </w:r>
        <w:r w:rsidR="005314D4">
          <w:rPr>
            <w:noProof/>
            <w:webHidden/>
          </w:rPr>
          <w:fldChar w:fldCharType="separate"/>
        </w:r>
        <w:r w:rsidR="005314D4">
          <w:rPr>
            <w:noProof/>
            <w:webHidden/>
          </w:rPr>
          <w:t>7</w:t>
        </w:r>
        <w:r w:rsidR="005314D4">
          <w:rPr>
            <w:noProof/>
            <w:webHidden/>
          </w:rPr>
          <w:fldChar w:fldCharType="end"/>
        </w:r>
      </w:hyperlink>
    </w:p>
    <w:p w14:paraId="378CA3A4" w14:textId="10BC63F9"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0" w:history="1">
        <w:r w:rsidRPr="00F610DF">
          <w:rPr>
            <w:rStyle w:val="Hipervnculo"/>
            <w:i/>
            <w:noProof/>
          </w:rPr>
          <w:t xml:space="preserve">Figura </w:t>
        </w:r>
        <w:r w:rsidRPr="00F610DF">
          <w:rPr>
            <w:rStyle w:val="Hipervnculo"/>
            <w:noProof/>
          </w:rPr>
          <w:t>2</w:t>
        </w:r>
        <w:r w:rsidRPr="00F610DF">
          <w:rPr>
            <w:rStyle w:val="Hipervnculo"/>
            <w:i/>
            <w:noProof/>
          </w:rPr>
          <w:t>. Marco normativo peruano para la interoperabilidad en salud</w:t>
        </w:r>
        <w:r>
          <w:rPr>
            <w:noProof/>
            <w:webHidden/>
          </w:rPr>
          <w:tab/>
        </w:r>
        <w:r>
          <w:rPr>
            <w:noProof/>
            <w:webHidden/>
          </w:rPr>
          <w:fldChar w:fldCharType="begin"/>
        </w:r>
        <w:r>
          <w:rPr>
            <w:noProof/>
            <w:webHidden/>
          </w:rPr>
          <w:instrText xml:space="preserve"> PAGEREF _Toc225939040 \h </w:instrText>
        </w:r>
        <w:r>
          <w:rPr>
            <w:noProof/>
            <w:webHidden/>
          </w:rPr>
        </w:r>
        <w:r>
          <w:rPr>
            <w:noProof/>
            <w:webHidden/>
          </w:rPr>
          <w:fldChar w:fldCharType="separate"/>
        </w:r>
        <w:r>
          <w:rPr>
            <w:noProof/>
            <w:webHidden/>
          </w:rPr>
          <w:t>8</w:t>
        </w:r>
        <w:r>
          <w:rPr>
            <w:noProof/>
            <w:webHidden/>
          </w:rPr>
          <w:fldChar w:fldCharType="end"/>
        </w:r>
      </w:hyperlink>
    </w:p>
    <w:p w14:paraId="296E9E5A" w14:textId="02AB4803"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1" w:history="1">
        <w:r w:rsidRPr="00F610DF">
          <w:rPr>
            <w:rStyle w:val="Hipervnculo"/>
            <w:i/>
            <w:noProof/>
          </w:rPr>
          <w:t xml:space="preserve">Figura </w:t>
        </w:r>
        <w:r w:rsidRPr="00F610DF">
          <w:rPr>
            <w:rStyle w:val="Hipervnculo"/>
            <w:noProof/>
          </w:rPr>
          <w:t>3</w:t>
        </w:r>
        <w:r w:rsidRPr="00F610DF">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_Toc225939041 \h </w:instrText>
        </w:r>
        <w:r>
          <w:rPr>
            <w:noProof/>
            <w:webHidden/>
          </w:rPr>
        </w:r>
        <w:r>
          <w:rPr>
            <w:noProof/>
            <w:webHidden/>
          </w:rPr>
          <w:fldChar w:fldCharType="separate"/>
        </w:r>
        <w:r>
          <w:rPr>
            <w:noProof/>
            <w:webHidden/>
          </w:rPr>
          <w:t>9</w:t>
        </w:r>
        <w:r>
          <w:rPr>
            <w:noProof/>
            <w:webHidden/>
          </w:rPr>
          <w:fldChar w:fldCharType="end"/>
        </w:r>
      </w:hyperlink>
    </w:p>
    <w:p w14:paraId="13BD9905" w14:textId="2764A006"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2" w:history="1">
        <w:r w:rsidRPr="00F610DF">
          <w:rPr>
            <w:rStyle w:val="Hipervnculo"/>
            <w:i/>
            <w:noProof/>
          </w:rPr>
          <w:t xml:space="preserve">Figura </w:t>
        </w:r>
        <w:r w:rsidRPr="00F610DF">
          <w:rPr>
            <w:rStyle w:val="Hipervnculo"/>
            <w:noProof/>
          </w:rPr>
          <w:t>4</w:t>
        </w:r>
        <w:r w:rsidRPr="00F610DF">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_Toc225939042 \h </w:instrText>
        </w:r>
        <w:r>
          <w:rPr>
            <w:noProof/>
            <w:webHidden/>
          </w:rPr>
        </w:r>
        <w:r>
          <w:rPr>
            <w:noProof/>
            <w:webHidden/>
          </w:rPr>
          <w:fldChar w:fldCharType="separate"/>
        </w:r>
        <w:r>
          <w:rPr>
            <w:noProof/>
            <w:webHidden/>
          </w:rPr>
          <w:t>12</w:t>
        </w:r>
        <w:r>
          <w:rPr>
            <w:noProof/>
            <w:webHidden/>
          </w:rPr>
          <w:fldChar w:fldCharType="end"/>
        </w:r>
      </w:hyperlink>
    </w:p>
    <w:p w14:paraId="6BA422BD" w14:textId="0FB40841"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3" w:history="1">
        <w:r w:rsidRPr="00F610DF">
          <w:rPr>
            <w:rStyle w:val="Hipervnculo"/>
            <w:i/>
            <w:noProof/>
          </w:rPr>
          <w:t xml:space="preserve">Figura </w:t>
        </w:r>
        <w:r w:rsidRPr="00F610DF">
          <w:rPr>
            <w:rStyle w:val="Hipervnculo"/>
            <w:noProof/>
          </w:rPr>
          <w:t>5</w:t>
        </w:r>
        <w:r w:rsidRPr="00F610DF">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_Toc225939043 \h </w:instrText>
        </w:r>
        <w:r>
          <w:rPr>
            <w:noProof/>
            <w:webHidden/>
          </w:rPr>
        </w:r>
        <w:r>
          <w:rPr>
            <w:noProof/>
            <w:webHidden/>
          </w:rPr>
          <w:fldChar w:fldCharType="separate"/>
        </w:r>
        <w:r>
          <w:rPr>
            <w:noProof/>
            <w:webHidden/>
          </w:rPr>
          <w:t>15</w:t>
        </w:r>
        <w:r>
          <w:rPr>
            <w:noProof/>
            <w:webHidden/>
          </w:rPr>
          <w:fldChar w:fldCharType="end"/>
        </w:r>
      </w:hyperlink>
    </w:p>
    <w:p w14:paraId="12D5A945" w14:textId="7CA46002"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4" w:history="1">
        <w:r w:rsidRPr="00F610DF">
          <w:rPr>
            <w:rStyle w:val="Hipervnculo"/>
            <w:i/>
            <w:noProof/>
          </w:rPr>
          <w:t xml:space="preserve">Figura </w:t>
        </w:r>
        <w:r w:rsidRPr="00F610DF">
          <w:rPr>
            <w:rStyle w:val="Hipervnculo"/>
            <w:noProof/>
          </w:rPr>
          <w:t>6</w:t>
        </w:r>
        <w:r w:rsidRPr="00F610DF">
          <w:rPr>
            <w:rStyle w:val="Hipervnculo"/>
            <w:i/>
            <w:noProof/>
          </w:rPr>
          <w:t>. Fases del enfoque metodológico</w:t>
        </w:r>
        <w:r>
          <w:rPr>
            <w:noProof/>
            <w:webHidden/>
          </w:rPr>
          <w:tab/>
        </w:r>
        <w:r>
          <w:rPr>
            <w:noProof/>
            <w:webHidden/>
          </w:rPr>
          <w:fldChar w:fldCharType="begin"/>
        </w:r>
        <w:r>
          <w:rPr>
            <w:noProof/>
            <w:webHidden/>
          </w:rPr>
          <w:instrText xml:space="preserve"> PAGEREF _Toc225939044 \h </w:instrText>
        </w:r>
        <w:r>
          <w:rPr>
            <w:noProof/>
            <w:webHidden/>
          </w:rPr>
        </w:r>
        <w:r>
          <w:rPr>
            <w:noProof/>
            <w:webHidden/>
          </w:rPr>
          <w:fldChar w:fldCharType="separate"/>
        </w:r>
        <w:r>
          <w:rPr>
            <w:noProof/>
            <w:webHidden/>
          </w:rPr>
          <w:t>18</w:t>
        </w:r>
        <w:r>
          <w:rPr>
            <w:noProof/>
            <w:webHidden/>
          </w:rPr>
          <w:fldChar w:fldCharType="end"/>
        </w:r>
      </w:hyperlink>
    </w:p>
    <w:p w14:paraId="29CB723E" w14:textId="3F06062D"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5" w:history="1">
        <w:r w:rsidRPr="00F610DF">
          <w:rPr>
            <w:rStyle w:val="Hipervnculo"/>
            <w:i/>
            <w:noProof/>
          </w:rPr>
          <w:t xml:space="preserve">Figura </w:t>
        </w:r>
        <w:r w:rsidRPr="00F610DF">
          <w:rPr>
            <w:rStyle w:val="Hipervnculo"/>
            <w:noProof/>
          </w:rPr>
          <w:t>7</w:t>
        </w:r>
        <w:r w:rsidRPr="00F610DF">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_Toc225939045 \h </w:instrText>
        </w:r>
        <w:r>
          <w:rPr>
            <w:noProof/>
            <w:webHidden/>
          </w:rPr>
        </w:r>
        <w:r>
          <w:rPr>
            <w:noProof/>
            <w:webHidden/>
          </w:rPr>
          <w:fldChar w:fldCharType="separate"/>
        </w:r>
        <w:r>
          <w:rPr>
            <w:noProof/>
            <w:webHidden/>
          </w:rPr>
          <w:t>20</w:t>
        </w:r>
        <w:r>
          <w:rPr>
            <w:noProof/>
            <w:webHidden/>
          </w:rPr>
          <w:fldChar w:fldCharType="end"/>
        </w:r>
      </w:hyperlink>
    </w:p>
    <w:p w14:paraId="7CEA7482" w14:textId="409AA03E"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6" w:history="1">
        <w:r w:rsidRPr="00F610DF">
          <w:rPr>
            <w:rStyle w:val="Hipervnculo"/>
            <w:i/>
            <w:noProof/>
          </w:rPr>
          <w:t xml:space="preserve">Figura </w:t>
        </w:r>
        <w:r w:rsidRPr="00F610DF">
          <w:rPr>
            <w:rStyle w:val="Hipervnculo"/>
            <w:noProof/>
          </w:rPr>
          <w:t>8</w:t>
        </w:r>
        <w:r w:rsidRPr="00F610DF">
          <w:rPr>
            <w:rStyle w:val="Hipervnculo"/>
            <w:i/>
            <w:noProof/>
          </w:rPr>
          <w:t>. Distribución de incidencias reportadas en la plataforma Satusehat de Indonesia</w:t>
        </w:r>
        <w:r>
          <w:rPr>
            <w:noProof/>
            <w:webHidden/>
          </w:rPr>
          <w:tab/>
        </w:r>
        <w:r>
          <w:rPr>
            <w:noProof/>
            <w:webHidden/>
          </w:rPr>
          <w:fldChar w:fldCharType="begin"/>
        </w:r>
        <w:r>
          <w:rPr>
            <w:noProof/>
            <w:webHidden/>
          </w:rPr>
          <w:instrText xml:space="preserve"> PAGEREF _Toc225939046 \h </w:instrText>
        </w:r>
        <w:r>
          <w:rPr>
            <w:noProof/>
            <w:webHidden/>
          </w:rPr>
        </w:r>
        <w:r>
          <w:rPr>
            <w:noProof/>
            <w:webHidden/>
          </w:rPr>
          <w:fldChar w:fldCharType="separate"/>
        </w:r>
        <w:r>
          <w:rPr>
            <w:noProof/>
            <w:webHidden/>
          </w:rPr>
          <w:t>28</w:t>
        </w:r>
        <w:r>
          <w:rPr>
            <w:noProof/>
            <w:webHidden/>
          </w:rPr>
          <w:fldChar w:fldCharType="end"/>
        </w:r>
      </w:hyperlink>
    </w:p>
    <w:p w14:paraId="4984A413" w14:textId="7A78F2D0"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7" w:history="1">
        <w:r w:rsidRPr="00F610DF">
          <w:rPr>
            <w:rStyle w:val="Hipervnculo"/>
            <w:i/>
            <w:noProof/>
          </w:rPr>
          <w:t xml:space="preserve">Figura </w:t>
        </w:r>
        <w:r w:rsidRPr="00F610DF">
          <w:rPr>
            <w:rStyle w:val="Hipervnculo"/>
            <w:noProof/>
          </w:rPr>
          <w:t>9</w:t>
        </w:r>
        <w:r w:rsidRPr="00F610DF">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_Toc225939047 \h </w:instrText>
        </w:r>
        <w:r>
          <w:rPr>
            <w:noProof/>
            <w:webHidden/>
          </w:rPr>
        </w:r>
        <w:r>
          <w:rPr>
            <w:noProof/>
            <w:webHidden/>
          </w:rPr>
          <w:fldChar w:fldCharType="separate"/>
        </w:r>
        <w:r>
          <w:rPr>
            <w:noProof/>
            <w:webHidden/>
          </w:rPr>
          <w:t>58</w:t>
        </w:r>
        <w:r>
          <w:rPr>
            <w:noProof/>
            <w:webHidden/>
          </w:rPr>
          <w:fldChar w:fldCharType="end"/>
        </w:r>
      </w:hyperlink>
    </w:p>
    <w:p w14:paraId="009748B2" w14:textId="069D1B8B"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8" w:history="1">
        <w:r w:rsidRPr="00F610DF">
          <w:rPr>
            <w:rStyle w:val="Hipervnculo"/>
            <w:i/>
            <w:noProof/>
          </w:rPr>
          <w:t xml:space="preserve">Figura </w:t>
        </w:r>
        <w:r w:rsidRPr="00F610DF">
          <w:rPr>
            <w:rStyle w:val="Hipervnculo"/>
            <w:noProof/>
          </w:rPr>
          <w:t>10</w:t>
        </w:r>
        <w:r w:rsidRPr="00F610DF">
          <w:rPr>
            <w:rStyle w:val="Hipervnculo"/>
            <w:i/>
            <w:noProof/>
          </w:rPr>
          <w:t>. Taxonomía de estándares de interoperabilidad en salud</w:t>
        </w:r>
        <w:r>
          <w:rPr>
            <w:noProof/>
            <w:webHidden/>
          </w:rPr>
          <w:tab/>
        </w:r>
        <w:r>
          <w:rPr>
            <w:noProof/>
            <w:webHidden/>
          </w:rPr>
          <w:fldChar w:fldCharType="begin"/>
        </w:r>
        <w:r>
          <w:rPr>
            <w:noProof/>
            <w:webHidden/>
          </w:rPr>
          <w:instrText xml:space="preserve"> PAGEREF _Toc225939048 \h </w:instrText>
        </w:r>
        <w:r>
          <w:rPr>
            <w:noProof/>
            <w:webHidden/>
          </w:rPr>
        </w:r>
        <w:r>
          <w:rPr>
            <w:noProof/>
            <w:webHidden/>
          </w:rPr>
          <w:fldChar w:fldCharType="separate"/>
        </w:r>
        <w:r>
          <w:rPr>
            <w:noProof/>
            <w:webHidden/>
          </w:rPr>
          <w:t>60</w:t>
        </w:r>
        <w:r>
          <w:rPr>
            <w:noProof/>
            <w:webHidden/>
          </w:rPr>
          <w:fldChar w:fldCharType="end"/>
        </w:r>
      </w:hyperlink>
    </w:p>
    <w:p w14:paraId="46CC7555" w14:textId="42BF0B1F"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49" w:history="1">
        <w:r w:rsidRPr="00F610DF">
          <w:rPr>
            <w:rStyle w:val="Hipervnculo"/>
            <w:i/>
            <w:noProof/>
          </w:rPr>
          <w:t xml:space="preserve">Figura </w:t>
        </w:r>
        <w:r w:rsidRPr="00F610DF">
          <w:rPr>
            <w:rStyle w:val="Hipervnculo"/>
            <w:noProof/>
          </w:rPr>
          <w:t>11</w:t>
        </w:r>
        <w:r w:rsidRPr="00F610DF">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_Toc225939049 \h </w:instrText>
        </w:r>
        <w:r>
          <w:rPr>
            <w:noProof/>
            <w:webHidden/>
          </w:rPr>
        </w:r>
        <w:r>
          <w:rPr>
            <w:noProof/>
            <w:webHidden/>
          </w:rPr>
          <w:fldChar w:fldCharType="separate"/>
        </w:r>
        <w:r>
          <w:rPr>
            <w:noProof/>
            <w:webHidden/>
          </w:rPr>
          <w:t>61</w:t>
        </w:r>
        <w:r>
          <w:rPr>
            <w:noProof/>
            <w:webHidden/>
          </w:rPr>
          <w:fldChar w:fldCharType="end"/>
        </w:r>
      </w:hyperlink>
    </w:p>
    <w:p w14:paraId="2CBE1F37" w14:textId="3213D53B"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0" w:history="1">
        <w:r w:rsidRPr="00F610DF">
          <w:rPr>
            <w:rStyle w:val="Hipervnculo"/>
            <w:i/>
            <w:noProof/>
          </w:rPr>
          <w:t xml:space="preserve">Figura </w:t>
        </w:r>
        <w:r w:rsidRPr="00F610DF">
          <w:rPr>
            <w:rStyle w:val="Hipervnculo"/>
            <w:noProof/>
          </w:rPr>
          <w:t>12</w:t>
        </w:r>
        <w:r w:rsidRPr="00F610DF">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_Toc225939050 \h </w:instrText>
        </w:r>
        <w:r>
          <w:rPr>
            <w:noProof/>
            <w:webHidden/>
          </w:rPr>
        </w:r>
        <w:r>
          <w:rPr>
            <w:noProof/>
            <w:webHidden/>
          </w:rPr>
          <w:fldChar w:fldCharType="separate"/>
        </w:r>
        <w:r>
          <w:rPr>
            <w:noProof/>
            <w:webHidden/>
          </w:rPr>
          <w:t>63</w:t>
        </w:r>
        <w:r>
          <w:rPr>
            <w:noProof/>
            <w:webHidden/>
          </w:rPr>
          <w:fldChar w:fldCharType="end"/>
        </w:r>
      </w:hyperlink>
    </w:p>
    <w:p w14:paraId="14C03E0D" w14:textId="07D31E7B"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1" w:history="1">
        <w:r w:rsidRPr="00F610DF">
          <w:rPr>
            <w:rStyle w:val="Hipervnculo"/>
            <w:i/>
            <w:noProof/>
          </w:rPr>
          <w:t xml:space="preserve">Figura </w:t>
        </w:r>
        <w:r w:rsidRPr="00F610DF">
          <w:rPr>
            <w:rStyle w:val="Hipervnculo"/>
            <w:noProof/>
          </w:rPr>
          <w:t>13</w:t>
        </w:r>
        <w:r w:rsidRPr="00F610DF">
          <w:rPr>
            <w:rStyle w:val="Hipervnculo"/>
            <w:i/>
            <w:noProof/>
          </w:rPr>
          <w:t>. Recursos FHIR principales y sus relaciones</w:t>
        </w:r>
        <w:r>
          <w:rPr>
            <w:noProof/>
            <w:webHidden/>
          </w:rPr>
          <w:tab/>
        </w:r>
        <w:r>
          <w:rPr>
            <w:noProof/>
            <w:webHidden/>
          </w:rPr>
          <w:fldChar w:fldCharType="begin"/>
        </w:r>
        <w:r>
          <w:rPr>
            <w:noProof/>
            <w:webHidden/>
          </w:rPr>
          <w:instrText xml:space="preserve"> PAGEREF _Toc225939051 \h </w:instrText>
        </w:r>
        <w:r>
          <w:rPr>
            <w:noProof/>
            <w:webHidden/>
          </w:rPr>
        </w:r>
        <w:r>
          <w:rPr>
            <w:noProof/>
            <w:webHidden/>
          </w:rPr>
          <w:fldChar w:fldCharType="separate"/>
        </w:r>
        <w:r>
          <w:rPr>
            <w:noProof/>
            <w:webHidden/>
          </w:rPr>
          <w:t>65</w:t>
        </w:r>
        <w:r>
          <w:rPr>
            <w:noProof/>
            <w:webHidden/>
          </w:rPr>
          <w:fldChar w:fldCharType="end"/>
        </w:r>
      </w:hyperlink>
    </w:p>
    <w:p w14:paraId="2E192DA0" w14:textId="7887BC5D"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2" w:history="1">
        <w:r w:rsidRPr="00F610DF">
          <w:rPr>
            <w:rStyle w:val="Hipervnculo"/>
            <w:i/>
            <w:noProof/>
          </w:rPr>
          <w:t xml:space="preserve">Figura </w:t>
        </w:r>
        <w:r w:rsidRPr="00F610DF">
          <w:rPr>
            <w:rStyle w:val="Hipervnculo"/>
            <w:noProof/>
          </w:rPr>
          <w:t>14</w:t>
        </w:r>
        <w:r w:rsidRPr="00F610DF">
          <w:rPr>
            <w:rStyle w:val="Hipervnculo"/>
            <w:i/>
            <w:noProof/>
          </w:rPr>
          <w:t>. Distribución de enfoques de interoperabilidad semántica con FHIR</w:t>
        </w:r>
        <w:r>
          <w:rPr>
            <w:noProof/>
            <w:webHidden/>
          </w:rPr>
          <w:tab/>
        </w:r>
        <w:r>
          <w:rPr>
            <w:noProof/>
            <w:webHidden/>
          </w:rPr>
          <w:fldChar w:fldCharType="begin"/>
        </w:r>
        <w:r>
          <w:rPr>
            <w:noProof/>
            <w:webHidden/>
          </w:rPr>
          <w:instrText xml:space="preserve"> PAGEREF _Toc225939052 \h </w:instrText>
        </w:r>
        <w:r>
          <w:rPr>
            <w:noProof/>
            <w:webHidden/>
          </w:rPr>
        </w:r>
        <w:r>
          <w:rPr>
            <w:noProof/>
            <w:webHidden/>
          </w:rPr>
          <w:fldChar w:fldCharType="separate"/>
        </w:r>
        <w:r>
          <w:rPr>
            <w:noProof/>
            <w:webHidden/>
          </w:rPr>
          <w:t>67</w:t>
        </w:r>
        <w:r>
          <w:rPr>
            <w:noProof/>
            <w:webHidden/>
          </w:rPr>
          <w:fldChar w:fldCharType="end"/>
        </w:r>
      </w:hyperlink>
    </w:p>
    <w:p w14:paraId="16F80FBF" w14:textId="10C2C000"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3" w:history="1">
        <w:r w:rsidRPr="00F610DF">
          <w:rPr>
            <w:rStyle w:val="Hipervnculo"/>
            <w:i/>
            <w:noProof/>
          </w:rPr>
          <w:t xml:space="preserve">Figura </w:t>
        </w:r>
        <w:r w:rsidRPr="00F610DF">
          <w:rPr>
            <w:rStyle w:val="Hipervnculo"/>
            <w:noProof/>
          </w:rPr>
          <w:t>15</w:t>
        </w:r>
        <w:r w:rsidRPr="00F610DF">
          <w:rPr>
            <w:rStyle w:val="Hipervnculo"/>
            <w:i/>
            <w:noProof/>
          </w:rPr>
          <w:t>. Modelos de arquitectura para el intercambio de información en salud (HIE)</w:t>
        </w:r>
        <w:r>
          <w:rPr>
            <w:noProof/>
            <w:webHidden/>
          </w:rPr>
          <w:tab/>
        </w:r>
        <w:r>
          <w:rPr>
            <w:noProof/>
            <w:webHidden/>
          </w:rPr>
          <w:fldChar w:fldCharType="begin"/>
        </w:r>
        <w:r>
          <w:rPr>
            <w:noProof/>
            <w:webHidden/>
          </w:rPr>
          <w:instrText xml:space="preserve"> PAGEREF _Toc225939053 \h </w:instrText>
        </w:r>
        <w:r>
          <w:rPr>
            <w:noProof/>
            <w:webHidden/>
          </w:rPr>
        </w:r>
        <w:r>
          <w:rPr>
            <w:noProof/>
            <w:webHidden/>
          </w:rPr>
          <w:fldChar w:fldCharType="separate"/>
        </w:r>
        <w:r>
          <w:rPr>
            <w:noProof/>
            <w:webHidden/>
          </w:rPr>
          <w:t>70</w:t>
        </w:r>
        <w:r>
          <w:rPr>
            <w:noProof/>
            <w:webHidden/>
          </w:rPr>
          <w:fldChar w:fldCharType="end"/>
        </w:r>
      </w:hyperlink>
    </w:p>
    <w:p w14:paraId="4580C3D7" w14:textId="0477E428"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4" w:history="1">
        <w:r w:rsidRPr="00F610DF">
          <w:rPr>
            <w:rStyle w:val="Hipervnculo"/>
            <w:i/>
            <w:noProof/>
          </w:rPr>
          <w:t xml:space="preserve">Figura </w:t>
        </w:r>
        <w:r w:rsidRPr="00F610DF">
          <w:rPr>
            <w:rStyle w:val="Hipervnculo"/>
            <w:noProof/>
          </w:rPr>
          <w:t>16</w:t>
        </w:r>
        <w:r w:rsidRPr="00F610DF">
          <w:rPr>
            <w:rStyle w:val="Hipervnculo"/>
            <w:i/>
            <w:noProof/>
          </w:rPr>
          <w:t>. Arquitectura por capas para interoperabilidad clínica end-to-end</w:t>
        </w:r>
        <w:r>
          <w:rPr>
            <w:noProof/>
            <w:webHidden/>
          </w:rPr>
          <w:tab/>
        </w:r>
        <w:r>
          <w:rPr>
            <w:noProof/>
            <w:webHidden/>
          </w:rPr>
          <w:fldChar w:fldCharType="begin"/>
        </w:r>
        <w:r>
          <w:rPr>
            <w:noProof/>
            <w:webHidden/>
          </w:rPr>
          <w:instrText xml:space="preserve"> PAGEREF _Toc225939054 \h </w:instrText>
        </w:r>
        <w:r>
          <w:rPr>
            <w:noProof/>
            <w:webHidden/>
          </w:rPr>
        </w:r>
        <w:r>
          <w:rPr>
            <w:noProof/>
            <w:webHidden/>
          </w:rPr>
          <w:fldChar w:fldCharType="separate"/>
        </w:r>
        <w:r>
          <w:rPr>
            <w:noProof/>
            <w:webHidden/>
          </w:rPr>
          <w:t>72</w:t>
        </w:r>
        <w:r>
          <w:rPr>
            <w:noProof/>
            <w:webHidden/>
          </w:rPr>
          <w:fldChar w:fldCharType="end"/>
        </w:r>
      </w:hyperlink>
    </w:p>
    <w:p w14:paraId="77E5E472" w14:textId="58EAAA33" w:rsidR="005314D4" w:rsidRDefault="005314D4">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39055" w:history="1">
        <w:r w:rsidRPr="00F610DF">
          <w:rPr>
            <w:rStyle w:val="Hipervnculo"/>
            <w:i/>
            <w:noProof/>
          </w:rPr>
          <w:t xml:space="preserve">Figura </w:t>
        </w:r>
        <w:r w:rsidRPr="00F610DF">
          <w:rPr>
            <w:rStyle w:val="Hipervnculo"/>
            <w:noProof/>
          </w:rPr>
          <w:t>17</w:t>
        </w:r>
        <w:r w:rsidRPr="00F610DF">
          <w:rPr>
            <w:rStyle w:val="Hipervnculo"/>
            <w:i/>
            <w:noProof/>
          </w:rPr>
          <w:t>. Marco conceptual de la investigación</w:t>
        </w:r>
        <w:r>
          <w:rPr>
            <w:noProof/>
            <w:webHidden/>
          </w:rPr>
          <w:tab/>
        </w:r>
        <w:r>
          <w:rPr>
            <w:noProof/>
            <w:webHidden/>
          </w:rPr>
          <w:fldChar w:fldCharType="begin"/>
        </w:r>
        <w:r>
          <w:rPr>
            <w:noProof/>
            <w:webHidden/>
          </w:rPr>
          <w:instrText xml:space="preserve"> PAGEREF _Toc225939055 \h </w:instrText>
        </w:r>
        <w:r>
          <w:rPr>
            <w:noProof/>
            <w:webHidden/>
          </w:rPr>
        </w:r>
        <w:r>
          <w:rPr>
            <w:noProof/>
            <w:webHidden/>
          </w:rPr>
          <w:fldChar w:fldCharType="separate"/>
        </w:r>
        <w:r>
          <w:rPr>
            <w:noProof/>
            <w:webHidden/>
          </w:rPr>
          <w:t>76</w:t>
        </w:r>
        <w:r>
          <w:rPr>
            <w:noProof/>
            <w:webHidden/>
          </w:rPr>
          <w:fldChar w:fldCharType="end"/>
        </w:r>
      </w:hyperlink>
    </w:p>
    <w:p w14:paraId="00AE33D0" w14:textId="4979E558" w:rsidR="00720442" w:rsidRDefault="0080011C">
      <w:r>
        <w:fldChar w:fldCharType="end"/>
      </w:r>
    </w:p>
    <w:p w14:paraId="36065A80" w14:textId="77777777" w:rsidR="00720442" w:rsidRDefault="0080011C">
      <w:pPr>
        <w:pStyle w:val="Ttulo1"/>
        <w:pageBreakBefore/>
      </w:pPr>
      <w:bookmarkStart w:id="6" w:name="capítulo-i-planteamiento-del-estudio"/>
      <w:bookmarkStart w:id="7" w:name="_Toc225938997"/>
      <w:bookmarkEnd w:id="4"/>
      <w:r>
        <w:lastRenderedPageBreak/>
        <w:t>Capítulo I. Planteamiento del estudio</w:t>
      </w:r>
      <w:bookmarkEnd w:id="7"/>
    </w:p>
    <w:p w14:paraId="2CCAB339" w14:textId="77777777" w:rsidR="00720442" w:rsidRDefault="0080011C">
      <w:pPr>
        <w:pStyle w:val="Ttulo2"/>
      </w:pPr>
      <w:bookmarkStart w:id="8" w:name="planteamiento-y-formulación-del-problema"/>
      <w:bookmarkStart w:id="9" w:name="_Toc225938998"/>
      <w:r>
        <w:t>1.1. Planteamiento y formulación del problema</w:t>
      </w:r>
      <w:bookmarkEnd w:id="9"/>
    </w:p>
    <w:p w14:paraId="774A6506" w14:textId="77777777" w:rsidR="00720442" w:rsidRDefault="0080011C">
      <w:pPr>
        <w:pStyle w:val="Ttulo3"/>
      </w:pPr>
      <w:bookmarkStart w:id="10" w:name="planteamiento-del-problema"/>
      <w:bookmarkStart w:id="11" w:name="_Toc225938999"/>
      <w:r>
        <w:t>1.1.1. Planteamiento del problema</w:t>
      </w:r>
      <w:bookmarkEnd w:id="11"/>
    </w:p>
    <w:p w14:paraId="7C1296C7" w14:textId="77777777" w:rsidR="00720442" w:rsidRDefault="0080011C">
      <w:r>
        <w:t>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Healthcare Interoperability Resources) que habilite un intercambio de información clín</w:t>
      </w:r>
      <w:r>
        <w:t>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Moesel, 2023).</w:t>
      </w:r>
    </w:p>
    <w:p w14:paraId="702F5D61" w14:textId="77777777" w:rsidR="00720442" w:rsidRDefault="0080011C">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641E53A3" w14:textId="77777777" w:rsidR="00720442" w:rsidRDefault="0080011C">
      <w:r>
        <w:t>El panorama peruano refleja esta problemática de manera crítica. Bayona-Castañeda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w:t>
      </w:r>
      <w:r>
        <w:t xml:space="preserve">tablecimientos, lo que incrementa costos por exámenes duplicados y tiempos adicionales de gestión clínica. Porras-Gamarra </w:t>
      </w:r>
      <w:r>
        <w:lastRenderedPageBreak/>
        <w:t>(2024), con experiencia directa en interoperabilidad europea, contrasta que, durante la pandemia, mientras Europa debatía sobre estándares de mensajería, en Perú se construían sistemas aislados sin planificación ni estándares.</w:t>
      </w:r>
    </w:p>
    <w:p w14:paraId="7A7B88BA" w14:textId="77777777" w:rsidR="00720442" w:rsidRDefault="0080011C">
      <w:r>
        <w:t>La siguiente figura ilustra la fragmentación del sistema de salud peruano y sus consecuencias directas sobre la continuidad de la información clínica del paciente.</w:t>
      </w:r>
    </w:p>
    <w:p w14:paraId="703932B7" w14:textId="77777777" w:rsidR="00720442" w:rsidRDefault="0080011C">
      <w:r>
        <w:rPr>
          <w:noProof/>
        </w:rPr>
        <w:drawing>
          <wp:inline distT="0" distB="0" distL="0" distR="0" wp14:anchorId="55B53B1F" wp14:editId="24A9FF90">
            <wp:extent cx="5562600" cy="3450697"/>
            <wp:effectExtent l="0" t="0" r="0" b="0"/>
            <wp:docPr id="27" name="Picture" descr="Fragmentación del sistema de salud peruano y múltiples historias clínicas por paciente"/>
            <wp:cNvGraphicFramePr/>
            <a:graphic xmlns:a="http://schemas.openxmlformats.org/drawingml/2006/main">
              <a:graphicData uri="http://schemas.openxmlformats.org/drawingml/2006/picture">
                <pic:pic xmlns:pic="http://schemas.openxmlformats.org/drawingml/2006/picture">
                  <pic:nvPicPr>
                    <pic:cNvPr id="28" name="Picture" descr="media/diagrama-fragmentacion-sistema-salud-peru.png"/>
                    <pic:cNvPicPr>
                      <a:picLocks noChangeAspect="1" noChangeArrowheads="1"/>
                    </pic:cNvPicPr>
                  </pic:nvPicPr>
                  <pic:blipFill>
                    <a:blip r:embed="rId8"/>
                    <a:stretch>
                      <a:fillRect/>
                    </a:stretch>
                  </pic:blipFill>
                  <pic:spPr bwMode="auto">
                    <a:xfrm>
                      <a:off x="0" y="0"/>
                      <a:ext cx="5562600" cy="3450697"/>
                    </a:xfrm>
                    <a:prstGeom prst="rect">
                      <a:avLst/>
                    </a:prstGeom>
                    <a:noFill/>
                    <a:ln w="9525">
                      <a:noFill/>
                      <a:headEnd/>
                      <a:tailEnd/>
                    </a:ln>
                  </pic:spPr>
                </pic:pic>
              </a:graphicData>
            </a:graphic>
          </wp:inline>
        </w:drawing>
      </w:r>
    </w:p>
    <w:p w14:paraId="5D5B8D17" w14:textId="7C92DE2E" w:rsidR="00720442" w:rsidRDefault="0080011C">
      <w:pPr>
        <w:jc w:val="center"/>
      </w:pPr>
      <w:bookmarkStart w:id="12" w:name="_Toc225939039"/>
      <w:r>
        <w:rPr>
          <w:i/>
          <w:sz w:val="20"/>
        </w:rPr>
        <w:t xml:space="preserve">Figura </w:t>
      </w:r>
      <w:r>
        <w:fldChar w:fldCharType="begin"/>
      </w:r>
      <w:r>
        <w:instrText xml:space="preserve"> SEQ Figure \* ARABIC </w:instrText>
      </w:r>
      <w:r>
        <w:fldChar w:fldCharType="separate"/>
      </w:r>
      <w:r w:rsidR="005314D4">
        <w:rPr>
          <w:noProof/>
        </w:rPr>
        <w:t>1</w:t>
      </w:r>
      <w:r>
        <w:fldChar w:fldCharType="end"/>
      </w:r>
      <w:r>
        <w:rPr>
          <w:i/>
          <w:sz w:val="20"/>
        </w:rPr>
        <w:t>. Fragmentación del sistema de salud peruano y múltiples historias clínicas por paciente</w:t>
      </w:r>
      <w:bookmarkEnd w:id="12"/>
    </w:p>
    <w:p w14:paraId="1C4099E1" w14:textId="77777777" w:rsidR="00720442" w:rsidRDefault="0080011C">
      <w:pPr>
        <w:jc w:val="center"/>
      </w:pPr>
      <w:r>
        <w:rPr>
          <w:i/>
          <w:iCs/>
          <w:sz w:val="20"/>
        </w:rPr>
        <w:t>Nota.</w:t>
      </w:r>
      <w:r>
        <w:rPr>
          <w:sz w:val="20"/>
        </w:rPr>
        <w:t xml:space="preserve"> Elaboración propia a partir de Bayona-Castañeda (2019).</w:t>
      </w:r>
    </w:p>
    <w:p w14:paraId="755BFD24" w14:textId="77777777" w:rsidR="00720442" w:rsidRDefault="0080011C">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La siguiente figura presenta la estructura del marco normativo y la brecha entre lo establecido y lo ope</w:t>
      </w:r>
      <w:r>
        <w:t>rativo.</w:t>
      </w:r>
    </w:p>
    <w:p w14:paraId="650B34F4" w14:textId="77777777" w:rsidR="00720442" w:rsidRDefault="0080011C">
      <w:r>
        <w:rPr>
          <w:noProof/>
        </w:rPr>
        <w:lastRenderedPageBreak/>
        <w:drawing>
          <wp:inline distT="0" distB="0" distL="0" distR="0" wp14:anchorId="28BDEEFC" wp14:editId="198611D1">
            <wp:extent cx="5562600" cy="3815318"/>
            <wp:effectExtent l="0" t="0" r="0" b="0"/>
            <wp:docPr id="30"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1" name="Picture" descr="media/diagrama-marco-normativo-peru.png"/>
                    <pic:cNvPicPr>
                      <a:picLocks noChangeAspect="1" noChangeArrowheads="1"/>
                    </pic:cNvPicPr>
                  </pic:nvPicPr>
                  <pic:blipFill>
                    <a:blip r:embed="rId9"/>
                    <a:stretch>
                      <a:fillRect/>
                    </a:stretch>
                  </pic:blipFill>
                  <pic:spPr bwMode="auto">
                    <a:xfrm>
                      <a:off x="0" y="0"/>
                      <a:ext cx="5562600" cy="3815318"/>
                    </a:xfrm>
                    <a:prstGeom prst="rect">
                      <a:avLst/>
                    </a:prstGeom>
                    <a:noFill/>
                    <a:ln w="9525">
                      <a:noFill/>
                      <a:headEnd/>
                      <a:tailEnd/>
                    </a:ln>
                  </pic:spPr>
                </pic:pic>
              </a:graphicData>
            </a:graphic>
          </wp:inline>
        </w:drawing>
      </w:r>
    </w:p>
    <w:p w14:paraId="79FB5D9D" w14:textId="5C0E5D6E" w:rsidR="00720442" w:rsidRDefault="0080011C">
      <w:pPr>
        <w:jc w:val="center"/>
      </w:pPr>
      <w:bookmarkStart w:id="13" w:name="_Toc225939040"/>
      <w:r>
        <w:rPr>
          <w:i/>
          <w:sz w:val="20"/>
        </w:rPr>
        <w:t xml:space="preserve">Figura </w:t>
      </w:r>
      <w:r>
        <w:fldChar w:fldCharType="begin"/>
      </w:r>
      <w:r>
        <w:instrText xml:space="preserve"> SEQ Figure \* ARABIC </w:instrText>
      </w:r>
      <w:r>
        <w:fldChar w:fldCharType="separate"/>
      </w:r>
      <w:r w:rsidR="005314D4">
        <w:rPr>
          <w:noProof/>
        </w:rPr>
        <w:t>2</w:t>
      </w:r>
      <w:r>
        <w:fldChar w:fldCharType="end"/>
      </w:r>
      <w:r>
        <w:rPr>
          <w:i/>
          <w:sz w:val="20"/>
        </w:rPr>
        <w:t>. Marco normativo peruano para la interoperabilidad en salud</w:t>
      </w:r>
      <w:bookmarkEnd w:id="13"/>
    </w:p>
    <w:p w14:paraId="3B433C3B" w14:textId="77777777" w:rsidR="00720442" w:rsidRDefault="0080011C">
      <w:pPr>
        <w:jc w:val="center"/>
      </w:pPr>
      <w:r>
        <w:rPr>
          <w:i/>
          <w:iCs/>
          <w:sz w:val="20"/>
        </w:rPr>
        <w:t>Nota.</w:t>
      </w:r>
      <w:r>
        <w:rPr>
          <w:sz w:val="20"/>
        </w:rPr>
        <w:t xml:space="preserve"> Elaboración propia a partir de RM N° 1104-2018-MINSA, RM N° 464-2019-MINSA y RM N° 1193-2019-MINSA.</w:t>
      </w:r>
    </w:p>
    <w:p w14:paraId="1D6A885D" w14:textId="77777777" w:rsidR="00720442" w:rsidRDefault="0080011C">
      <w:r>
        <w:t>Como resultado, persisten brechas operativas concretas en los centros de salud del MINSA:</w:t>
      </w:r>
    </w:p>
    <w:p w14:paraId="1AFE24F7" w14:textId="77777777" w:rsidR="00720442" w:rsidRDefault="0080011C">
      <w:pPr>
        <w:numPr>
          <w:ilvl w:val="0"/>
          <w:numId w:val="58"/>
        </w:numPr>
      </w:pPr>
      <w:r>
        <w:rPr>
          <w:b/>
          <w:bCs/>
        </w:rPr>
        <w:t>Completitud de registros clínicos:</w:t>
      </w:r>
      <w:r>
        <w:t xml:space="preserve"> Información incompleta en historias clínicas que impide una visión integral del paciente.</w:t>
      </w:r>
    </w:p>
    <w:p w14:paraId="22DCCEA8" w14:textId="77777777" w:rsidR="00720442" w:rsidRDefault="0080011C">
      <w:pPr>
        <w:numPr>
          <w:ilvl w:val="0"/>
          <w:numId w:val="58"/>
        </w:numPr>
      </w:pPr>
      <w:r>
        <w:rPr>
          <w:b/>
          <w:bCs/>
        </w:rPr>
        <w:t>Inconsistencias en codificación clínica:</w:t>
      </w:r>
      <w:r>
        <w:t xml:space="preserve"> Uso heterogéneo de CIE-10 y CPMS, afectando el registro y la trazabilidad diagnóstica.</w:t>
      </w:r>
    </w:p>
    <w:p w14:paraId="0BF0BBFB" w14:textId="77777777" w:rsidR="00720442" w:rsidRDefault="0080011C">
      <w:pPr>
        <w:numPr>
          <w:ilvl w:val="0"/>
          <w:numId w:val="58"/>
        </w:numPr>
      </w:pPr>
      <w:r>
        <w:rPr>
          <w:b/>
          <w:bCs/>
        </w:rPr>
        <w:t>Duplicidad de información:</w:t>
      </w:r>
      <w:r>
        <w:t xml:space="preserve"> Múltiples registros de un mismo paciente y exámenes repetidos entre establecimientos.</w:t>
      </w:r>
    </w:p>
    <w:p w14:paraId="2D684176" w14:textId="77777777" w:rsidR="00720442" w:rsidRDefault="0080011C">
      <w:pPr>
        <w:numPr>
          <w:ilvl w:val="0"/>
          <w:numId w:val="58"/>
        </w:numPr>
      </w:pPr>
      <w:r>
        <w:rPr>
          <w:b/>
          <w:bCs/>
        </w:rPr>
        <w:t>Limitaciones en trazabilidad y continuidad:</w:t>
      </w:r>
      <w:r>
        <w:t xml:space="preserve"> Dificultad para dar seguimiento a la atención entre distintos niveles y redes de salud.</w:t>
      </w:r>
    </w:p>
    <w:p w14:paraId="13A404F7" w14:textId="77777777" w:rsidR="00720442" w:rsidRDefault="0080011C">
      <w:r>
        <w:t>La siguiente figura sintetiza las cuatro brechas identificadas y sus consecuencias directas sobre el sistema de salud.</w:t>
      </w:r>
    </w:p>
    <w:p w14:paraId="165F3AF2" w14:textId="77777777" w:rsidR="00720442" w:rsidRDefault="0080011C">
      <w:r>
        <w:rPr>
          <w:noProof/>
        </w:rPr>
        <w:lastRenderedPageBreak/>
        <w:drawing>
          <wp:inline distT="0" distB="0" distL="0" distR="0" wp14:anchorId="4766315A" wp14:editId="36802CE7">
            <wp:extent cx="5562600" cy="1738745"/>
            <wp:effectExtent l="0" t="0" r="0" b="0"/>
            <wp:docPr id="33"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4" name="Picture" descr="media/diagrama-brechas-interoperabilidad.png"/>
                    <pic:cNvPicPr>
                      <a:picLocks noChangeAspect="1" noChangeArrowheads="1"/>
                    </pic:cNvPicPr>
                  </pic:nvPicPr>
                  <pic:blipFill>
                    <a:blip r:embed="rId10"/>
                    <a:stretch>
                      <a:fillRect/>
                    </a:stretch>
                  </pic:blipFill>
                  <pic:spPr bwMode="auto">
                    <a:xfrm>
                      <a:off x="0" y="0"/>
                      <a:ext cx="5562600" cy="1738745"/>
                    </a:xfrm>
                    <a:prstGeom prst="rect">
                      <a:avLst/>
                    </a:prstGeom>
                    <a:noFill/>
                    <a:ln w="9525">
                      <a:noFill/>
                      <a:headEnd/>
                      <a:tailEnd/>
                    </a:ln>
                  </pic:spPr>
                </pic:pic>
              </a:graphicData>
            </a:graphic>
          </wp:inline>
        </w:drawing>
      </w:r>
    </w:p>
    <w:p w14:paraId="5E6506C4" w14:textId="5731E476" w:rsidR="00720442" w:rsidRDefault="0080011C">
      <w:pPr>
        <w:jc w:val="center"/>
      </w:pPr>
      <w:bookmarkStart w:id="14" w:name="_Toc225939041"/>
      <w:r>
        <w:rPr>
          <w:i/>
          <w:sz w:val="20"/>
        </w:rPr>
        <w:t xml:space="preserve">Figura </w:t>
      </w:r>
      <w:r>
        <w:fldChar w:fldCharType="begin"/>
      </w:r>
      <w:r>
        <w:instrText xml:space="preserve"> SEQ Figure \* ARABIC </w:instrText>
      </w:r>
      <w:r>
        <w:fldChar w:fldCharType="separate"/>
      </w:r>
      <w:r w:rsidR="005314D4">
        <w:rPr>
          <w:noProof/>
        </w:rPr>
        <w:t>3</w:t>
      </w:r>
      <w:r>
        <w:fldChar w:fldCharType="end"/>
      </w:r>
      <w:r>
        <w:rPr>
          <w:i/>
          <w:sz w:val="20"/>
        </w:rPr>
        <w:t>. Brechas de interoperabilidad identificadas en centros de salud del MINSA</w:t>
      </w:r>
      <w:bookmarkEnd w:id="14"/>
    </w:p>
    <w:p w14:paraId="64C17786" w14:textId="77777777" w:rsidR="00720442" w:rsidRDefault="0080011C">
      <w:pPr>
        <w:jc w:val="center"/>
      </w:pPr>
      <w:r>
        <w:rPr>
          <w:i/>
          <w:iCs/>
          <w:sz w:val="20"/>
        </w:rPr>
        <w:t>Nota.</w:t>
      </w:r>
      <w:r>
        <w:rPr>
          <w:sz w:val="20"/>
        </w:rPr>
        <w:t xml:space="preserve"> Elaboración propia.</w:t>
      </w:r>
    </w:p>
    <w:p w14:paraId="6D134637" w14:textId="77777777" w:rsidR="00720442" w:rsidRDefault="0080011C">
      <w:r>
        <w:t>En adición a las brechas detectadas, es crucial examinar la magnitud del asunto a través de datos cuantitativos que permitan entender su efecto en el sistema de salud.</w:t>
      </w:r>
    </w:p>
    <w:p w14:paraId="17799376" w14:textId="77777777" w:rsidR="00720442" w:rsidRDefault="0080011C">
      <w:r>
        <w:t>Desde una perspectiva cuantitativa, el problema de interoperabilidad en el sistema de salud de Perú es considerable. De acuerdo con Fernández Infanzón y Huarac-Cuizano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w:t>
      </w:r>
      <w:r>
        <w:t>mación clínica, y el 81.48% opina que una historia clínica electrónica única podría mejorar notablemente la atención.</w:t>
      </w:r>
    </w:p>
    <w:p w14:paraId="2E1AC380" w14:textId="77777777" w:rsidR="00720442" w:rsidRDefault="0080011C">
      <w:r>
        <w:t>En cuanto a la adopción de tecnología, investigaciones recientes muestran que el grado de madurez en interoperabilidad en Perú es inferior al 10%, señalando una brecha importante respecto a estándares internacionales. La Tabla 1 presenta una comparación de los niveles de madurez de interoperabilidad de EHR en países de América Latina, evidenciando la posición rezagada del Perú en la región.</w:t>
      </w:r>
    </w:p>
    <w:p w14:paraId="53CAD0BA" w14:textId="67F06242" w:rsidR="00720442" w:rsidRDefault="0080011C">
      <w:bookmarkStart w:id="15" w:name="tbl:madurez-latam"/>
      <w:bookmarkStart w:id="16" w:name="_Toc225939027"/>
      <w:r>
        <w:t xml:space="preserve">Tabla </w:t>
      </w:r>
      <w:r>
        <w:fldChar w:fldCharType="begin"/>
      </w:r>
      <w:r>
        <w:instrText xml:space="preserve"> SEQ Table \* ARABIC </w:instrText>
      </w:r>
      <w:r>
        <w:fldChar w:fldCharType="separate"/>
      </w:r>
      <w:r w:rsidR="005314D4">
        <w:rPr>
          <w:noProof/>
        </w:rPr>
        <w:t>1</w:t>
      </w:r>
      <w:r>
        <w:fldChar w:fldCharType="end"/>
      </w:r>
      <w:r>
        <w:t>. Madurez de interoperabilidad de EHR en países de América Latina</w:t>
      </w:r>
      <w:bookmarkEnd w:id="16"/>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Madurez de interoperabilidad de EHR en países de América Latina"/>
      </w:tblPr>
      <w:tblGrid>
        <w:gridCol w:w="1244"/>
        <w:gridCol w:w="3899"/>
      </w:tblGrid>
      <w:tr w:rsidR="00720442" w14:paraId="1D3378C3" w14:textId="77777777">
        <w:trPr>
          <w:tblHeader/>
        </w:trPr>
        <w:tc>
          <w:tcPr>
            <w:tcW w:w="0" w:type="auto"/>
          </w:tcPr>
          <w:p w14:paraId="26B6577F" w14:textId="77777777" w:rsidR="00720442" w:rsidRDefault="0080011C">
            <w:pPr>
              <w:jc w:val="left"/>
            </w:pPr>
            <w:r>
              <w:t>País</w:t>
            </w:r>
          </w:p>
        </w:tc>
        <w:tc>
          <w:tcPr>
            <w:tcW w:w="0" w:type="auto"/>
          </w:tcPr>
          <w:p w14:paraId="3C477A81" w14:textId="77777777" w:rsidR="00720442" w:rsidRDefault="0080011C">
            <w:pPr>
              <w:jc w:val="center"/>
            </w:pPr>
            <w:r>
              <w:t>Madurez de interoperabilidad EHR</w:t>
            </w:r>
          </w:p>
        </w:tc>
      </w:tr>
      <w:tr w:rsidR="00720442" w14:paraId="4B7E299F" w14:textId="77777777">
        <w:tc>
          <w:tcPr>
            <w:tcW w:w="0" w:type="auto"/>
          </w:tcPr>
          <w:p w14:paraId="5AAC98C5" w14:textId="77777777" w:rsidR="00720442" w:rsidRDefault="0080011C">
            <w:pPr>
              <w:jc w:val="left"/>
            </w:pPr>
            <w:r>
              <w:t>Uruguay</w:t>
            </w:r>
          </w:p>
        </w:tc>
        <w:tc>
          <w:tcPr>
            <w:tcW w:w="0" w:type="auto"/>
          </w:tcPr>
          <w:p w14:paraId="2A6DA5CB" w14:textId="77777777" w:rsidR="00720442" w:rsidRDefault="0080011C">
            <w:pPr>
              <w:jc w:val="center"/>
            </w:pPr>
            <w:r>
              <w:t>34 %</w:t>
            </w:r>
          </w:p>
        </w:tc>
      </w:tr>
      <w:tr w:rsidR="00720442" w14:paraId="35594974" w14:textId="77777777">
        <w:tc>
          <w:tcPr>
            <w:tcW w:w="0" w:type="auto"/>
          </w:tcPr>
          <w:p w14:paraId="420FA08A" w14:textId="77777777" w:rsidR="00720442" w:rsidRDefault="0080011C">
            <w:pPr>
              <w:jc w:val="left"/>
            </w:pPr>
            <w:r>
              <w:t>Argentina</w:t>
            </w:r>
          </w:p>
        </w:tc>
        <w:tc>
          <w:tcPr>
            <w:tcW w:w="0" w:type="auto"/>
          </w:tcPr>
          <w:p w14:paraId="6C8E978F" w14:textId="77777777" w:rsidR="00720442" w:rsidRDefault="0080011C">
            <w:pPr>
              <w:jc w:val="center"/>
            </w:pPr>
            <w:r>
              <w:t>21 %</w:t>
            </w:r>
          </w:p>
        </w:tc>
      </w:tr>
      <w:tr w:rsidR="00720442" w14:paraId="3CAECC10" w14:textId="77777777">
        <w:tc>
          <w:tcPr>
            <w:tcW w:w="0" w:type="auto"/>
          </w:tcPr>
          <w:p w14:paraId="3D63AE66" w14:textId="77777777" w:rsidR="00720442" w:rsidRDefault="0080011C">
            <w:pPr>
              <w:jc w:val="left"/>
            </w:pPr>
            <w:r>
              <w:t>Chile</w:t>
            </w:r>
          </w:p>
        </w:tc>
        <w:tc>
          <w:tcPr>
            <w:tcW w:w="0" w:type="auto"/>
          </w:tcPr>
          <w:p w14:paraId="34264EEE" w14:textId="77777777" w:rsidR="00720442" w:rsidRDefault="0080011C">
            <w:pPr>
              <w:jc w:val="center"/>
            </w:pPr>
            <w:r>
              <w:t>11 %</w:t>
            </w:r>
          </w:p>
        </w:tc>
      </w:tr>
      <w:tr w:rsidR="00720442" w14:paraId="36F72094" w14:textId="77777777">
        <w:tc>
          <w:tcPr>
            <w:tcW w:w="0" w:type="auto"/>
          </w:tcPr>
          <w:p w14:paraId="18D76638" w14:textId="77777777" w:rsidR="00720442" w:rsidRDefault="0080011C">
            <w:pPr>
              <w:jc w:val="left"/>
            </w:pPr>
            <w:r>
              <w:lastRenderedPageBreak/>
              <w:t>Colombia</w:t>
            </w:r>
          </w:p>
        </w:tc>
        <w:tc>
          <w:tcPr>
            <w:tcW w:w="0" w:type="auto"/>
          </w:tcPr>
          <w:p w14:paraId="1A79351C" w14:textId="77777777" w:rsidR="00720442" w:rsidRDefault="0080011C">
            <w:pPr>
              <w:jc w:val="center"/>
            </w:pPr>
            <w:r>
              <w:t>11 %</w:t>
            </w:r>
          </w:p>
        </w:tc>
      </w:tr>
      <w:tr w:rsidR="00720442" w14:paraId="16DF4C6C" w14:textId="77777777">
        <w:tc>
          <w:tcPr>
            <w:tcW w:w="0" w:type="auto"/>
          </w:tcPr>
          <w:p w14:paraId="41A9AA74" w14:textId="77777777" w:rsidR="00720442" w:rsidRDefault="0080011C">
            <w:pPr>
              <w:jc w:val="left"/>
            </w:pPr>
            <w:r>
              <w:rPr>
                <w:b/>
                <w:bCs/>
              </w:rPr>
              <w:t>Perú</w:t>
            </w:r>
          </w:p>
        </w:tc>
        <w:tc>
          <w:tcPr>
            <w:tcW w:w="0" w:type="auto"/>
          </w:tcPr>
          <w:p w14:paraId="24FCF211" w14:textId="77777777" w:rsidR="00720442" w:rsidRDefault="0080011C">
            <w:pPr>
              <w:jc w:val="center"/>
            </w:pPr>
            <w:r>
              <w:rPr>
                <w:b/>
                <w:bCs/>
              </w:rPr>
              <w:t>&lt; 10 %</w:t>
            </w:r>
          </w:p>
        </w:tc>
      </w:tr>
    </w:tbl>
    <w:bookmarkEnd w:id="15"/>
    <w:p w14:paraId="0F838156" w14:textId="77777777" w:rsidR="00720442" w:rsidRDefault="0080011C">
      <w:pPr>
        <w:jc w:val="center"/>
      </w:pPr>
      <w:r>
        <w:rPr>
          <w:i/>
          <w:iCs/>
          <w:sz w:val="20"/>
        </w:rPr>
        <w:t>Nota.</w:t>
      </w:r>
      <w:r>
        <w:rPr>
          <w:sz w:val="20"/>
        </w:rPr>
        <w:t xml:space="preserve"> Adaptado de “Electronic Health Record Interoperability System in Peru Using Blockchain”, por Mauricio et al., 2024, </w:t>
      </w:r>
      <w:r>
        <w:rPr>
          <w:i/>
          <w:iCs/>
          <w:sz w:val="20"/>
        </w:rPr>
        <w:t>International Journal of Online and Biomedical Engineering</w:t>
      </w:r>
      <w:r>
        <w:rPr>
          <w:sz w:val="20"/>
        </w:rPr>
        <w:t>, 20(6), p. 141.</w:t>
      </w:r>
    </w:p>
    <w:p w14:paraId="43057943" w14:textId="77777777" w:rsidR="00720442" w:rsidRDefault="0080011C">
      <w:r>
        <w:t>Esta situación es aún más problemática en áreas fuera de Lima, donde menos del 4% ha adoptado historias clínicas electrónicas, en comparación con menos del 40% en la capital, mostrando así notables desigualdades territoriales.</w:t>
      </w:r>
    </w:p>
    <w:p w14:paraId="4409E1F2" w14:textId="77777777" w:rsidR="00720442" w:rsidRDefault="0080011C">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Bayona-Castañeda (2019) indica que integrar datos clínicos podría resultar en un ahorro de hasta un 80% en costos vinculados a la repetición de pruebas médicas, subrayando así el impacto económico de la situación.</w:t>
      </w:r>
    </w:p>
    <w:p w14:paraId="4A2DDC40" w14:textId="77777777" w:rsidR="00720442" w:rsidRDefault="0080011C">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(Vargas-Rioja y Arrué-Pajares, 2022). A esto se le añade el riesgo a la seguridad de la información, reflejado en incidentes como la filtración de más de 44,000 registros clínicos del MINSA, lo que pone de manifiesto debilidades en la gesti</w:t>
      </w:r>
      <w:r>
        <w:t>ón y protección de los datos.</w:t>
      </w:r>
    </w:p>
    <w:p w14:paraId="5C676D32" w14:textId="77777777" w:rsidR="00720442" w:rsidRDefault="0080011C">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06D5113A" w14:textId="77777777" w:rsidR="00720442" w:rsidRDefault="0080011C">
      <w:r>
        <w:t xml:space="preserve">Estos hallazgos subrayan que la problemática de interoperabilidad no es solo estructural, sino también cuantificable, afectando de manera directa la calidad, </w:t>
      </w:r>
      <w:r>
        <w:lastRenderedPageBreak/>
        <w:t>eficiencia y seguridad en la atención de salud. La Tabla 2 consolida los principales indicadores cuantitativos que dimensionan la brecha de interoperabilidad en el sistema de salud peruano.</w:t>
      </w:r>
    </w:p>
    <w:p w14:paraId="37028D6D" w14:textId="79A83EFB" w:rsidR="00720442" w:rsidRDefault="0080011C">
      <w:bookmarkStart w:id="17" w:name="tbl:indicadores-brecha"/>
      <w:bookmarkStart w:id="18" w:name="_Toc225939028"/>
      <w:r>
        <w:t xml:space="preserve">Tabla </w:t>
      </w:r>
      <w:r>
        <w:fldChar w:fldCharType="begin"/>
      </w:r>
      <w:r>
        <w:instrText xml:space="preserve"> SEQ Table \* ARABIC </w:instrText>
      </w:r>
      <w:r>
        <w:fldChar w:fldCharType="separate"/>
      </w:r>
      <w:r w:rsidR="005314D4">
        <w:rPr>
          <w:noProof/>
        </w:rPr>
        <w:t>2</w:t>
      </w:r>
      <w:r>
        <w:fldChar w:fldCharType="end"/>
      </w:r>
      <w:r>
        <w:t>. Indicadores cuantitativos de la brecha de interoperabilidad en el sistema de salud peruano</w:t>
      </w:r>
      <w:bookmarkEnd w:id="1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Indicadores cuantitativos de la brecha de interoperabilidad en el sistema de salud peruano"/>
      </w:tblPr>
      <w:tblGrid>
        <w:gridCol w:w="4211"/>
        <w:gridCol w:w="972"/>
        <w:gridCol w:w="3562"/>
      </w:tblGrid>
      <w:tr w:rsidR="00720442" w14:paraId="3CF3F071" w14:textId="77777777">
        <w:trPr>
          <w:tblHeader/>
        </w:trPr>
        <w:tc>
          <w:tcPr>
            <w:tcW w:w="3813" w:type="dxa"/>
          </w:tcPr>
          <w:p w14:paraId="77F860A4" w14:textId="77777777" w:rsidR="00720442" w:rsidRDefault="0080011C">
            <w:pPr>
              <w:jc w:val="left"/>
            </w:pPr>
            <w:r>
              <w:t>Indicador</w:t>
            </w:r>
          </w:p>
        </w:tc>
        <w:tc>
          <w:tcPr>
            <w:tcW w:w="880" w:type="dxa"/>
          </w:tcPr>
          <w:p w14:paraId="0EA06FD0" w14:textId="77777777" w:rsidR="00720442" w:rsidRDefault="0080011C">
            <w:pPr>
              <w:jc w:val="center"/>
            </w:pPr>
            <w:r>
              <w:t>Valor</w:t>
            </w:r>
          </w:p>
        </w:tc>
        <w:tc>
          <w:tcPr>
            <w:tcW w:w="3226" w:type="dxa"/>
          </w:tcPr>
          <w:p w14:paraId="3BEE3855" w14:textId="77777777" w:rsidR="00720442" w:rsidRDefault="0080011C">
            <w:pPr>
              <w:jc w:val="left"/>
            </w:pPr>
            <w:r>
              <w:t>Fuente</w:t>
            </w:r>
          </w:p>
        </w:tc>
      </w:tr>
      <w:tr w:rsidR="00720442" w14:paraId="13F99468" w14:textId="77777777">
        <w:tc>
          <w:tcPr>
            <w:tcW w:w="3813" w:type="dxa"/>
          </w:tcPr>
          <w:p w14:paraId="755BF78A" w14:textId="77777777" w:rsidR="00720442" w:rsidRDefault="0080011C">
            <w:pPr>
              <w:jc w:val="left"/>
            </w:pPr>
            <w:r>
              <w:t>IPRESS sin sistema adecuado de HCE</w:t>
            </w:r>
          </w:p>
        </w:tc>
        <w:tc>
          <w:tcPr>
            <w:tcW w:w="880" w:type="dxa"/>
          </w:tcPr>
          <w:p w14:paraId="643456D3" w14:textId="77777777" w:rsidR="00720442" w:rsidRDefault="0080011C">
            <w:pPr>
              <w:jc w:val="center"/>
            </w:pPr>
            <w:r>
              <w:t>74 %</w:t>
            </w:r>
          </w:p>
        </w:tc>
        <w:tc>
          <w:tcPr>
            <w:tcW w:w="3226" w:type="dxa"/>
          </w:tcPr>
          <w:p w14:paraId="46F3D9DB" w14:textId="77777777" w:rsidR="00720442" w:rsidRDefault="0080011C">
            <w:pPr>
              <w:jc w:val="left"/>
            </w:pPr>
            <w:r>
              <w:t>Fernández Infanzón y Huarac-Cuizano (2021)</w:t>
            </w:r>
          </w:p>
        </w:tc>
      </w:tr>
      <w:tr w:rsidR="00720442" w14:paraId="0B2FCB7F" w14:textId="77777777">
        <w:tc>
          <w:tcPr>
            <w:tcW w:w="3813" w:type="dxa"/>
          </w:tcPr>
          <w:p w14:paraId="68BF1832" w14:textId="77777777" w:rsidR="00720442" w:rsidRDefault="0080011C">
            <w:pPr>
              <w:jc w:val="left"/>
            </w:pPr>
            <w:r>
              <w:t>IPRESS con algún sistema digital de HCE</w:t>
            </w:r>
          </w:p>
        </w:tc>
        <w:tc>
          <w:tcPr>
            <w:tcW w:w="880" w:type="dxa"/>
          </w:tcPr>
          <w:p w14:paraId="06101BC5" w14:textId="77777777" w:rsidR="00720442" w:rsidRDefault="0080011C">
            <w:pPr>
              <w:jc w:val="center"/>
            </w:pPr>
            <w:r>
              <w:t>26 %</w:t>
            </w:r>
          </w:p>
        </w:tc>
        <w:tc>
          <w:tcPr>
            <w:tcW w:w="3226" w:type="dxa"/>
          </w:tcPr>
          <w:p w14:paraId="330613BB" w14:textId="77777777" w:rsidR="00720442" w:rsidRDefault="0080011C">
            <w:pPr>
              <w:jc w:val="left"/>
            </w:pPr>
            <w:r>
              <w:t>Fernández Infanzón y Huarac-Cuizano (2021)</w:t>
            </w:r>
          </w:p>
        </w:tc>
      </w:tr>
      <w:tr w:rsidR="00720442" w14:paraId="68A44097" w14:textId="77777777">
        <w:tc>
          <w:tcPr>
            <w:tcW w:w="3813" w:type="dxa"/>
          </w:tcPr>
          <w:p w14:paraId="439E8374" w14:textId="77777777" w:rsidR="00720442" w:rsidRDefault="0080011C">
            <w:pPr>
              <w:jc w:val="left"/>
            </w:pPr>
            <w:r>
              <w:t>IPRESS que aún utiliza registros en papel</w:t>
            </w:r>
          </w:p>
        </w:tc>
        <w:tc>
          <w:tcPr>
            <w:tcW w:w="880" w:type="dxa"/>
          </w:tcPr>
          <w:p w14:paraId="3325DB73" w14:textId="77777777" w:rsidR="00720442" w:rsidRDefault="0080011C">
            <w:pPr>
              <w:jc w:val="center"/>
            </w:pPr>
            <w:r>
              <w:t>39 %</w:t>
            </w:r>
          </w:p>
        </w:tc>
        <w:tc>
          <w:tcPr>
            <w:tcW w:w="3226" w:type="dxa"/>
          </w:tcPr>
          <w:p w14:paraId="4E608A3E" w14:textId="77777777" w:rsidR="00720442" w:rsidRDefault="0080011C">
            <w:pPr>
              <w:jc w:val="left"/>
            </w:pPr>
            <w:r>
              <w:t>Fernández Infanzón y Huarac-Cuizano (2021)</w:t>
            </w:r>
          </w:p>
        </w:tc>
      </w:tr>
      <w:tr w:rsidR="00720442" w14:paraId="5A8072AC" w14:textId="77777777">
        <w:tc>
          <w:tcPr>
            <w:tcW w:w="3813" w:type="dxa"/>
          </w:tcPr>
          <w:p w14:paraId="004ED96B" w14:textId="77777777" w:rsidR="00720442" w:rsidRDefault="0080011C">
            <w:pPr>
              <w:jc w:val="left"/>
            </w:pPr>
            <w:r>
              <w:t>Usuarios insatisfechos con gestión de información clínica</w:t>
            </w:r>
          </w:p>
        </w:tc>
        <w:tc>
          <w:tcPr>
            <w:tcW w:w="880" w:type="dxa"/>
          </w:tcPr>
          <w:p w14:paraId="6BF79B4F" w14:textId="77777777" w:rsidR="00720442" w:rsidRDefault="0080011C">
            <w:pPr>
              <w:jc w:val="center"/>
            </w:pPr>
            <w:r>
              <w:t>83,33 %</w:t>
            </w:r>
          </w:p>
        </w:tc>
        <w:tc>
          <w:tcPr>
            <w:tcW w:w="3226" w:type="dxa"/>
          </w:tcPr>
          <w:p w14:paraId="150E23CF" w14:textId="77777777" w:rsidR="00720442" w:rsidRDefault="0080011C">
            <w:pPr>
              <w:jc w:val="left"/>
            </w:pPr>
            <w:r>
              <w:t>Fernández Infanzón y Huarac-Cuizano (2021)</w:t>
            </w:r>
          </w:p>
        </w:tc>
      </w:tr>
      <w:tr w:rsidR="00720442" w14:paraId="3D5FBCB2" w14:textId="77777777">
        <w:tc>
          <w:tcPr>
            <w:tcW w:w="3813" w:type="dxa"/>
          </w:tcPr>
          <w:p w14:paraId="0CBC0C5A" w14:textId="77777777" w:rsidR="00720442" w:rsidRDefault="0080011C">
            <w:pPr>
              <w:jc w:val="left"/>
            </w:pPr>
            <w:r>
              <w:t>Usuarios que consideran que una HCE única mejoraría la atención</w:t>
            </w:r>
          </w:p>
        </w:tc>
        <w:tc>
          <w:tcPr>
            <w:tcW w:w="880" w:type="dxa"/>
          </w:tcPr>
          <w:p w14:paraId="25328056" w14:textId="77777777" w:rsidR="00720442" w:rsidRDefault="0080011C">
            <w:pPr>
              <w:jc w:val="center"/>
            </w:pPr>
            <w:r>
              <w:t>81,48 %</w:t>
            </w:r>
          </w:p>
        </w:tc>
        <w:tc>
          <w:tcPr>
            <w:tcW w:w="3226" w:type="dxa"/>
          </w:tcPr>
          <w:p w14:paraId="1D721A18" w14:textId="77777777" w:rsidR="00720442" w:rsidRDefault="0080011C">
            <w:pPr>
              <w:jc w:val="left"/>
            </w:pPr>
            <w:r>
              <w:t>Fernández Infanzón y Huarac-Cuizano (2021)</w:t>
            </w:r>
          </w:p>
        </w:tc>
      </w:tr>
      <w:tr w:rsidR="00720442" w14:paraId="4BB3E023" w14:textId="77777777">
        <w:tc>
          <w:tcPr>
            <w:tcW w:w="3813" w:type="dxa"/>
          </w:tcPr>
          <w:p w14:paraId="1CD6D86D" w14:textId="77777777" w:rsidR="00720442" w:rsidRDefault="0080011C">
            <w:pPr>
              <w:jc w:val="left"/>
            </w:pPr>
            <w:r>
              <w:t>Madurez de interoperabilidad EHR en Perú</w:t>
            </w:r>
          </w:p>
        </w:tc>
        <w:tc>
          <w:tcPr>
            <w:tcW w:w="880" w:type="dxa"/>
          </w:tcPr>
          <w:p w14:paraId="79398651" w14:textId="77777777" w:rsidR="00720442" w:rsidRDefault="0080011C">
            <w:pPr>
              <w:jc w:val="center"/>
            </w:pPr>
            <w:r>
              <w:t>&lt; 10 %</w:t>
            </w:r>
          </w:p>
        </w:tc>
        <w:tc>
          <w:tcPr>
            <w:tcW w:w="3226" w:type="dxa"/>
          </w:tcPr>
          <w:p w14:paraId="2EE2BE86" w14:textId="77777777" w:rsidR="00720442" w:rsidRDefault="0080011C">
            <w:pPr>
              <w:jc w:val="left"/>
            </w:pPr>
            <w:r>
              <w:t>Mauricio et al. (2024)</w:t>
            </w:r>
          </w:p>
        </w:tc>
      </w:tr>
      <w:tr w:rsidR="00720442" w14:paraId="15DB9DEA" w14:textId="77777777">
        <w:tc>
          <w:tcPr>
            <w:tcW w:w="3813" w:type="dxa"/>
          </w:tcPr>
          <w:p w14:paraId="4EAA872A" w14:textId="77777777" w:rsidR="00720442" w:rsidRDefault="0080011C">
            <w:pPr>
              <w:jc w:val="left"/>
            </w:pPr>
            <w:r>
              <w:t>Adopción de HCE fuera de Lima</w:t>
            </w:r>
          </w:p>
        </w:tc>
        <w:tc>
          <w:tcPr>
            <w:tcW w:w="880" w:type="dxa"/>
          </w:tcPr>
          <w:p w14:paraId="7F103809" w14:textId="77777777" w:rsidR="00720442" w:rsidRDefault="0080011C">
            <w:pPr>
              <w:jc w:val="center"/>
            </w:pPr>
            <w:r>
              <w:t>&lt; 4 %</w:t>
            </w:r>
          </w:p>
        </w:tc>
        <w:tc>
          <w:tcPr>
            <w:tcW w:w="3226" w:type="dxa"/>
          </w:tcPr>
          <w:p w14:paraId="2C42B30C" w14:textId="77777777" w:rsidR="00720442" w:rsidRDefault="0080011C">
            <w:pPr>
              <w:jc w:val="left"/>
            </w:pPr>
            <w:r>
              <w:t>Mauricio et al. (2024)</w:t>
            </w:r>
          </w:p>
        </w:tc>
      </w:tr>
      <w:tr w:rsidR="00720442" w14:paraId="1B109B10" w14:textId="77777777">
        <w:tc>
          <w:tcPr>
            <w:tcW w:w="3813" w:type="dxa"/>
          </w:tcPr>
          <w:p w14:paraId="2545E995" w14:textId="77777777" w:rsidR="00720442" w:rsidRDefault="0080011C">
            <w:pPr>
              <w:jc w:val="left"/>
            </w:pPr>
            <w:r>
              <w:t>Adopción de HCE en Lima</w:t>
            </w:r>
          </w:p>
        </w:tc>
        <w:tc>
          <w:tcPr>
            <w:tcW w:w="880" w:type="dxa"/>
          </w:tcPr>
          <w:p w14:paraId="061ECF3A" w14:textId="77777777" w:rsidR="00720442" w:rsidRDefault="0080011C">
            <w:pPr>
              <w:jc w:val="center"/>
            </w:pPr>
            <w:r>
              <w:t>&lt; 40 %</w:t>
            </w:r>
          </w:p>
        </w:tc>
        <w:tc>
          <w:tcPr>
            <w:tcW w:w="3226" w:type="dxa"/>
          </w:tcPr>
          <w:p w14:paraId="67008C3B" w14:textId="77777777" w:rsidR="00720442" w:rsidRDefault="0080011C">
            <w:pPr>
              <w:jc w:val="left"/>
            </w:pPr>
            <w:r>
              <w:t>Mauricio et al. (2024)</w:t>
            </w:r>
          </w:p>
        </w:tc>
      </w:tr>
      <w:tr w:rsidR="00720442" w14:paraId="01099ABF" w14:textId="77777777">
        <w:tc>
          <w:tcPr>
            <w:tcW w:w="3813" w:type="dxa"/>
          </w:tcPr>
          <w:p w14:paraId="6719704E" w14:textId="77777777" w:rsidR="00720442" w:rsidRDefault="0080011C">
            <w:pPr>
              <w:jc w:val="left"/>
            </w:pPr>
            <w:r>
              <w:t>Ahorro potencial por integración de datos clínicos</w:t>
            </w:r>
          </w:p>
        </w:tc>
        <w:tc>
          <w:tcPr>
            <w:tcW w:w="880" w:type="dxa"/>
          </w:tcPr>
          <w:p w14:paraId="55F642B7" w14:textId="77777777" w:rsidR="00720442" w:rsidRDefault="0080011C">
            <w:pPr>
              <w:jc w:val="center"/>
            </w:pPr>
            <w:r>
              <w:t>hasta 80 %</w:t>
            </w:r>
          </w:p>
        </w:tc>
        <w:tc>
          <w:tcPr>
            <w:tcW w:w="3226" w:type="dxa"/>
          </w:tcPr>
          <w:p w14:paraId="636A5346" w14:textId="77777777" w:rsidR="00720442" w:rsidRDefault="0080011C">
            <w:pPr>
              <w:jc w:val="left"/>
            </w:pPr>
            <w:r>
              <w:t>Bayona-Castañeda (2019)</w:t>
            </w:r>
          </w:p>
        </w:tc>
      </w:tr>
      <w:tr w:rsidR="00720442" w14:paraId="0679A477" w14:textId="77777777">
        <w:tc>
          <w:tcPr>
            <w:tcW w:w="3813" w:type="dxa"/>
          </w:tcPr>
          <w:p w14:paraId="68823D98" w14:textId="77777777" w:rsidR="00720442" w:rsidRDefault="0080011C">
            <w:pPr>
              <w:jc w:val="left"/>
            </w:pPr>
            <w:r>
              <w:t>Establecimientos con integraciones HL7/FHIR</w:t>
            </w:r>
          </w:p>
        </w:tc>
        <w:tc>
          <w:tcPr>
            <w:tcW w:w="880" w:type="dxa"/>
          </w:tcPr>
          <w:p w14:paraId="6781D080" w14:textId="77777777" w:rsidR="00720442" w:rsidRDefault="0080011C">
            <w:pPr>
              <w:jc w:val="center"/>
            </w:pPr>
            <w:r>
              <w:t>22 %</w:t>
            </w:r>
          </w:p>
        </w:tc>
        <w:tc>
          <w:tcPr>
            <w:tcW w:w="3226" w:type="dxa"/>
          </w:tcPr>
          <w:p w14:paraId="7A28B376" w14:textId="77777777" w:rsidR="00720442" w:rsidRDefault="0080011C">
            <w:pPr>
              <w:jc w:val="left"/>
            </w:pPr>
            <w:r>
              <w:t>Mauricio et al. (2024)</w:t>
            </w:r>
          </w:p>
        </w:tc>
      </w:tr>
      <w:tr w:rsidR="00720442" w14:paraId="478D7DAE" w14:textId="77777777">
        <w:tc>
          <w:tcPr>
            <w:tcW w:w="3813" w:type="dxa"/>
          </w:tcPr>
          <w:p w14:paraId="03A7209B" w14:textId="77777777" w:rsidR="00720442" w:rsidRDefault="0080011C">
            <w:pPr>
              <w:jc w:val="left"/>
            </w:pPr>
            <w:r>
              <w:t>Errores en entrada de datos (establecimientos sin integración)</w:t>
            </w:r>
          </w:p>
        </w:tc>
        <w:tc>
          <w:tcPr>
            <w:tcW w:w="880" w:type="dxa"/>
          </w:tcPr>
          <w:p w14:paraId="3D9A96B4" w14:textId="77777777" w:rsidR="00720442" w:rsidRDefault="0080011C">
            <w:pPr>
              <w:jc w:val="center"/>
            </w:pPr>
            <w:r>
              <w:t>35 %</w:t>
            </w:r>
          </w:p>
        </w:tc>
        <w:tc>
          <w:tcPr>
            <w:tcW w:w="3226" w:type="dxa"/>
          </w:tcPr>
          <w:p w14:paraId="6E943A4D" w14:textId="77777777" w:rsidR="00720442" w:rsidRDefault="0080011C">
            <w:pPr>
              <w:jc w:val="left"/>
            </w:pPr>
            <w:r>
              <w:t>Mauricio et al. (2024)</w:t>
            </w:r>
          </w:p>
        </w:tc>
      </w:tr>
      <w:tr w:rsidR="00720442" w14:paraId="4F308341" w14:textId="77777777">
        <w:tc>
          <w:tcPr>
            <w:tcW w:w="3813" w:type="dxa"/>
          </w:tcPr>
          <w:p w14:paraId="1A1B50A8" w14:textId="77777777" w:rsidR="00720442" w:rsidRDefault="0080011C">
            <w:pPr>
              <w:jc w:val="left"/>
            </w:pPr>
            <w:r>
              <w:t>Pacientes crónicos con pérdida de datos en transiciones</w:t>
            </w:r>
          </w:p>
        </w:tc>
        <w:tc>
          <w:tcPr>
            <w:tcW w:w="880" w:type="dxa"/>
          </w:tcPr>
          <w:p w14:paraId="24F20BB5" w14:textId="77777777" w:rsidR="00720442" w:rsidRDefault="0080011C">
            <w:pPr>
              <w:jc w:val="center"/>
            </w:pPr>
            <w:r>
              <w:t>55 %</w:t>
            </w:r>
          </w:p>
        </w:tc>
        <w:tc>
          <w:tcPr>
            <w:tcW w:w="3226" w:type="dxa"/>
          </w:tcPr>
          <w:p w14:paraId="74B7EDF3" w14:textId="77777777" w:rsidR="00720442" w:rsidRDefault="0080011C">
            <w:pPr>
              <w:jc w:val="left"/>
            </w:pPr>
            <w:r>
              <w:t>Mauricio et al. (2024)</w:t>
            </w:r>
          </w:p>
        </w:tc>
      </w:tr>
    </w:tbl>
    <w:bookmarkEnd w:id="17"/>
    <w:p w14:paraId="132837BF" w14:textId="77777777" w:rsidR="00720442" w:rsidRDefault="0080011C">
      <w:pPr>
        <w:jc w:val="center"/>
      </w:pPr>
      <w:r>
        <w:rPr>
          <w:i/>
          <w:iCs/>
          <w:sz w:val="20"/>
        </w:rPr>
        <w:t>Nota.</w:t>
      </w:r>
      <w:r>
        <w:rPr>
          <w:sz w:val="20"/>
        </w:rPr>
        <w:t xml:space="preserve"> </w:t>
      </w:r>
      <w:r>
        <w:rPr>
          <w:sz w:val="20"/>
        </w:rPr>
        <w:t>Elaboración propia a partir de las fuentes citadas.</w:t>
      </w:r>
    </w:p>
    <w:p w14:paraId="08EF59C8" w14:textId="77777777" w:rsidR="00720442" w:rsidRDefault="0080011C">
      <w:r>
        <w:t>La siguiente figura resume los indicadores clave que dimensionan esta problemática.</w:t>
      </w:r>
    </w:p>
    <w:p w14:paraId="6153F464" w14:textId="77777777" w:rsidR="00720442" w:rsidRDefault="0080011C">
      <w:r>
        <w:rPr>
          <w:noProof/>
        </w:rPr>
        <w:lastRenderedPageBreak/>
        <w:drawing>
          <wp:inline distT="0" distB="0" distL="0" distR="0" wp14:anchorId="6E476046" wp14:editId="43454CC6">
            <wp:extent cx="5562600" cy="1458416"/>
            <wp:effectExtent l="0" t="0" r="0" b="0"/>
            <wp:docPr id="38"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9" name="Picture" descr="media/diagrama-panorama-cuantitativo.png"/>
                    <pic:cNvPicPr>
                      <a:picLocks noChangeAspect="1" noChangeArrowheads="1"/>
                    </pic:cNvPicPr>
                  </pic:nvPicPr>
                  <pic:blipFill>
                    <a:blip r:embed="rId11"/>
                    <a:stretch>
                      <a:fillRect/>
                    </a:stretch>
                  </pic:blipFill>
                  <pic:spPr bwMode="auto">
                    <a:xfrm>
                      <a:off x="0" y="0"/>
                      <a:ext cx="5562600" cy="1458416"/>
                    </a:xfrm>
                    <a:prstGeom prst="rect">
                      <a:avLst/>
                    </a:prstGeom>
                    <a:noFill/>
                    <a:ln w="9525">
                      <a:noFill/>
                      <a:headEnd/>
                      <a:tailEnd/>
                    </a:ln>
                  </pic:spPr>
                </pic:pic>
              </a:graphicData>
            </a:graphic>
          </wp:inline>
        </w:drawing>
      </w:r>
    </w:p>
    <w:p w14:paraId="6CD39D02" w14:textId="578CE968" w:rsidR="00720442" w:rsidRDefault="0080011C">
      <w:pPr>
        <w:jc w:val="center"/>
      </w:pPr>
      <w:bookmarkStart w:id="19" w:name="_Toc225939042"/>
      <w:r>
        <w:rPr>
          <w:i/>
          <w:sz w:val="20"/>
        </w:rPr>
        <w:t xml:space="preserve">Figura </w:t>
      </w:r>
      <w:r>
        <w:fldChar w:fldCharType="begin"/>
      </w:r>
      <w:r>
        <w:instrText xml:space="preserve"> SEQ Figure \* ARABIC </w:instrText>
      </w:r>
      <w:r>
        <w:fldChar w:fldCharType="separate"/>
      </w:r>
      <w:r w:rsidR="005314D4">
        <w:rPr>
          <w:noProof/>
        </w:rPr>
        <w:t>4</w:t>
      </w:r>
      <w:r>
        <w:fldChar w:fldCharType="end"/>
      </w:r>
      <w:r>
        <w:rPr>
          <w:i/>
          <w:sz w:val="20"/>
        </w:rPr>
        <w:t>. Panorama cuantitativo de la interoperabilidad en el sistema de salud peruano</w:t>
      </w:r>
      <w:bookmarkEnd w:id="19"/>
    </w:p>
    <w:p w14:paraId="0D3B3929" w14:textId="77777777" w:rsidR="00720442" w:rsidRDefault="0080011C">
      <w:pPr>
        <w:jc w:val="center"/>
      </w:pPr>
      <w:r>
        <w:rPr>
          <w:i/>
          <w:iCs/>
          <w:sz w:val="20"/>
        </w:rPr>
        <w:t>Nota.</w:t>
      </w:r>
      <w:r>
        <w:rPr>
          <w:sz w:val="20"/>
        </w:rPr>
        <w:t xml:space="preserve"> Elaboración propia a partir de Fernández Infanzón y Huarac-Cuizano (2021) y Bayona-Castañeda (2019).</w:t>
      </w:r>
    </w:p>
    <w:p w14:paraId="340C8EDF" w14:textId="77777777" w:rsidR="00720442" w:rsidRDefault="0080011C">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60D1C498" w14:textId="77777777" w:rsidR="00720442" w:rsidRDefault="0080011C">
      <w:r>
        <w:t>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OpenEHR, ISO 13606 y FHIR coexisten por capas; y Chatterjee e</w:t>
      </w:r>
      <w:r>
        <w:t>t al. (2022) validan, en prueba de concepto, que la combinación FHIR + SNOMED-CT reduce pérdidas semánticas en intercambio bidireccional.</w:t>
      </w:r>
    </w:p>
    <w:p w14:paraId="6A6FF546" w14:textId="77777777" w:rsidR="00720442" w:rsidRDefault="0080011C">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64217A82" w14:textId="77777777" w:rsidR="00720442" w:rsidRDefault="0080011C">
      <w:r>
        <w:t>Frente a este panorama, se requiere una propuesta de intervención fundamentada en la evidencia que permita:</w:t>
      </w:r>
    </w:p>
    <w:p w14:paraId="7365C5A2" w14:textId="77777777" w:rsidR="00720442" w:rsidRDefault="0080011C">
      <w:r>
        <w:t>1.- Diagnosticar las brechas de interoperabilidad con instrumentos validados.</w:t>
      </w:r>
    </w:p>
    <w:p w14:paraId="225BD416" w14:textId="77777777" w:rsidR="00720442" w:rsidRDefault="0080011C">
      <w:r>
        <w:t>2.- Implementar una capa de integración basada en HL7 FHIR alineada con los estándares internacionales y el marco normativo nacional.</w:t>
      </w:r>
    </w:p>
    <w:p w14:paraId="37E409C3" w14:textId="77777777" w:rsidR="00720442" w:rsidRDefault="0080011C">
      <w:r>
        <w:t>3.- Evaluar sus efectos medibles en la calidad del intercambio de información clínica del paciente.</w:t>
      </w:r>
    </w:p>
    <w:p w14:paraId="42575967" w14:textId="77777777" w:rsidR="00720442" w:rsidRDefault="0080011C">
      <w:r>
        <w:t>La presente investigación responde a esta necesidad integrando las tres fases en un modelo coherente y replicable.</w:t>
      </w:r>
    </w:p>
    <w:p w14:paraId="2C0D9CE9" w14:textId="77777777" w:rsidR="00720442" w:rsidRDefault="0080011C">
      <w:pPr>
        <w:pStyle w:val="Ttulo3"/>
      </w:pPr>
      <w:bookmarkStart w:id="20" w:name="formulación-del-problema"/>
      <w:bookmarkStart w:id="21" w:name="_Toc225939000"/>
      <w:bookmarkEnd w:id="10"/>
      <w:r>
        <w:t>1.1.2. Formulación del problema</w:t>
      </w:r>
      <w:bookmarkEnd w:id="21"/>
    </w:p>
    <w:p w14:paraId="21495DFA" w14:textId="77777777" w:rsidR="00720442" w:rsidRDefault="0080011C">
      <w:r>
        <w:t xml:space="preserve">1.- </w:t>
      </w:r>
      <w:r>
        <w:rPr>
          <w:i/>
          <w:iCs/>
        </w:rPr>
        <w:t>Problema general</w:t>
      </w:r>
    </w:p>
    <w:p w14:paraId="16A716AA" w14:textId="77777777" w:rsidR="00720442" w:rsidRDefault="0080011C">
      <w:r>
        <w:t>¿De qué manera la implementación de un modelo de interoperabilidad basado en HL7 FHIR mejora el intercambio de información clínica en los centros de salud del MINSA del Perú?</w:t>
      </w:r>
    </w:p>
    <w:p w14:paraId="231D3F3E" w14:textId="77777777" w:rsidR="00720442" w:rsidRDefault="0080011C">
      <w:r>
        <w:t xml:space="preserve">2.- </w:t>
      </w:r>
      <w:r>
        <w:rPr>
          <w:i/>
          <w:iCs/>
        </w:rPr>
        <w:t>Problemas específicos</w:t>
      </w:r>
    </w:p>
    <w:p w14:paraId="340FEBF1" w14:textId="77777777" w:rsidR="00720442" w:rsidRDefault="0080011C">
      <w:pPr>
        <w:numPr>
          <w:ilvl w:val="0"/>
          <w:numId w:val="58"/>
        </w:numPr>
      </w:pPr>
      <w:r>
        <w:t>¿Cuáles son las brechas de interoperabilidad actuales en los centros de salud del MINSA del Perú en términos de completitud, codificación, duplicidad y trazabilidad de la información clínica?</w:t>
      </w:r>
    </w:p>
    <w:p w14:paraId="61DB3BCA" w14:textId="77777777" w:rsidR="00720442" w:rsidRDefault="0080011C">
      <w:pPr>
        <w:numPr>
          <w:ilvl w:val="0"/>
          <w:numId w:val="58"/>
        </w:numPr>
      </w:pPr>
      <w:r>
        <w:t>¿Cuáles son los requerimientos técnicos, funcionales y normativos necesarios para la implementación un modelo de interoperabilidad basado en HL7 FHIR en el contexto del MINSA?</w:t>
      </w:r>
    </w:p>
    <w:p w14:paraId="329199E9" w14:textId="77777777" w:rsidR="00720442" w:rsidRDefault="0080011C">
      <w:pPr>
        <w:numPr>
          <w:ilvl w:val="0"/>
          <w:numId w:val="58"/>
        </w:numPr>
      </w:pPr>
      <w:r>
        <w:t>¿En qué medida un modelo de interoperabilidad basado en HL7 FHIR permite integrar sistemas heterogéneos en los centros de salud del MINSA?</w:t>
      </w:r>
    </w:p>
    <w:p w14:paraId="16CA5E35" w14:textId="77777777" w:rsidR="00720442" w:rsidRDefault="0080011C">
      <w:pPr>
        <w:numPr>
          <w:ilvl w:val="0"/>
          <w:numId w:val="58"/>
        </w:numPr>
      </w:pPr>
      <w:r>
        <w:lastRenderedPageBreak/>
        <w:t>¿Cuál es el efecto de la implementación del modelo propuesto en la calidad del intercambio de información clínica, medida a través de indicadores de integridad, consistencia, disponibilidad y continuidad?</w:t>
      </w:r>
    </w:p>
    <w:p w14:paraId="6C8CD392" w14:textId="77777777" w:rsidR="00720442" w:rsidRDefault="0080011C">
      <w:r>
        <w:t>La siguiente figura presenta la correspondencia entre los problemas específicos formulados y los objetivos específicos de la investigación, evidenciando la trazabilidad metodológica del estudio.</w:t>
      </w:r>
    </w:p>
    <w:p w14:paraId="719D6A58" w14:textId="77777777" w:rsidR="00720442" w:rsidRDefault="0080011C">
      <w:r>
        <w:rPr>
          <w:noProof/>
        </w:rPr>
        <w:lastRenderedPageBreak/>
        <w:drawing>
          <wp:inline distT="0" distB="0" distL="0" distR="0" wp14:anchorId="549F1EC5" wp14:editId="776C5969">
            <wp:extent cx="5562600" cy="6935189"/>
            <wp:effectExtent l="0" t="0" r="0" b="0"/>
            <wp:docPr id="42"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3" name="Picture" descr="media/diagrama-alineacion-problemas-objetivos.png"/>
                    <pic:cNvPicPr>
                      <a:picLocks noChangeAspect="1" noChangeArrowheads="1"/>
                    </pic:cNvPicPr>
                  </pic:nvPicPr>
                  <pic:blipFill>
                    <a:blip r:embed="rId12"/>
                    <a:stretch>
                      <a:fillRect/>
                    </a:stretch>
                  </pic:blipFill>
                  <pic:spPr bwMode="auto">
                    <a:xfrm>
                      <a:off x="0" y="0"/>
                      <a:ext cx="5562600" cy="6935189"/>
                    </a:xfrm>
                    <a:prstGeom prst="rect">
                      <a:avLst/>
                    </a:prstGeom>
                    <a:noFill/>
                    <a:ln w="9525">
                      <a:noFill/>
                      <a:headEnd/>
                      <a:tailEnd/>
                    </a:ln>
                  </pic:spPr>
                </pic:pic>
              </a:graphicData>
            </a:graphic>
          </wp:inline>
        </w:drawing>
      </w:r>
    </w:p>
    <w:p w14:paraId="3F0597CC" w14:textId="1EFADB4C" w:rsidR="00720442" w:rsidRDefault="0080011C">
      <w:pPr>
        <w:jc w:val="center"/>
      </w:pPr>
      <w:bookmarkStart w:id="22" w:name="_Toc225939043"/>
      <w:r>
        <w:rPr>
          <w:i/>
          <w:sz w:val="20"/>
        </w:rPr>
        <w:t xml:space="preserve">Figura </w:t>
      </w:r>
      <w:r>
        <w:fldChar w:fldCharType="begin"/>
      </w:r>
      <w:r>
        <w:instrText xml:space="preserve"> SEQ Figure \* ARABIC </w:instrText>
      </w:r>
      <w:r>
        <w:fldChar w:fldCharType="separate"/>
      </w:r>
      <w:r w:rsidR="005314D4">
        <w:rPr>
          <w:noProof/>
        </w:rPr>
        <w:t>5</w:t>
      </w:r>
      <w:r>
        <w:fldChar w:fldCharType="end"/>
      </w:r>
      <w:r>
        <w:rPr>
          <w:i/>
          <w:sz w:val="20"/>
        </w:rPr>
        <w:t>. Alineación entre problemas específicos y objetivos específicos</w:t>
      </w:r>
      <w:bookmarkEnd w:id="22"/>
    </w:p>
    <w:p w14:paraId="549D4141" w14:textId="77777777" w:rsidR="00720442" w:rsidRDefault="0080011C">
      <w:pPr>
        <w:jc w:val="center"/>
      </w:pPr>
      <w:r>
        <w:rPr>
          <w:i/>
          <w:iCs/>
          <w:sz w:val="20"/>
        </w:rPr>
        <w:t>Nota.</w:t>
      </w:r>
      <w:r>
        <w:rPr>
          <w:sz w:val="20"/>
        </w:rPr>
        <w:t xml:space="preserve"> Elaboración propia.</w:t>
      </w:r>
    </w:p>
    <w:p w14:paraId="2FDD33C7" w14:textId="77777777" w:rsidR="00720442" w:rsidRDefault="0080011C">
      <w:pPr>
        <w:pStyle w:val="Ttulo2"/>
      </w:pPr>
      <w:bookmarkStart w:id="23" w:name="determinación-de-objetivos"/>
      <w:bookmarkStart w:id="24" w:name="_Toc225939001"/>
      <w:bookmarkEnd w:id="8"/>
      <w:bookmarkEnd w:id="20"/>
      <w:r>
        <w:t>1.2. Determinación de objetivos</w:t>
      </w:r>
      <w:bookmarkEnd w:id="24"/>
    </w:p>
    <w:p w14:paraId="541838FA" w14:textId="77777777" w:rsidR="00720442" w:rsidRDefault="0080011C">
      <w:pPr>
        <w:pStyle w:val="Ttulo3"/>
      </w:pPr>
      <w:bookmarkStart w:id="25" w:name="objetivo-general"/>
      <w:bookmarkStart w:id="26" w:name="_Toc225939002"/>
      <w:r>
        <w:t>1.2.1. Objetivo general</w:t>
      </w:r>
      <w:bookmarkEnd w:id="26"/>
    </w:p>
    <w:p w14:paraId="404EA6F0" w14:textId="77777777" w:rsidR="00720442" w:rsidRDefault="0080011C">
      <w:r>
        <w:lastRenderedPageBreak/>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2467100B" w14:textId="77777777" w:rsidR="00720442" w:rsidRDefault="0080011C">
      <w:pPr>
        <w:pStyle w:val="Ttulo3"/>
      </w:pPr>
      <w:bookmarkStart w:id="27" w:name="objetivos-específicos"/>
      <w:bookmarkStart w:id="28" w:name="_Toc225939003"/>
      <w:bookmarkEnd w:id="25"/>
      <w:r>
        <w:t>1.2.2. Objetivos específicos</w:t>
      </w:r>
      <w:bookmarkEnd w:id="28"/>
    </w:p>
    <w:p w14:paraId="20DF3B15" w14:textId="77777777" w:rsidR="00720442" w:rsidRDefault="0080011C">
      <w:pPr>
        <w:numPr>
          <w:ilvl w:val="0"/>
          <w:numId w:val="58"/>
        </w:numPr>
      </w:pPr>
      <w:r>
        <w:t>Diagnosticar las brechas de interoperabilidad en los centros de salud del MINSA del Perú en términos de completitud, codificación clínica, duplicidad y trazabilidad de la información.</w:t>
      </w:r>
    </w:p>
    <w:p w14:paraId="2EEA5A3D" w14:textId="77777777" w:rsidR="00720442" w:rsidRDefault="0080011C">
      <w:pPr>
        <w:numPr>
          <w:ilvl w:val="0"/>
          <w:numId w:val="58"/>
        </w:numPr>
      </w:pPr>
      <w:r>
        <w:t>Identificar los requerimientos técnicos, funcionales y normativos necesarios para la implementación de un modelo de interoperabilidad basado en HL7 FHIR en el contexto del MINSA.</w:t>
      </w:r>
    </w:p>
    <w:p w14:paraId="6F94A62E" w14:textId="77777777" w:rsidR="00720442" w:rsidRDefault="0080011C">
      <w:pPr>
        <w:numPr>
          <w:ilvl w:val="0"/>
          <w:numId w:val="58"/>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34B8329D" w14:textId="77777777" w:rsidR="00720442" w:rsidRDefault="0080011C">
      <w:pPr>
        <w:numPr>
          <w:ilvl w:val="0"/>
          <w:numId w:val="58"/>
        </w:numPr>
      </w:pPr>
      <w:r>
        <w:t>Evaluar el efecto de la implementación del modelo mediante un diseño pre-post, utilizando indicadores de integridad, consistencia, disponibilidad y continuidad de la información clínica.</w:t>
      </w:r>
    </w:p>
    <w:p w14:paraId="197A8D46" w14:textId="77777777" w:rsidR="00720442" w:rsidRDefault="0080011C">
      <w:pPr>
        <w:numPr>
          <w:ilvl w:val="0"/>
          <w:numId w:val="58"/>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0D8A80E9" w14:textId="77777777" w:rsidR="00720442" w:rsidRDefault="0080011C">
      <w:pPr>
        <w:pStyle w:val="Ttulo2"/>
      </w:pPr>
      <w:bookmarkStart w:id="29" w:name="justificación-e-importancia-del-estudio"/>
      <w:bookmarkStart w:id="30" w:name="_Toc225939004"/>
      <w:bookmarkEnd w:id="23"/>
      <w:bookmarkEnd w:id="27"/>
      <w:r>
        <w:t>1.3. Justificación e importancia del estudio</w:t>
      </w:r>
      <w:bookmarkEnd w:id="30"/>
    </w:p>
    <w:p w14:paraId="15803341" w14:textId="77777777" w:rsidR="00720442" w:rsidRDefault="0080011C">
      <w:pPr>
        <w:pStyle w:val="Ttulo3"/>
      </w:pPr>
      <w:bookmarkStart w:id="31" w:name="justificación-teórica"/>
      <w:bookmarkStart w:id="32" w:name="_Toc225939005"/>
      <w:r>
        <w:t>1.3.1. Justificación teórica</w:t>
      </w:r>
      <w:bookmarkEnd w:id="32"/>
    </w:p>
    <w:p w14:paraId="723AF876" w14:textId="77777777" w:rsidR="00720442" w:rsidRDefault="0080011C">
      <w:r>
        <w:t xml:space="preserve">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w:t>
      </w:r>
      <w:r>
        <w:lastRenderedPageBreak/>
        <w:t>de la interoperabilidad con la evaluación de su impacto en las cuatro brechas diagnósticas identificadas: completitud de registros, consistencia en la codificación clínica, duplicidad de información y trazabilidad de la atención.</w:t>
      </w:r>
    </w:p>
    <w:p w14:paraId="5B5ABB61" w14:textId="77777777" w:rsidR="00720442" w:rsidRDefault="0080011C">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w:t>
      </w:r>
      <w:r>
        <w:t xml:space="preserv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464-2019-MINSA, RM N.° 1193</w:t>
      </w:r>
      <w:r>
        <w:t>-2019-MINSA), generando evidencia sobre su implementación práctica en sistemas públicos gestionados por el MINSA.</w:t>
      </w:r>
    </w:p>
    <w:p w14:paraId="42D36376" w14:textId="77777777" w:rsidR="00720442" w:rsidRDefault="0080011C">
      <w:r>
        <w:t>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w:t>
      </w:r>
      <w:r>
        <w:t>mensiones de codificación y trazabilidad planteadas en los objetivos específicos— y habilite el valor posterior del dato.</w:t>
      </w:r>
    </w:p>
    <w:p w14:paraId="429B7CEF" w14:textId="77777777" w:rsidR="00720442" w:rsidRDefault="0080011C">
      <w:pPr>
        <w:pStyle w:val="Ttulo3"/>
      </w:pPr>
      <w:bookmarkStart w:id="33" w:name="justificación-metodológica"/>
      <w:bookmarkStart w:id="34" w:name="_Toc225939006"/>
      <w:bookmarkEnd w:id="31"/>
      <w:r>
        <w:t>1.3.2. Justificación metodológica</w:t>
      </w:r>
      <w:bookmarkEnd w:id="34"/>
    </w:p>
    <w:p w14:paraId="6214B936" w14:textId="77777777" w:rsidR="00720442" w:rsidRDefault="0080011C">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w:t>
      </w:r>
      <w:r>
        <w:lastRenderedPageBreak/>
        <w:t>recientes del sector. Adelusi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w:t>
      </w:r>
      <w:r>
        <w:t>teways por servidores FHIR reduce significativamente los tiempos y costos asociados con la transformación de datos.</w:t>
      </w:r>
    </w:p>
    <w:p w14:paraId="50122508" w14:textId="77777777" w:rsidR="00720442" w:rsidRDefault="0080011C">
      <w:r>
        <w:t>La presente investigación adopta un diseño pre-experimental con comparación pre-post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pre-post proporciona</w:t>
      </w:r>
      <w:r>
        <w:t xml:space="preserve"> evidencia empírica sobre la efectividad del modelo en las dimensiones diagnosticadas.</w:t>
      </w:r>
    </w:p>
    <w:p w14:paraId="63238AA2" w14:textId="77777777" w:rsidR="00720442" w:rsidRDefault="0080011C">
      <w:r>
        <w:t>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w:t>
      </w:r>
      <w:r>
        <w:t>chas específicas identificadas en la fase diagnóstica.</w:t>
      </w:r>
    </w:p>
    <w:p w14:paraId="658A43D0" w14:textId="77777777" w:rsidR="00720442" w:rsidRDefault="0080011C">
      <w:r>
        <w:rPr>
          <w:noProof/>
        </w:rPr>
        <w:drawing>
          <wp:inline distT="0" distB="0" distL="0" distR="0" wp14:anchorId="12AEF5ED" wp14:editId="5D1D4469">
            <wp:extent cx="5549900" cy="1028700"/>
            <wp:effectExtent l="0" t="0" r="0" b="0"/>
            <wp:docPr id="51"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2" name="Picture" descr="media/diagrama-fases-metodologicas.png"/>
                    <pic:cNvPicPr>
                      <a:picLocks noChangeAspect="1" noChangeArrowheads="1"/>
                    </pic:cNvPicPr>
                  </pic:nvPicPr>
                  <pic:blipFill>
                    <a:blip r:embed="rId13"/>
                    <a:stretch>
                      <a:fillRect/>
                    </a:stretch>
                  </pic:blipFill>
                  <pic:spPr bwMode="auto">
                    <a:xfrm>
                      <a:off x="0" y="0"/>
                      <a:ext cx="5549900" cy="1028700"/>
                    </a:xfrm>
                    <a:prstGeom prst="rect">
                      <a:avLst/>
                    </a:prstGeom>
                    <a:noFill/>
                    <a:ln w="9525">
                      <a:noFill/>
                      <a:headEnd/>
                      <a:tailEnd/>
                    </a:ln>
                  </pic:spPr>
                </pic:pic>
              </a:graphicData>
            </a:graphic>
          </wp:inline>
        </w:drawing>
      </w:r>
    </w:p>
    <w:p w14:paraId="04587009" w14:textId="2EE7C3FE" w:rsidR="00720442" w:rsidRDefault="0080011C">
      <w:pPr>
        <w:jc w:val="center"/>
      </w:pPr>
      <w:bookmarkStart w:id="35" w:name="_Toc225939044"/>
      <w:r>
        <w:rPr>
          <w:i/>
          <w:sz w:val="20"/>
        </w:rPr>
        <w:t xml:space="preserve">Figura </w:t>
      </w:r>
      <w:r>
        <w:fldChar w:fldCharType="begin"/>
      </w:r>
      <w:r>
        <w:instrText xml:space="preserve"> SEQ Figure \* ARABIC </w:instrText>
      </w:r>
      <w:r>
        <w:fldChar w:fldCharType="separate"/>
      </w:r>
      <w:r w:rsidR="005314D4">
        <w:rPr>
          <w:noProof/>
        </w:rPr>
        <w:t>6</w:t>
      </w:r>
      <w:r>
        <w:fldChar w:fldCharType="end"/>
      </w:r>
      <w:r>
        <w:rPr>
          <w:i/>
          <w:sz w:val="20"/>
        </w:rPr>
        <w:t>. Fases del enfoque metodológico</w:t>
      </w:r>
      <w:bookmarkEnd w:id="35"/>
    </w:p>
    <w:p w14:paraId="4FCECB35" w14:textId="77777777" w:rsidR="00720442" w:rsidRDefault="0080011C">
      <w:pPr>
        <w:jc w:val="center"/>
      </w:pPr>
      <w:r>
        <w:rPr>
          <w:i/>
          <w:iCs/>
          <w:sz w:val="20"/>
        </w:rPr>
        <w:t>Nota.</w:t>
      </w:r>
      <w:r>
        <w:rPr>
          <w:sz w:val="20"/>
        </w:rPr>
        <w:t xml:space="preserve"> Elaboración propia.</w:t>
      </w:r>
    </w:p>
    <w:p w14:paraId="4B568419" w14:textId="77777777" w:rsidR="00720442" w:rsidRDefault="0080011C">
      <w:pPr>
        <w:pStyle w:val="Ttulo3"/>
      </w:pPr>
      <w:bookmarkStart w:id="36" w:name="justificación-social"/>
      <w:bookmarkStart w:id="37" w:name="_Toc225939007"/>
      <w:bookmarkEnd w:id="33"/>
      <w:r>
        <w:lastRenderedPageBreak/>
        <w:t>1.3.3. Justificación social</w:t>
      </w:r>
      <w:bookmarkEnd w:id="37"/>
    </w:p>
    <w:p w14:paraId="511696BC" w14:textId="77777777" w:rsidR="00720442" w:rsidRDefault="0080011C">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w:t>
      </w:r>
      <w:r>
        <w:t>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6AA19A76" w14:textId="77777777" w:rsidR="00720442" w:rsidRDefault="0080011C">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w:t>
      </w:r>
      <w:r>
        <w:t>uye la posibilidad de errores derivados de información fragmentada y promueve una atención más equitativa dentro del sistema público de salud peruano.</w:t>
      </w:r>
    </w:p>
    <w:p w14:paraId="54AF9DD9" w14:textId="77777777" w:rsidR="00720442" w:rsidRDefault="0080011C">
      <w:r>
        <w:t xml:space="preserve">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w:t>
      </w:r>
      <w:r>
        <w:t xml:space="preserve">electrónicos en eficiencia y soporte a la decisión clínica cuando existen condiciones de estandarización y capacitación. Estos hallazgos refuerzan que mejorar la interoperabilidad en los centros de salud del MINSA —objetivo </w:t>
      </w:r>
      <w:r>
        <w:lastRenderedPageBreak/>
        <w:t>central de esta tesis— no solo es una necesidad técnica, sino una condición para fortalecer la calidad, equidad y continuidad asistencial en el sistema público de salud del Perú.</w:t>
      </w:r>
    </w:p>
    <w:p w14:paraId="704766C5" w14:textId="77777777" w:rsidR="00720442" w:rsidRDefault="0080011C">
      <w:pPr>
        <w:pStyle w:val="Ttulo2"/>
      </w:pPr>
      <w:bookmarkStart w:id="38" w:name="X1166850eae083e51f6b1ddc224ad8ea5ed19ed6"/>
      <w:bookmarkStart w:id="39" w:name="_Toc225939008"/>
      <w:bookmarkEnd w:id="29"/>
      <w:bookmarkEnd w:id="36"/>
      <w:r>
        <w:t>1.4. Limitaciones de la presente investigación</w:t>
      </w:r>
      <w:bookmarkEnd w:id="39"/>
    </w:p>
    <w:p w14:paraId="7E3E84B4" w14:textId="77777777" w:rsidR="00720442" w:rsidRDefault="0080011C">
      <w:r>
        <w:t>La siguiente figura presenta una visión integrada de las seis limitaciones identificadas y sus correspondientes estrategias de mitigación.</w:t>
      </w:r>
    </w:p>
    <w:p w14:paraId="3F75F862" w14:textId="77777777" w:rsidR="00720442" w:rsidRDefault="0080011C">
      <w:r>
        <w:rPr>
          <w:noProof/>
        </w:rPr>
        <w:drawing>
          <wp:inline distT="0" distB="0" distL="0" distR="0" wp14:anchorId="46D65CA4" wp14:editId="28ACDA05">
            <wp:extent cx="5562600" cy="5765800"/>
            <wp:effectExtent l="0" t="0" r="0" b="0"/>
            <wp:docPr id="57"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8" name="Picture" descr="media/diagrama-limitaciones-mitigacion.png"/>
                    <pic:cNvPicPr>
                      <a:picLocks noChangeAspect="1" noChangeArrowheads="1"/>
                    </pic:cNvPicPr>
                  </pic:nvPicPr>
                  <pic:blipFill>
                    <a:blip r:embed="rId14"/>
                    <a:stretch>
                      <a:fillRect/>
                    </a:stretch>
                  </pic:blipFill>
                  <pic:spPr bwMode="auto">
                    <a:xfrm>
                      <a:off x="0" y="0"/>
                      <a:ext cx="5562600" cy="5765800"/>
                    </a:xfrm>
                    <a:prstGeom prst="rect">
                      <a:avLst/>
                    </a:prstGeom>
                    <a:noFill/>
                    <a:ln w="9525">
                      <a:noFill/>
                      <a:headEnd/>
                      <a:tailEnd/>
                    </a:ln>
                  </pic:spPr>
                </pic:pic>
              </a:graphicData>
            </a:graphic>
          </wp:inline>
        </w:drawing>
      </w:r>
    </w:p>
    <w:p w14:paraId="2BC69F58" w14:textId="6D0A5033" w:rsidR="00720442" w:rsidRDefault="0080011C">
      <w:pPr>
        <w:jc w:val="center"/>
      </w:pPr>
      <w:bookmarkStart w:id="40" w:name="_Toc225939045"/>
      <w:r>
        <w:rPr>
          <w:i/>
          <w:sz w:val="20"/>
        </w:rPr>
        <w:t xml:space="preserve">Figura </w:t>
      </w:r>
      <w:r>
        <w:fldChar w:fldCharType="begin"/>
      </w:r>
      <w:r>
        <w:instrText xml:space="preserve"> SEQ Figure \* ARABIC </w:instrText>
      </w:r>
      <w:r>
        <w:fldChar w:fldCharType="separate"/>
      </w:r>
      <w:r w:rsidR="005314D4">
        <w:rPr>
          <w:noProof/>
        </w:rPr>
        <w:t>7</w:t>
      </w:r>
      <w:r>
        <w:fldChar w:fldCharType="end"/>
      </w:r>
      <w:r>
        <w:rPr>
          <w:i/>
          <w:sz w:val="20"/>
        </w:rPr>
        <w:t>. Limitaciones de la investigación y estrategias de mitigación</w:t>
      </w:r>
      <w:bookmarkEnd w:id="40"/>
    </w:p>
    <w:p w14:paraId="7DDBC157" w14:textId="77777777" w:rsidR="00720442" w:rsidRDefault="0080011C">
      <w:pPr>
        <w:jc w:val="center"/>
      </w:pPr>
      <w:r>
        <w:rPr>
          <w:i/>
          <w:iCs/>
          <w:sz w:val="20"/>
        </w:rPr>
        <w:t>Nota.</w:t>
      </w:r>
      <w:r>
        <w:rPr>
          <w:sz w:val="20"/>
        </w:rPr>
        <w:t xml:space="preserve"> Elaboración propia.</w:t>
      </w:r>
    </w:p>
    <w:p w14:paraId="729526A8" w14:textId="77777777" w:rsidR="00720442" w:rsidRDefault="0080011C">
      <w:pPr>
        <w:pStyle w:val="Ttulo3"/>
      </w:pPr>
      <w:bookmarkStart w:id="41" w:name="disponibilidad-y-calidad-de-los-datos"/>
      <w:bookmarkStart w:id="42" w:name="_Toc225939009"/>
      <w:r>
        <w:t>1.4.1. Disponibilidad y calidad de los datos</w:t>
      </w:r>
      <w:bookmarkEnd w:id="42"/>
    </w:p>
    <w:p w14:paraId="5EF8E534" w14:textId="77777777" w:rsidR="00720442" w:rsidRDefault="0080011C">
      <w:r>
        <w:lastRenderedPageBreak/>
        <w:t>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diferencias de nomenclatura en</w:t>
      </w:r>
      <w:r>
        <w:t>tre establecimientos para un mismo diagnóstico) incrementan sustancialmente la complejidad de normalización y mapeo de datos, lo cual es directamente relevante para las brechas de codificación y completitud identificadas en el planteamiento del problema.</w:t>
      </w:r>
    </w:p>
    <w:p w14:paraId="0D7DE492" w14:textId="77777777" w:rsidR="00720442" w:rsidRDefault="0080011C">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w:t>
      </w:r>
      <w:r>
        <w:t>s brechas de completitud y codificación.</w:t>
      </w:r>
    </w:p>
    <w:p w14:paraId="31B65F00" w14:textId="77777777" w:rsidR="00720442" w:rsidRDefault="0080011C">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3C67520D" w14:textId="77777777" w:rsidR="00720442" w:rsidRDefault="0080011C">
      <w:pPr>
        <w:pStyle w:val="Ttulo3"/>
      </w:pPr>
      <w:bookmarkStart w:id="43" w:name="acceso-a-fuentes-de-información"/>
      <w:bookmarkStart w:id="44" w:name="_Toc225939010"/>
      <w:bookmarkEnd w:id="41"/>
      <w:r>
        <w:t>1.4.2. Acceso a fuentes de información</w:t>
      </w:r>
      <w:bookmarkEnd w:id="44"/>
    </w:p>
    <w:p w14:paraId="62C38866" w14:textId="77777777" w:rsidR="00720442" w:rsidRDefault="0080011C">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w:t>
      </w:r>
      <w:r>
        <w:t>es entre aseguramiento (SIS) y prestación (MINSA/HIS).</w:t>
      </w:r>
    </w:p>
    <w:p w14:paraId="02549C6E" w14:textId="77777777" w:rsidR="00720442" w:rsidRDefault="0080011C">
      <w:r>
        <w:lastRenderedPageBreak/>
        <w:t>Mauricio et al. (2024), con base en su encuesta a 120 proveedores de salud en Perú, reportan hallazgos que dimensionan esta limitación:</w:t>
      </w:r>
    </w:p>
    <w:p w14:paraId="0301E69B" w14:textId="77777777" w:rsidR="00720442" w:rsidRDefault="0080011C">
      <w:pPr>
        <w:numPr>
          <w:ilvl w:val="0"/>
          <w:numId w:val="58"/>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7AF87617" w14:textId="77777777" w:rsidR="00720442" w:rsidRDefault="0080011C">
      <w:pPr>
        <w:numPr>
          <w:ilvl w:val="0"/>
          <w:numId w:val="58"/>
        </w:numPr>
      </w:pPr>
      <w:r>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28D74085" w14:textId="77777777" w:rsidR="00720442" w:rsidRDefault="0080011C">
      <w:pPr>
        <w:numPr>
          <w:ilvl w:val="0"/>
          <w:numId w:val="58"/>
        </w:numPr>
      </w:pPr>
      <w:r>
        <w:t>Solo el 22 % de los establecimientos posee integraciones HL7/FHIR; el resto recurre a documentos PDF escaneados, lo que eleva la tasa de errores en la entrada de datos al 35 % y dificulta la evaluación de la codificación estandarizada.</w:t>
      </w:r>
    </w:p>
    <w:p w14:paraId="64D2FD5D" w14:textId="77777777" w:rsidR="00720442" w:rsidRDefault="0080011C">
      <w:pPr>
        <w:numPr>
          <w:ilvl w:val="0"/>
          <w:numId w:val="58"/>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0D4ECAD4" w14:textId="77777777" w:rsidR="00720442" w:rsidRDefault="0080011C">
      <w:r>
        <w:t>La Tabla 3 sintetiza estos hallazgos con sus implicaciones directas para las dimensiones de calidad evaluadas en esta investigación.</w:t>
      </w:r>
    </w:p>
    <w:p w14:paraId="22C7EC07" w14:textId="035CBE0E" w:rsidR="00720442" w:rsidRDefault="0080011C">
      <w:bookmarkStart w:id="45" w:name="tbl:brechas-mauricio"/>
      <w:bookmarkStart w:id="46" w:name="_Toc225939029"/>
      <w:r>
        <w:t xml:space="preserve">Tabla </w:t>
      </w:r>
      <w:r>
        <w:fldChar w:fldCharType="begin"/>
      </w:r>
      <w:r>
        <w:instrText xml:space="preserve"> SEQ Table \* ARABIC </w:instrText>
      </w:r>
      <w:r>
        <w:fldChar w:fldCharType="separate"/>
      </w:r>
      <w:r w:rsidR="005314D4">
        <w:rPr>
          <w:noProof/>
        </w:rPr>
        <w:t>3</w:t>
      </w:r>
      <w:r>
        <w:fldChar w:fldCharType="end"/>
      </w:r>
      <w:r>
        <w:t>. Brechas operativas en establecimientos del MINSA según hallazgos de Mauricio et al. (2024)</w:t>
      </w:r>
      <w:bookmarkEnd w:id="4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Brechas operativas en establecimientos del MINSA según hallazgos de Mauricio et al. (2024)"/>
      </w:tblPr>
      <w:tblGrid>
        <w:gridCol w:w="4111"/>
        <w:gridCol w:w="875"/>
        <w:gridCol w:w="786"/>
        <w:gridCol w:w="2973"/>
      </w:tblGrid>
      <w:tr w:rsidR="00720442" w14:paraId="01F8AB81" w14:textId="77777777">
        <w:trPr>
          <w:tblHeader/>
        </w:trPr>
        <w:tc>
          <w:tcPr>
            <w:tcW w:w="3722" w:type="dxa"/>
          </w:tcPr>
          <w:p w14:paraId="6AB6872E" w14:textId="77777777" w:rsidR="00720442" w:rsidRDefault="0080011C">
            <w:pPr>
              <w:jc w:val="left"/>
            </w:pPr>
            <w:r>
              <w:t>Indicador</w:t>
            </w:r>
          </w:p>
        </w:tc>
        <w:tc>
          <w:tcPr>
            <w:tcW w:w="792" w:type="dxa"/>
          </w:tcPr>
          <w:p w14:paraId="776CEA37" w14:textId="77777777" w:rsidR="00720442" w:rsidRDefault="0080011C">
            <w:pPr>
              <w:jc w:val="center"/>
            </w:pPr>
            <w:r>
              <w:t>Urbano</w:t>
            </w:r>
          </w:p>
        </w:tc>
        <w:tc>
          <w:tcPr>
            <w:tcW w:w="712" w:type="dxa"/>
          </w:tcPr>
          <w:p w14:paraId="28623F83" w14:textId="77777777" w:rsidR="00720442" w:rsidRDefault="0080011C">
            <w:pPr>
              <w:jc w:val="center"/>
            </w:pPr>
            <w:r>
              <w:t>Rural</w:t>
            </w:r>
          </w:p>
        </w:tc>
        <w:tc>
          <w:tcPr>
            <w:tcW w:w="2692" w:type="dxa"/>
          </w:tcPr>
          <w:p w14:paraId="5C2B3E0F" w14:textId="77777777" w:rsidR="00720442" w:rsidRDefault="0080011C">
            <w:pPr>
              <w:jc w:val="left"/>
            </w:pPr>
            <w:r>
              <w:t>Brecha de calidad afectada</w:t>
            </w:r>
          </w:p>
        </w:tc>
      </w:tr>
      <w:tr w:rsidR="00720442" w14:paraId="2B611A84" w14:textId="77777777">
        <w:tc>
          <w:tcPr>
            <w:tcW w:w="3722" w:type="dxa"/>
          </w:tcPr>
          <w:p w14:paraId="3BD8367A" w14:textId="77777777" w:rsidR="00720442" w:rsidRDefault="0080011C">
            <w:pPr>
              <w:jc w:val="left"/>
            </w:pPr>
            <w:r>
              <w:t>Establecimientos con EHR operativo</w:t>
            </w:r>
          </w:p>
        </w:tc>
        <w:tc>
          <w:tcPr>
            <w:tcW w:w="792" w:type="dxa"/>
          </w:tcPr>
          <w:p w14:paraId="70AEAC27" w14:textId="77777777" w:rsidR="00720442" w:rsidRDefault="0080011C">
            <w:pPr>
              <w:jc w:val="center"/>
            </w:pPr>
            <w:r>
              <w:t>42 %</w:t>
            </w:r>
          </w:p>
        </w:tc>
        <w:tc>
          <w:tcPr>
            <w:tcW w:w="712" w:type="dxa"/>
          </w:tcPr>
          <w:p w14:paraId="780F5019" w14:textId="77777777" w:rsidR="00720442" w:rsidRDefault="0080011C">
            <w:pPr>
              <w:jc w:val="center"/>
            </w:pPr>
            <w:r>
              <w:t>18 %</w:t>
            </w:r>
          </w:p>
        </w:tc>
        <w:tc>
          <w:tcPr>
            <w:tcW w:w="2692" w:type="dxa"/>
          </w:tcPr>
          <w:p w14:paraId="7E80B9B4" w14:textId="77777777" w:rsidR="00720442" w:rsidRDefault="0080011C">
            <w:pPr>
              <w:jc w:val="left"/>
            </w:pPr>
            <w:r>
              <w:t>Completitud, codificación</w:t>
            </w:r>
          </w:p>
        </w:tc>
      </w:tr>
      <w:tr w:rsidR="00720442" w14:paraId="63716409" w14:textId="77777777">
        <w:tc>
          <w:tcPr>
            <w:tcW w:w="3722" w:type="dxa"/>
          </w:tcPr>
          <w:p w14:paraId="4742F1A0" w14:textId="77777777" w:rsidR="00720442" w:rsidRDefault="0080011C">
            <w:pPr>
              <w:jc w:val="left"/>
            </w:pPr>
            <w:r>
              <w:t>Dependencia de registros en papel/planillas</w:t>
            </w:r>
          </w:p>
        </w:tc>
        <w:tc>
          <w:tcPr>
            <w:tcW w:w="792" w:type="dxa"/>
          </w:tcPr>
          <w:p w14:paraId="6E3C5F63" w14:textId="77777777" w:rsidR="00720442" w:rsidRDefault="0080011C">
            <w:pPr>
              <w:jc w:val="center"/>
            </w:pPr>
            <w:r>
              <w:t>—</w:t>
            </w:r>
          </w:p>
        </w:tc>
        <w:tc>
          <w:tcPr>
            <w:tcW w:w="712" w:type="dxa"/>
          </w:tcPr>
          <w:p w14:paraId="1D24581F" w14:textId="77777777" w:rsidR="00720442" w:rsidRDefault="0080011C">
            <w:pPr>
              <w:jc w:val="center"/>
            </w:pPr>
            <w:r>
              <w:t>65 %</w:t>
            </w:r>
          </w:p>
        </w:tc>
        <w:tc>
          <w:tcPr>
            <w:tcW w:w="2692" w:type="dxa"/>
          </w:tcPr>
          <w:p w14:paraId="16555A2E" w14:textId="77777777" w:rsidR="00720442" w:rsidRDefault="0080011C">
            <w:pPr>
              <w:jc w:val="left"/>
            </w:pPr>
            <w:r>
              <w:t>Completitud, disponibilidad</w:t>
            </w:r>
          </w:p>
        </w:tc>
      </w:tr>
      <w:tr w:rsidR="00720442" w14:paraId="4E2BEE09" w14:textId="77777777">
        <w:tc>
          <w:tcPr>
            <w:tcW w:w="3722" w:type="dxa"/>
          </w:tcPr>
          <w:p w14:paraId="1017987F" w14:textId="77777777" w:rsidR="00720442" w:rsidRDefault="0080011C">
            <w:pPr>
              <w:jc w:val="left"/>
            </w:pPr>
            <w:r>
              <w:lastRenderedPageBreak/>
              <w:t>Interrupciones que afectan continuidad</w:t>
            </w:r>
          </w:p>
        </w:tc>
        <w:tc>
          <w:tcPr>
            <w:tcW w:w="792" w:type="dxa"/>
          </w:tcPr>
          <w:p w14:paraId="7441F0D6" w14:textId="77777777" w:rsidR="00720442" w:rsidRDefault="0080011C">
            <w:pPr>
              <w:jc w:val="center"/>
            </w:pPr>
            <w:r>
              <w:t>—</w:t>
            </w:r>
          </w:p>
        </w:tc>
        <w:tc>
          <w:tcPr>
            <w:tcW w:w="712" w:type="dxa"/>
          </w:tcPr>
          <w:p w14:paraId="20C1447F" w14:textId="77777777" w:rsidR="00720442" w:rsidRDefault="0080011C">
            <w:pPr>
              <w:jc w:val="center"/>
            </w:pPr>
            <w:r>
              <w:t>72 %</w:t>
            </w:r>
          </w:p>
        </w:tc>
        <w:tc>
          <w:tcPr>
            <w:tcW w:w="2692" w:type="dxa"/>
          </w:tcPr>
          <w:p w14:paraId="316D6E44" w14:textId="77777777" w:rsidR="00720442" w:rsidRDefault="0080011C">
            <w:pPr>
              <w:jc w:val="left"/>
            </w:pPr>
            <w:r>
              <w:t>Trazabilidad, continuidad</w:t>
            </w:r>
          </w:p>
        </w:tc>
      </w:tr>
      <w:tr w:rsidR="00720442" w14:paraId="5B50DBAB" w14:textId="77777777">
        <w:tc>
          <w:tcPr>
            <w:tcW w:w="3722" w:type="dxa"/>
          </w:tcPr>
          <w:p w14:paraId="0657A61E" w14:textId="77777777" w:rsidR="00720442" w:rsidRDefault="0080011C">
            <w:pPr>
              <w:jc w:val="left"/>
            </w:pPr>
            <w:r>
              <w:t>Tiempo de conciliación manual</w:t>
            </w:r>
          </w:p>
        </w:tc>
        <w:tc>
          <w:tcPr>
            <w:tcW w:w="792" w:type="dxa"/>
          </w:tcPr>
          <w:p w14:paraId="6B8C6E04" w14:textId="77777777" w:rsidR="00720442" w:rsidRDefault="0080011C">
            <w:pPr>
              <w:jc w:val="center"/>
            </w:pPr>
            <w:r>
              <w:t>—</w:t>
            </w:r>
          </w:p>
        </w:tc>
        <w:tc>
          <w:tcPr>
            <w:tcW w:w="712" w:type="dxa"/>
          </w:tcPr>
          <w:p w14:paraId="0565743C" w14:textId="77777777" w:rsidR="00720442" w:rsidRDefault="0080011C">
            <w:pPr>
              <w:jc w:val="center"/>
            </w:pPr>
            <w:r>
              <w:t>48–72 h</w:t>
            </w:r>
          </w:p>
        </w:tc>
        <w:tc>
          <w:tcPr>
            <w:tcW w:w="2692" w:type="dxa"/>
          </w:tcPr>
          <w:p w14:paraId="2028E11D" w14:textId="77777777" w:rsidR="00720442" w:rsidRDefault="0080011C">
            <w:pPr>
              <w:jc w:val="left"/>
            </w:pPr>
            <w:r>
              <w:t>Eficiencia, disponibilidad</w:t>
            </w:r>
          </w:p>
        </w:tc>
      </w:tr>
      <w:tr w:rsidR="00720442" w14:paraId="0948345C" w14:textId="77777777">
        <w:tc>
          <w:tcPr>
            <w:tcW w:w="3722" w:type="dxa"/>
          </w:tcPr>
          <w:p w14:paraId="4808098F" w14:textId="77777777" w:rsidR="00720442" w:rsidRDefault="0080011C">
            <w:pPr>
              <w:jc w:val="left"/>
            </w:pPr>
            <w:r>
              <w:t>Establecimientos con integración HL7/FHIR</w:t>
            </w:r>
          </w:p>
        </w:tc>
        <w:tc>
          <w:tcPr>
            <w:tcW w:w="792" w:type="dxa"/>
          </w:tcPr>
          <w:p w14:paraId="77639600" w14:textId="77777777" w:rsidR="00720442" w:rsidRDefault="0080011C">
            <w:pPr>
              <w:jc w:val="center"/>
            </w:pPr>
            <w:r>
              <w:t>22 % (promedio)</w:t>
            </w:r>
          </w:p>
        </w:tc>
        <w:tc>
          <w:tcPr>
            <w:tcW w:w="712" w:type="dxa"/>
          </w:tcPr>
          <w:p w14:paraId="427E8326" w14:textId="77777777" w:rsidR="00720442" w:rsidRDefault="00720442"/>
        </w:tc>
        <w:tc>
          <w:tcPr>
            <w:tcW w:w="2692" w:type="dxa"/>
          </w:tcPr>
          <w:p w14:paraId="0A7A1A1B" w14:textId="77777777" w:rsidR="00720442" w:rsidRDefault="0080011C">
            <w:pPr>
              <w:jc w:val="left"/>
            </w:pPr>
            <w:r>
              <w:t>Consistencia, codificación</w:t>
            </w:r>
          </w:p>
        </w:tc>
      </w:tr>
      <w:tr w:rsidR="00720442" w14:paraId="1A61E8C1" w14:textId="77777777">
        <w:tc>
          <w:tcPr>
            <w:tcW w:w="3722" w:type="dxa"/>
          </w:tcPr>
          <w:p w14:paraId="320D69E4" w14:textId="77777777" w:rsidR="00720442" w:rsidRDefault="0080011C">
            <w:pPr>
              <w:jc w:val="left"/>
            </w:pPr>
            <w:r>
              <w:t>Tasa de errores en entrada de datos (sin integración)</w:t>
            </w:r>
          </w:p>
        </w:tc>
        <w:tc>
          <w:tcPr>
            <w:tcW w:w="792" w:type="dxa"/>
          </w:tcPr>
          <w:p w14:paraId="47A419B5" w14:textId="77777777" w:rsidR="00720442" w:rsidRDefault="0080011C">
            <w:pPr>
              <w:jc w:val="center"/>
            </w:pPr>
            <w:r>
              <w:t>35 % (promedio)</w:t>
            </w:r>
          </w:p>
        </w:tc>
        <w:tc>
          <w:tcPr>
            <w:tcW w:w="712" w:type="dxa"/>
          </w:tcPr>
          <w:p w14:paraId="7D7B1256" w14:textId="77777777" w:rsidR="00720442" w:rsidRDefault="00720442"/>
        </w:tc>
        <w:tc>
          <w:tcPr>
            <w:tcW w:w="2692" w:type="dxa"/>
          </w:tcPr>
          <w:p w14:paraId="757B686C" w14:textId="77777777" w:rsidR="00720442" w:rsidRDefault="0080011C">
            <w:pPr>
              <w:jc w:val="left"/>
            </w:pPr>
            <w:r>
              <w:t>Integridad, consistencia</w:t>
            </w:r>
          </w:p>
        </w:tc>
      </w:tr>
      <w:tr w:rsidR="00720442" w14:paraId="7239E565" w14:textId="77777777">
        <w:tc>
          <w:tcPr>
            <w:tcW w:w="3722" w:type="dxa"/>
          </w:tcPr>
          <w:p w14:paraId="392AEEC8" w14:textId="77777777" w:rsidR="00720442" w:rsidRDefault="0080011C">
            <w:pPr>
              <w:jc w:val="left"/>
            </w:pPr>
            <w:r>
              <w:t>Pacientes crónicos con pérdida de datos en transiciones</w:t>
            </w:r>
          </w:p>
        </w:tc>
        <w:tc>
          <w:tcPr>
            <w:tcW w:w="792" w:type="dxa"/>
          </w:tcPr>
          <w:p w14:paraId="3F17511D" w14:textId="77777777" w:rsidR="00720442" w:rsidRDefault="0080011C">
            <w:pPr>
              <w:jc w:val="center"/>
            </w:pPr>
            <w:r>
              <w:t>55 % (promedio)</w:t>
            </w:r>
          </w:p>
        </w:tc>
        <w:tc>
          <w:tcPr>
            <w:tcW w:w="712" w:type="dxa"/>
          </w:tcPr>
          <w:p w14:paraId="7C8F92EF" w14:textId="77777777" w:rsidR="00720442" w:rsidRDefault="00720442"/>
        </w:tc>
        <w:tc>
          <w:tcPr>
            <w:tcW w:w="2692" w:type="dxa"/>
          </w:tcPr>
          <w:p w14:paraId="2B04CD04" w14:textId="77777777" w:rsidR="00720442" w:rsidRDefault="0080011C">
            <w:pPr>
              <w:jc w:val="left"/>
            </w:pPr>
            <w:r>
              <w:t>Continuidad, trazabilidad</w:t>
            </w:r>
          </w:p>
        </w:tc>
      </w:tr>
      <w:tr w:rsidR="00720442" w14:paraId="4E555F73" w14:textId="77777777">
        <w:tc>
          <w:tcPr>
            <w:tcW w:w="3722" w:type="dxa"/>
          </w:tcPr>
          <w:p w14:paraId="322256D1" w14:textId="77777777" w:rsidR="00720442" w:rsidRDefault="0080011C">
            <w:pPr>
              <w:jc w:val="left"/>
            </w:pPr>
            <w:r>
              <w:t>Probabilidad adicional de readmisión por datos incompletos</w:t>
            </w:r>
          </w:p>
        </w:tc>
        <w:tc>
          <w:tcPr>
            <w:tcW w:w="792" w:type="dxa"/>
          </w:tcPr>
          <w:p w14:paraId="6A6964F8" w14:textId="77777777" w:rsidR="00720442" w:rsidRDefault="0080011C">
            <w:pPr>
              <w:jc w:val="center"/>
            </w:pPr>
            <w:r>
              <w:t>28 % (promedio)</w:t>
            </w:r>
          </w:p>
        </w:tc>
        <w:tc>
          <w:tcPr>
            <w:tcW w:w="712" w:type="dxa"/>
          </w:tcPr>
          <w:p w14:paraId="68535E26" w14:textId="77777777" w:rsidR="00720442" w:rsidRDefault="00720442"/>
        </w:tc>
        <w:tc>
          <w:tcPr>
            <w:tcW w:w="2692" w:type="dxa"/>
          </w:tcPr>
          <w:p w14:paraId="614FD2C3" w14:textId="77777777" w:rsidR="00720442" w:rsidRDefault="0080011C">
            <w:pPr>
              <w:jc w:val="left"/>
            </w:pPr>
            <w:r>
              <w:t>Integridad, continuidad</w:t>
            </w:r>
          </w:p>
        </w:tc>
      </w:tr>
    </w:tbl>
    <w:bookmarkEnd w:id="45"/>
    <w:p w14:paraId="3C3BAC19" w14:textId="77777777" w:rsidR="00720442" w:rsidRDefault="0080011C">
      <w:pPr>
        <w:jc w:val="center"/>
      </w:pPr>
      <w:r>
        <w:rPr>
          <w:i/>
          <w:iCs/>
          <w:sz w:val="20"/>
        </w:rPr>
        <w:t>Nota.</w:t>
      </w:r>
      <w:r>
        <w:rPr>
          <w:sz w:val="20"/>
        </w:rPr>
        <w:t xml:space="preserve"> Adaptado de </w:t>
      </w:r>
      <w:r>
        <w:rPr>
          <w:sz w:val="20"/>
        </w:rPr>
        <w:t xml:space="preserve">“Electronic Health Record Interoperability System in Peru Using Blockchain”, por Mauricio et al., 2024, </w:t>
      </w:r>
      <w:r>
        <w:rPr>
          <w:i/>
          <w:iCs/>
          <w:sz w:val="20"/>
        </w:rPr>
        <w:t>International Journal of Online and Biomedical Engineering</w:t>
      </w:r>
      <w:r>
        <w:rPr>
          <w:sz w:val="20"/>
        </w:rPr>
        <w:t>, 20(6), pp. 139–155.</w:t>
      </w:r>
    </w:p>
    <w:p w14:paraId="58461572" w14:textId="77777777" w:rsidR="00720442" w:rsidRDefault="0080011C">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13B19281" w14:textId="77777777" w:rsidR="00720442" w:rsidRDefault="0080011C">
      <w:r>
        <w:t>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1E4E1B68" w14:textId="77777777" w:rsidR="00720442" w:rsidRDefault="0080011C">
      <w:pPr>
        <w:pStyle w:val="Ttulo3"/>
      </w:pPr>
      <w:bookmarkStart w:id="47" w:name="alcance-geográfico"/>
      <w:bookmarkStart w:id="48" w:name="_Toc225939011"/>
      <w:bookmarkEnd w:id="43"/>
      <w:r>
        <w:t>1.4.3. Alcance geográfico</w:t>
      </w:r>
      <w:bookmarkEnd w:id="48"/>
    </w:p>
    <w:p w14:paraId="357E35A1" w14:textId="77777777" w:rsidR="00720442" w:rsidRDefault="0080011C">
      <w:r>
        <w:lastRenderedPageBreak/>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w:t>
      </w:r>
      <w:r>
        <w:t>nuales (Mauricio et al., 2024). Holmgren et al. (2023), en 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45DC3AF4" w14:textId="77777777" w:rsidR="00720442" w:rsidRDefault="0080011C">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2CCE77D6" w14:textId="77777777" w:rsidR="00720442" w:rsidRDefault="0080011C">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07D81461" w14:textId="77777777" w:rsidR="00720442" w:rsidRDefault="0080011C">
      <w:pPr>
        <w:pStyle w:val="Ttulo3"/>
      </w:pPr>
      <w:bookmarkStart w:id="49" w:name="X7f33e2368f10322af7e6e3aba6829813438fbe7"/>
      <w:bookmarkStart w:id="50" w:name="_Toc225939012"/>
      <w:bookmarkEnd w:id="47"/>
      <w:r>
        <w:t>1.4.4. Limitaciones del modelo de interoperabilidad implementado</w:t>
      </w:r>
      <w:bookmarkEnd w:id="50"/>
    </w:p>
    <w:p w14:paraId="0792733B" w14:textId="77777777" w:rsidR="00720442" w:rsidRDefault="0080011C">
      <w:r>
        <w:t xml:space="preserve">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w:t>
      </w:r>
      <w:r>
        <w:t>cuyos perfiles FHIR podrían diferir en interpretación.</w:t>
      </w:r>
    </w:p>
    <w:p w14:paraId="185B556F" w14:textId="77777777" w:rsidR="00720442" w:rsidRDefault="0080011C">
      <w:r>
        <w:t xml:space="preserve">Adicionalmente, Vorisek et al. (2022) señalan como limitaciones inherentes a FHIR el posible cambio en el contenido de los recursos entre versiones del estándar, los requisitos de seguridad para proteger información clínica sensible y la dependencia </w:t>
      </w:r>
      <w:r>
        <w:lastRenderedPageBreak/>
        <w:t>de un servidor FHIR como punto de articulación. En el contexto peruano, donde coexisten sistemas con distinto nivel de madurez tecnológica, estas limitaciones pueden amplificarse al momento de integrar establecimientos de diferente complejidad.</w:t>
      </w:r>
    </w:p>
    <w:p w14:paraId="02E9433E" w14:textId="77777777" w:rsidR="00720442" w:rsidRDefault="0080011C">
      <w:r>
        <w:t>Ante esta limitación, en la presente investigación se emplearán perfiles FHIR alineados con estándares de uso extendido (US Core, International Patient Summary) y se documentarán de forma explícita las decisiones de diseño, las versiones de recursos utilizadas y las limitaciones de compatibilidad conocidas.</w:t>
      </w:r>
    </w:p>
    <w:p w14:paraId="49C552AD" w14:textId="77777777" w:rsidR="00720442" w:rsidRDefault="0080011C">
      <w:pPr>
        <w:pStyle w:val="Ttulo3"/>
      </w:pPr>
      <w:bookmarkStart w:id="51" w:name="variables-no-identificadas"/>
      <w:bookmarkStart w:id="52" w:name="_Toc225939013"/>
      <w:bookmarkEnd w:id="49"/>
      <w:r>
        <w:t>1.4.5. Variables no identificadas</w:t>
      </w:r>
      <w:bookmarkEnd w:id="52"/>
    </w:p>
    <w:p w14:paraId="320196AF" w14:textId="77777777" w:rsidR="00720442" w:rsidRDefault="0080011C">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w:t>
      </w:r>
      <w:r>
        <w:t>en a manifestarse durante la operación real y no durante las pruebas controladas, lo que subraya la necesidad de contemplar variables emergentes que solo se identifican en la interacción cotidiana con el personal de salud y los sistemas en producción.</w:t>
      </w:r>
    </w:p>
    <w:p w14:paraId="01FE8E45" w14:textId="77777777" w:rsidR="00720442" w:rsidRDefault="0080011C">
      <w:r>
        <w:t>En el caso peruano, donde los sistemas son diversos y en muchos casos obsoletos, la probabilidad de que surjan obstáculos no anticipados durante la implementación piloto es relevante y debe ser explícitamente reconocida como limitación del diseño.</w:t>
      </w:r>
    </w:p>
    <w:p w14:paraId="1DA4A69D" w14:textId="77777777" w:rsidR="00720442" w:rsidRDefault="0080011C">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50989BB2" w14:textId="77777777" w:rsidR="00720442" w:rsidRDefault="0080011C">
      <w:pPr>
        <w:pStyle w:val="Ttulo3"/>
      </w:pPr>
      <w:bookmarkStart w:id="53" w:name="restricciones-de-tiempo-y-recursos"/>
      <w:bookmarkStart w:id="54" w:name="_Toc225939014"/>
      <w:bookmarkEnd w:id="51"/>
      <w:r>
        <w:t>1.4.6. Restricciones de tiempo y recursos</w:t>
      </w:r>
      <w:bookmarkEnd w:id="54"/>
    </w:p>
    <w:p w14:paraId="0999D129" w14:textId="77777777" w:rsidR="00720442" w:rsidRDefault="0080011C">
      <w:r>
        <w:t xml:space="preserve">La implementación del proyecto piloto está circunscrita al periodo académico de la investigación, lo cual impone restricciones sobre el alcance de la intervención y el seguimiento de resultados. La OPS (2024) reconoce que los procesos de </w:t>
      </w:r>
      <w:r>
        <w:lastRenderedPageBreak/>
        <w:t>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6CF9CF09" w14:textId="77777777" w:rsidR="00720442" w:rsidRDefault="0080011C">
      <w:r>
        <w:t xml:space="preserve">La experiencia nacional respalda esta restricción. Porras Gamarra (2024) documenta que la implementación de interoperabilidad HL7 FHIR y openEHR en 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Heryawan </w:t>
      </w:r>
      <w:r>
        <w:t>et al. (2025) muestran que la adopción de FHIR en Indonesia avanzó de forma incremental, priorizando funcionalidades críticas en cada iteración.</w:t>
      </w:r>
    </w:p>
    <w:p w14:paraId="46886E80" w14:textId="77777777" w:rsidR="00720442" w:rsidRDefault="0080011C">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7B04036E" w14:textId="77777777" w:rsidR="00720442" w:rsidRDefault="0080011C">
      <w:pPr>
        <w:pStyle w:val="Ttulo1"/>
        <w:pageBreakBefore/>
      </w:pPr>
      <w:bookmarkStart w:id="55" w:name="capítulo-ii-marco-teórico"/>
      <w:bookmarkStart w:id="56" w:name="_Toc225939015"/>
      <w:bookmarkEnd w:id="6"/>
      <w:bookmarkEnd w:id="38"/>
      <w:bookmarkEnd w:id="53"/>
      <w:r>
        <w:lastRenderedPageBreak/>
        <w:t>Capítulo II. Marco teórico</w:t>
      </w:r>
      <w:bookmarkEnd w:id="56"/>
    </w:p>
    <w:p w14:paraId="6404987B" w14:textId="77777777" w:rsidR="00720442" w:rsidRDefault="0080011C">
      <w:pPr>
        <w:pStyle w:val="Ttulo2"/>
      </w:pPr>
      <w:bookmarkStart w:id="57" w:name="antecedentes-del-problema"/>
      <w:bookmarkStart w:id="58" w:name="_Toc225939016"/>
      <w:r>
        <w:t>2.1. Antecedentes del problema</w:t>
      </w:r>
      <w:bookmarkEnd w:id="58"/>
    </w:p>
    <w:p w14:paraId="1F5A9AE6" w14:textId="77777777" w:rsidR="00720442" w:rsidRDefault="0080011C">
      <w:pPr>
        <w:pStyle w:val="Ttulo3"/>
      </w:pPr>
      <w:bookmarkStart w:id="59" w:name="internacionales"/>
      <w:bookmarkStart w:id="60" w:name="_Toc225939017"/>
      <w:r>
        <w:t>2.1.1. Internacionales</w:t>
      </w:r>
      <w:bookmarkEnd w:id="60"/>
    </w:p>
    <w:p w14:paraId="71F538D3" w14:textId="77777777" w:rsidR="00720442" w:rsidRDefault="0080011C">
      <w:r>
        <w:rPr>
          <w:b/>
          <w:bCs/>
        </w:rPr>
        <w:t>ADELUSI ET AL. (2025)</w:t>
      </w:r>
      <w:r>
        <w:t xml:space="preserve"> </w:t>
      </w:r>
      <w:r>
        <w:rPr>
          <w:b/>
          <w:bCs/>
        </w:rPr>
        <w:t>Aporte:</w:t>
      </w:r>
      <w:r>
        <w:t xml:space="preserve"> Proponen un framework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w:t>
      </w:r>
      <w:r>
        <w:t xml:space="preserve">os clínicos crudos. </w:t>
      </w:r>
      <w:r>
        <w:rPr>
          <w:b/>
          <w:bCs/>
        </w:rPr>
        <w:t>Metodología:</w:t>
      </w:r>
      <w:r>
        <w:t xml:space="preserve"> Diseño y evaluación de framework en entorno simulado compuesto por tres sistemas hospitalarios con plataformas EHR diferentes (</w:t>
      </w:r>
      <w:r>
        <w:rPr>
          <w:i/>
          <w:iCs/>
        </w:rPr>
        <w:t>Engineering and Technology Journal</w:t>
      </w:r>
      <w:r>
        <w:t xml:space="preserve">). </w:t>
      </w:r>
      <w:r>
        <w:rPr>
          <w:b/>
          <w:bCs/>
        </w:rPr>
        <w:t>Instrumentos de evaluación:</w:t>
      </w:r>
      <w:r>
        <w:t xml:space="preserve"> Pruebas de recuperación de datos, medición de latencia, verificación de adherencia al protocolo FHIR y pruebas de escalabilidad. El entorno simuló un gateway de interoperabilidad, APIs FHIR, módulos de gestión de consentimiento y repositorios distribuidos con validación por consenso. </w:t>
      </w:r>
      <w:r>
        <w:rPr>
          <w:b/>
          <w:bCs/>
        </w:rPr>
        <w:t>Mé</w:t>
      </w:r>
      <w:r>
        <w:rPr>
          <w:b/>
          <w:bCs/>
        </w:rPr>
        <w:t>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w:t>
      </w:r>
      <w:r>
        <w:t xml:space="preserve">omo trabajo futuro integrar blockchain y cifrado homomórfico.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6791FD99" w14:textId="77777777" w:rsidR="00720442" w:rsidRDefault="0080011C">
      <w:r>
        <w:rPr>
          <w:b/>
          <w:bCs/>
        </w:rPr>
        <w:t>HERYAWAN ET AL. (2025)</w:t>
      </w:r>
      <w:r>
        <w:t xml:space="preserve"> </w:t>
      </w:r>
      <w:r>
        <w:rPr>
          <w:b/>
          <w:bCs/>
        </w:rPr>
        <w:t>Aporte:</w:t>
      </w:r>
      <w:r>
        <w:t xml:space="preserve"> Caracterizan barreras reales de implementación FHIR en la plataforma nacional Satusehat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w:t>
      </w:r>
      <w:r>
        <w:t>iones del grupo Telegram del Developer Hub de Satusehat y de la documentación técnica oficial (</w:t>
      </w:r>
      <w:r>
        <w:rPr>
          <w:i/>
          <w:iCs/>
        </w:rPr>
        <w:t>JMIR Formative Research</w:t>
      </w:r>
      <w:r>
        <w:t xml:space="preserve">). </w:t>
      </w:r>
      <w:r>
        <w:rPr>
          <w:b/>
          <w:bCs/>
        </w:rPr>
        <w:t>Instrumentos de evaluación:</w:t>
      </w:r>
      <w:r>
        <w:t xml:space="preserve"> Categorización temática de 107 incidencias reportadas y análisis de frecuencia por categoría. Fuente de datos: mensajes del grupo Telegram del Satusehat Developer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w:t>
      </w:r>
      <w:r>
        <w:t xml:space="preserve">emas del servidor FHIR (57 %), 37 a dificultades de mapeo de datos (34 %) y 9 a selección de perfiles (9 %). Los autores proponen una arquitectura federada con componentes FHIR writer/viewer. </w:t>
      </w:r>
      <w:r>
        <w:rPr>
          <w:b/>
          <w:bCs/>
        </w:rPr>
        <w:t>Limitaciones:</w:t>
      </w:r>
      <w:r>
        <w:t xml:space="preserve"> Fuente de datos limitada a un canal de comunicación (Telegram);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w:t>
      </w:r>
      <w:r>
        <w:t>. La experiencia de despliegue nacional progresivo es un referente directo para la implementación incremental en centros MINSA.</w:t>
      </w:r>
    </w:p>
    <w:p w14:paraId="66BAB5AA" w14:textId="77777777" w:rsidR="00720442" w:rsidRDefault="0080011C">
      <w:r>
        <w:t>La siguiente figura presenta la distribución de las 107 incidencias reportadas en la plataforma Satusehat de Indonesia, evidenciando las categorías de problemas más frecuentes durante un despliegue FHIR a escala nacional.</w:t>
      </w:r>
    </w:p>
    <w:p w14:paraId="23D827DB" w14:textId="77777777" w:rsidR="00720442" w:rsidRDefault="0080011C">
      <w:r>
        <w:rPr>
          <w:noProof/>
        </w:rPr>
        <w:drawing>
          <wp:inline distT="0" distB="0" distL="0" distR="0" wp14:anchorId="0A34AE83" wp14:editId="22179003">
            <wp:extent cx="5562600" cy="1749558"/>
            <wp:effectExtent l="0" t="0" r="0" b="0"/>
            <wp:docPr id="69" name="Picture" descr="Distribución de incidencias reportadas en la plataforma Satusehat de Indonesia"/>
            <wp:cNvGraphicFramePr/>
            <a:graphic xmlns:a="http://schemas.openxmlformats.org/drawingml/2006/main">
              <a:graphicData uri="http://schemas.openxmlformats.org/drawingml/2006/picture">
                <pic:pic xmlns:pic="http://schemas.openxmlformats.org/drawingml/2006/picture">
                  <pic:nvPicPr>
                    <pic:cNvPr id="70" name="Picture" descr="media/diagrama-incidencias-satusehat.png"/>
                    <pic:cNvPicPr>
                      <a:picLocks noChangeAspect="1" noChangeArrowheads="1"/>
                    </pic:cNvPicPr>
                  </pic:nvPicPr>
                  <pic:blipFill>
                    <a:blip r:embed="rId15"/>
                    <a:stretch>
                      <a:fillRect/>
                    </a:stretch>
                  </pic:blipFill>
                  <pic:spPr bwMode="auto">
                    <a:xfrm>
                      <a:off x="0" y="0"/>
                      <a:ext cx="5562600" cy="1749558"/>
                    </a:xfrm>
                    <a:prstGeom prst="rect">
                      <a:avLst/>
                    </a:prstGeom>
                    <a:noFill/>
                    <a:ln w="9525">
                      <a:noFill/>
                      <a:headEnd/>
                      <a:tailEnd/>
                    </a:ln>
                  </pic:spPr>
                </pic:pic>
              </a:graphicData>
            </a:graphic>
          </wp:inline>
        </w:drawing>
      </w:r>
    </w:p>
    <w:p w14:paraId="367DC205" w14:textId="4D2470BD" w:rsidR="00720442" w:rsidRDefault="0080011C">
      <w:pPr>
        <w:jc w:val="center"/>
      </w:pPr>
      <w:bookmarkStart w:id="61" w:name="_Toc225939046"/>
      <w:r>
        <w:rPr>
          <w:i/>
          <w:sz w:val="20"/>
        </w:rPr>
        <w:t xml:space="preserve">Figura </w:t>
      </w:r>
      <w:r>
        <w:fldChar w:fldCharType="begin"/>
      </w:r>
      <w:r>
        <w:instrText xml:space="preserve"> SEQ Figure \* ARABIC </w:instrText>
      </w:r>
      <w:r>
        <w:fldChar w:fldCharType="separate"/>
      </w:r>
      <w:r w:rsidR="005314D4">
        <w:rPr>
          <w:noProof/>
        </w:rPr>
        <w:t>8</w:t>
      </w:r>
      <w:r>
        <w:fldChar w:fldCharType="end"/>
      </w:r>
      <w:r>
        <w:rPr>
          <w:i/>
          <w:sz w:val="20"/>
        </w:rPr>
        <w:t>. Distribución de incidencias reportadas en la plataforma Satusehat de Indonesia</w:t>
      </w:r>
      <w:bookmarkEnd w:id="61"/>
    </w:p>
    <w:p w14:paraId="1188FBE8" w14:textId="77777777" w:rsidR="00720442" w:rsidRDefault="0080011C">
      <w:pPr>
        <w:jc w:val="center"/>
      </w:pPr>
      <w:r>
        <w:rPr>
          <w:i/>
          <w:iCs/>
          <w:sz w:val="20"/>
        </w:rPr>
        <w:lastRenderedPageBreak/>
        <w:t>Nota.</w:t>
      </w:r>
      <w:r>
        <w:rPr>
          <w:sz w:val="20"/>
        </w:rPr>
        <w:t xml:space="preserve"> Elaboración propia a partir de Heryawan et al. (2025).</w:t>
      </w:r>
    </w:p>
    <w:p w14:paraId="4F34AEB3" w14:textId="77777777" w:rsidR="00720442" w:rsidRDefault="0080011C">
      <w:r>
        <w:rPr>
          <w:b/>
          <w:bCs/>
        </w:rPr>
        <w:t>AMAR ET AL. (2024)</w:t>
      </w:r>
      <w:r>
        <w:t xml:space="preserve"> </w:t>
      </w:r>
      <w:r>
        <w:rPr>
          <w:b/>
          <w:bCs/>
        </w:rPr>
        <w:t>Aporte:</w:t>
      </w:r>
      <w:r>
        <w:t xml:space="preserve"> </w:t>
      </w:r>
      <w:r>
        <w:t xml:space="preserve">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w:t>
      </w:r>
      <w:r>
        <w:t>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servicios de terminología (14,3 %), anotación (14,3 %) y ontologías (</w:t>
      </w:r>
      <w:r>
        <w:t xml:space="preserve">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331EE471" w14:textId="77777777" w:rsidR="00720442" w:rsidRDefault="0080011C">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review conforme al protocolo PRISMA-ScR, con búsqueda en PubMed, Scopus, W</w:t>
      </w:r>
      <w:r>
        <w:t>eb of Science, IEEE, ACM y Google Scholar (</w:t>
      </w:r>
      <w:r>
        <w:rPr>
          <w:i/>
          <w:iCs/>
        </w:rPr>
        <w:t>JMIR Medical Informatics</w:t>
      </w:r>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 xml:space="preserve">Métricas o indicadores de </w:t>
      </w:r>
      <w:r>
        <w:rPr>
          <w:b/>
          <w:bCs/>
        </w:rPr>
        <w:lastRenderedPageBreak/>
        <w:t>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w:t>
      </w:r>
      <w:r>
        <w:t xml:space="preserve">s (estructuras predefinidas). Los recursos más utilizados son Observation, Condition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Observation, Condition y Patient como los recursos más adoptados orienta directamente la selección de recursos para la capa de integración FHIR piloto de esta tesis.</w:t>
      </w:r>
    </w:p>
    <w:p w14:paraId="432E8D9B" w14:textId="77777777" w:rsidR="00720442" w:rsidRDefault="0080011C">
      <w:r>
        <w:rPr>
          <w:b/>
          <w:bCs/>
        </w:rPr>
        <w:t>BOSSENKO ET AL. (2024)</w:t>
      </w:r>
      <w:r>
        <w:t xml:space="preserve"> </w:t>
      </w:r>
      <w:r>
        <w:rPr>
          <w:b/>
          <w:bCs/>
        </w:rPr>
        <w:t>Aporte:</w:t>
      </w:r>
      <w:r>
        <w:t xml:space="preserve"> Desarrollan herramienta visual reutilizable para transformar documentos HL7 CDA hacia recursos HL7 FHIR utilizando el FHIR Mapping Language, permitiendo que expertos de dominio con mínimas habilidades técnicas especifiquen reglas de transformación. </w:t>
      </w:r>
      <w:r>
        <w:rPr>
          <w:b/>
          <w:bCs/>
        </w:rPr>
        <w:t>Problema:</w:t>
      </w:r>
      <w:r>
        <w:t xml:space="preserve"> Complejidad del mapeo CDA-FHIR para equipos clínicos y técnicos en despliegues nacionales a escala. </w:t>
      </w:r>
      <w:r>
        <w:rPr>
          <w:b/>
          <w:bCs/>
        </w:rPr>
        <w:t>Objetivo:</w:t>
      </w:r>
      <w:r>
        <w:t xml:space="preserve"> Facilitar la transición nacional de interoperabilidad documental (CDA) a APIs FHIR con menor fricción técnica. </w:t>
      </w:r>
      <w:r>
        <w:rPr>
          <w:b/>
          <w:bCs/>
        </w:rPr>
        <w:t>Metodología:</w:t>
      </w:r>
      <w:r>
        <w:t xml:space="preserve"> Design Sci</w:t>
      </w:r>
      <w:r>
        <w:t>ence Research con desarrollo y validación aplicada en la transición del sistema nacional de Estonia (ENHIS) hacia el ecosistema del European Health Data Space (</w:t>
      </w:r>
      <w:r>
        <w:rPr>
          <w:i/>
          <w:iCs/>
        </w:rPr>
        <w:t>Frontiers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w:t>
      </w:r>
      <w:r>
        <w:t xml:space="preserve">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Design Science y la transición CDA→FHIR guiada por expertos de dominio es relevante para el contexto </w:t>
      </w:r>
      <w:r>
        <w:t>MINSA, donde herramientas accesibles de mapeo podrían facilitar la adopción de FHIR sin requerir perfiles altamente técnicos.</w:t>
      </w:r>
    </w:p>
    <w:p w14:paraId="6BFB42E1" w14:textId="77777777" w:rsidR="00720442" w:rsidRDefault="0080011C">
      <w:r>
        <w:rPr>
          <w:b/>
          <w:bCs/>
        </w:rPr>
        <w:lastRenderedPageBreak/>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Index), seguridad y flujo de dat</w:t>
      </w:r>
      <w:r>
        <w:t xml:space="preserve">os estandarizado. </w:t>
      </w:r>
      <w:r>
        <w:rPr>
          <w:b/>
          <w:bCs/>
        </w:rPr>
        <w:t>Metodología:</w:t>
      </w:r>
      <w:r>
        <w:t xml:space="preserve"> Revisión técnica con implementación de caso de uso basada en el método ADR (Action Design Research) e integración progresiva en el sistema de salud primaria de Sri Lanka (</w:t>
      </w:r>
      <w:r>
        <w:rPr>
          <w:i/>
          <w:iCs/>
        </w:rPr>
        <w:t>European Modern Studies Journal</w:t>
      </w:r>
      <w:r>
        <w:t xml:space="preserve">). </w:t>
      </w:r>
      <w:r>
        <w:rPr>
          <w:b/>
          <w:bCs/>
        </w:rPr>
        <w:t>Instrumentos de evaluación:</w:t>
      </w:r>
      <w:r>
        <w:t xml:space="preserve"> Pruebas funcionales con datasets sintéticos del HHIMS y validación de intercambio entre componentes; integración de MPI para matching probabilístico de pacientes. </w:t>
      </w:r>
      <w:r>
        <w:rPr>
          <w:b/>
          <w:bCs/>
        </w:rPr>
        <w:t>Métricas o indicadores de desempeño:</w:t>
      </w:r>
      <w:r>
        <w:t xml:space="preserve"> Factibilidad técnica de integración, capacidad d</w:t>
      </w:r>
      <w:r>
        <w:t xml:space="preserve">e intercambio entre sistemas primarios y secundarios, y escalabilidad del despliegue. </w:t>
      </w:r>
      <w:r>
        <w:rPr>
          <w:b/>
          <w:bCs/>
        </w:rPr>
        <w:t>Resultados:</w:t>
      </w:r>
      <w:r>
        <w:t xml:space="preserve"> Factibilidad técnica confirmada para integración FHIR en primer nivel de atención con enfoque 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w:t>
      </w:r>
      <w:r>
        <w:t>cursos limitados es directamente comparable al primer nivel del MINSA. La combinación HAPI-FHIR con MPI y despliegue progresivo informa la estrategia de implementación piloto de esta tesis.</w:t>
      </w:r>
    </w:p>
    <w:p w14:paraId="2141AE32" w14:textId="77777777" w:rsidR="00720442" w:rsidRDefault="0080011C">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w:t>
      </w:r>
      <w:r>
        <w:t xml:space="preserve">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of Science, Scopus, MEDLINE, Cochrane Library y Embase (</w:t>
      </w:r>
      <w:r>
        <w:rPr>
          <w:i/>
          <w:iCs/>
        </w:rPr>
        <w:t>BMC Medical Informatics and Decision Making</w:t>
      </w:r>
      <w:r>
        <w:t xml:space="preserve">). </w:t>
      </w:r>
      <w:r>
        <w:rPr>
          <w:b/>
          <w:bCs/>
        </w:rPr>
        <w:t>Instrumentos de evaluación:</w:t>
      </w:r>
      <w:r>
        <w:t xml:space="preserve"> Cribado de 302 artí</w:t>
      </w:r>
      <w:r>
        <w:t xml:space="preserve">culos con selección final de n = </w:t>
      </w:r>
      <w:r>
        <w:lastRenderedPageBreak/>
        <w:t xml:space="preserve">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w:t>
      </w:r>
      <w:r>
        <w:t xml:space="preserve">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6FC482C3" w14:textId="77777777" w:rsidR="00720442" w:rsidRDefault="0080011C">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w:t>
      </w:r>
      <w:r>
        <w:t>nido, Alemania, Israel y Portugal, con búsqueda en MEDLINE/PubMed y Google Scholar (</w:t>
      </w:r>
      <w:r>
        <w:rPr>
          <w:i/>
          <w:iCs/>
        </w:rPr>
        <w:t>IMIA Yearbook of Medical Informatics</w:t>
      </w:r>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w:t>
      </w:r>
      <w:r>
        <w:rPr>
          <w:b/>
          <w:bCs/>
        </w:rPr>
        <w:t>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w:t>
      </w:r>
      <w:r>
        <w:t xml:space="preserve">co normativo peruano (RNIEDS, PIDESALUD) y refuerza que las </w:t>
      </w:r>
      <w:r>
        <w:lastRenderedPageBreak/>
        <w:t>brechas identificadas en esta tesis tienen componente institucional además de técnico.</w:t>
      </w:r>
    </w:p>
    <w:p w14:paraId="60D9616F" w14:textId="77777777" w:rsidR="00720442" w:rsidRDefault="0080011C">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w:t>
      </w:r>
      <w:r>
        <w:t>parativo de hospitales participantes y no participantes en HIOs, mediante vinculación de bases de datos nacionales (</w:t>
      </w:r>
      <w:r>
        <w:rPr>
          <w:i/>
          <w:iCs/>
        </w:rPr>
        <w:t>Health Affairs Scholar</w:t>
      </w:r>
      <w:r>
        <w:t xml:space="preserve">). </w:t>
      </w:r>
      <w:r>
        <w:rPr>
          <w:b/>
          <w:bCs/>
        </w:rPr>
        <w:t>Instrumentos de evaluación:</w:t>
      </w:r>
      <w:r>
        <w:t xml:space="preserve"> Dataset vinculado del AHA IT Supplement 2023 (tasa de respuesta 58 %, N = 2 200 hospitales no federales de cuidados agudos) y HIO Survey 2023 (tasa de respuesta 86 %, N = 77 HIOs en 47 estados). Variables: intercambio clínico electrónico, reporte de salud pública, intercambio de datos HRSN y participación en TEFCA. </w:t>
      </w:r>
      <w:r>
        <w:rPr>
          <w:b/>
          <w:bCs/>
        </w:rPr>
        <w:t xml:space="preserve">Métricas o indicadores de </w:t>
      </w:r>
      <w:r>
        <w:rPr>
          <w:b/>
          <w:bCs/>
        </w:rPr>
        <w:t>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autoreporte hospitalario, lo que puede introducir sesgo. </w:t>
      </w:r>
      <w:r>
        <w:rPr>
          <w:b/>
          <w:bCs/>
        </w:rPr>
        <w:t xml:space="preserve">Crítica o aporte a </w:t>
      </w:r>
      <w:r>
        <w:rPr>
          <w:b/>
          <w:bCs/>
        </w:rPr>
        <w:t>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0E7BBD10" w14:textId="77777777" w:rsidR="00720442" w:rsidRDefault="0080011C">
      <w:r>
        <w:rPr>
          <w:b/>
          <w:bCs/>
        </w:rPr>
        <w:t>RAAB ET AL. (2023)</w:t>
      </w:r>
      <w:r>
        <w:t xml:space="preserve"> </w:t>
      </w:r>
      <w:r>
        <w:rPr>
          <w:b/>
          <w:bCs/>
        </w:rPr>
        <w:t>Aporte:</w:t>
      </w:r>
      <w:r>
        <w:t xml:space="preserve"> Proponen un enfoque federado de espacios de datos de salud personal para el European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w:t>
      </w:r>
      <w:r>
        <w:lastRenderedPageBreak/>
        <w:t xml:space="preserve">almacenando datos en dispositivos personales. </w:t>
      </w:r>
      <w:r>
        <w:rPr>
          <w:b/>
          <w:bCs/>
        </w:rPr>
        <w:t>Metodología:</w:t>
      </w:r>
      <w:r>
        <w:t xml:space="preserve"> Desarrollo co</w:t>
      </w:r>
      <w:r>
        <w:t>nceptual y técnico de arquitectura para espacios de datos de salud federados, con enfoque privacy-by-design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w:t>
      </w:r>
      <w:r>
        <w:t xml:space="preserve">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w:t>
      </w:r>
      <w:r>
        <w:t>iento.</w:t>
      </w:r>
    </w:p>
    <w:p w14:paraId="3C10CB35" w14:textId="77777777" w:rsidR="00720442" w:rsidRDefault="0080011C">
      <w:r>
        <w:rPr>
          <w:b/>
          <w:bCs/>
        </w:rPr>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w:t>
      </w:r>
      <w:r>
        <w:t xml:space="preserve">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w:t>
      </w:r>
      <w:r>
        <w:t xml:space="preserve">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w:t>
      </w:r>
      <w:r>
        <w:lastRenderedPageBreak/>
        <w:t>de calidad, y valida que la integración de vocabularios estandarizados mejora la reutilización del dato clínico.</w:t>
      </w:r>
    </w:p>
    <w:p w14:paraId="6B50732A" w14:textId="77777777" w:rsidR="00720442" w:rsidRDefault="0080011C">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Embase, Web of Scienc</w:t>
      </w:r>
      <w:r>
        <w:t>e, IEEE Xplore y Cochrane Library (</w:t>
      </w:r>
      <w:r>
        <w:rPr>
          <w:i/>
          <w:iCs/>
        </w:rPr>
        <w:t>JMIR Medical Informatics</w:t>
      </w:r>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w:t>
      </w:r>
      <w:r>
        <w:t xml:space="preserve">datos (29 %), reclutamiento (14 %), 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w:t>
      </w:r>
      <w:r>
        <w:t xml:space="preserve">ente directo para evaluar </w:t>
      </w:r>
      <w:r>
        <w:rPr>
          <w:i/>
          <w:iCs/>
        </w:rPr>
        <w:t>codificación</w:t>
      </w:r>
      <w:r>
        <w:t xml:space="preserve"> en los centros MINSA, donde CIE-10 y CPMS son los estándares obligatorios.</w:t>
      </w:r>
    </w:p>
    <w:p w14:paraId="085EF3F8" w14:textId="77777777" w:rsidR="00720442" w:rsidRDefault="0080011C">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review centrada en aplicaciones FH</w:t>
      </w:r>
      <w:r>
        <w:t xml:space="preserve">IR para gestión clínica crónica, con síntesis por dominios de uso. </w:t>
      </w:r>
      <w:r>
        <w:rPr>
          <w:b/>
          <w:bCs/>
        </w:rPr>
        <w:t xml:space="preserve">Instrumentos de </w:t>
      </w:r>
      <w:r>
        <w:rPr>
          <w:b/>
          <w:bCs/>
        </w:rPr>
        <w:lastRenderedPageBreak/>
        <w:t>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w:t>
      </w:r>
      <w:r>
        <w:t xml:space="preserve">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3DC21F2D" w14:textId="77777777" w:rsidR="00720442" w:rsidRDefault="0080011C">
      <w:r>
        <w:rPr>
          <w:b/>
          <w:bCs/>
        </w:rPr>
        <w:t>PEDRERA-JIMÉNEZ ET AL. (2023)</w:t>
      </w:r>
      <w:r>
        <w:t xml:space="preserve"> </w:t>
      </w:r>
      <w:r>
        <w:rPr>
          <w:b/>
          <w:bCs/>
        </w:rPr>
        <w:t>Aporte:</w:t>
      </w:r>
      <w:r>
        <w:t xml:space="preserve"> Proponen enfoque agnóstico de estándares donde openEHR,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selección y coexistencia de estándares en espacios de datos de nueva generación. </w:t>
      </w:r>
      <w:r>
        <w:rPr>
          <w:b/>
          <w:bCs/>
        </w:rPr>
        <w:t>Metodología:</w:t>
      </w:r>
      <w:r>
        <w:t xml:space="preserve"> Análisis técnico-conceptual comparativo de las capacidades y capas funcionales</w:t>
      </w:r>
      <w:r>
        <w:t xml:space="preserve"> de openEHR,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openEHR para modelado y persistencia clínica, FHIR para intercambio y APIs, e ISO 13606 como puente. Cada estándar aporta valor dif</w:t>
      </w:r>
      <w:r>
        <w:t xml:space="preserve">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Gamarra, 2024, con openEHR) y orienta el diseño de la capa piloto como componente de una arquitectura multicapa.</w:t>
      </w:r>
    </w:p>
    <w:p w14:paraId="5B32D005" w14:textId="77777777" w:rsidR="00720442" w:rsidRDefault="0080011C">
      <w:r>
        <w:rPr>
          <w:b/>
          <w:bCs/>
        </w:rPr>
        <w:lastRenderedPageBreak/>
        <w:t>CHATTERJEE ET AL. (2022)</w:t>
      </w:r>
      <w:r>
        <w:t xml:space="preserve"> </w:t>
      </w:r>
      <w:r>
        <w:rPr>
          <w:b/>
          <w:bCs/>
        </w:rPr>
        <w:t>Aporte:</w:t>
      </w:r>
      <w:r>
        <w:t xml:space="preserve"> </w:t>
      </w:r>
      <w:r>
        <w:t xml:space="preserve">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w:t>
      </w:r>
      <w:r>
        <w:t xml:space="preserve">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w:t>
      </w:r>
      <w:r>
        <w:t xml:space="preserve">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datasets clínicos reales de gran volumen. </w:t>
      </w:r>
      <w:r>
        <w:rPr>
          <w:b/>
          <w:bCs/>
        </w:rPr>
        <w:t>Crítica o aporte a la tesis:</w:t>
      </w:r>
      <w:r>
        <w:t xml:space="preserve"> Demuestra que la combinación FHIR + terminologías estándar es condición necesaria para preserv</w:t>
      </w:r>
      <w:r>
        <w:t xml:space="preserve">ar la </w:t>
      </w:r>
      <w:r>
        <w:rPr>
          <w:i/>
          <w:iCs/>
        </w:rPr>
        <w:t>consistencia</w:t>
      </w:r>
      <w:r>
        <w:t xml:space="preserve"> del dato clínico, dimensión central de la evaluación pre/post de esta tesis.</w:t>
      </w:r>
    </w:p>
    <w:p w14:paraId="47634561" w14:textId="77777777" w:rsidR="00720442" w:rsidRDefault="0080011C">
      <w:r>
        <w:rPr>
          <w:b/>
          <w:bCs/>
        </w:rPr>
        <w:t>GAUDET-BLAVIGNAC ET AL. (2021)</w:t>
      </w:r>
      <w:r>
        <w:t xml:space="preserve"> </w:t>
      </w:r>
      <w:r>
        <w:rPr>
          <w:b/>
          <w:bCs/>
        </w:rPr>
        <w:t>Aporte:</w:t>
      </w:r>
      <w:r>
        <w:t xml:space="preserve"> Diseñan una estrategia nacional de tres pilares para habilitar el uso secundario interoperable de datos de salud en la Swiss Personalized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Personalized Health Netwo</w:t>
      </w:r>
      <w:r>
        <w:t xml:space="preserve">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w:t>
      </w:r>
      <w:r>
        <w:t xml:space="preserve">uso secundario; sin estrategia semántica </w:t>
      </w:r>
      <w:r>
        <w:lastRenderedPageBreak/>
        <w:t xml:space="preserve">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w:t>
      </w:r>
      <w:r>
        <w:t>nanza institucional.</w:t>
      </w:r>
    </w:p>
    <w:p w14:paraId="466973DA" w14:textId="77777777" w:rsidR="00720442" w:rsidRDefault="0080011C">
      <w:r>
        <w:rPr>
          <w:b/>
          <w:bCs/>
        </w:rPr>
        <w:t>MUKHIYA ET AL. (2021)</w:t>
      </w:r>
      <w:r>
        <w:t xml:space="preserve"> </w:t>
      </w:r>
      <w:r>
        <w:rPr>
          <w:b/>
          <w:bCs/>
        </w:rPr>
        <w:t>Aporte:</w:t>
      </w:r>
      <w:r>
        <w:t xml:space="preserve"> Combinan FHIR con GraphQL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GraphQL. </w:t>
      </w:r>
      <w:r>
        <w:rPr>
          <w:b/>
          <w:bCs/>
        </w:rPr>
        <w:t>Metodología:</w:t>
      </w:r>
      <w:r>
        <w:t xml:space="preserve"> Desarrollo de aproximación arquitectónica con implementación de capa GraphQL sobre recursos FHIR y validación d</w:t>
      </w:r>
      <w:r>
        <w:t xml:space="preserve">e interoperabilidad funcional. </w:t>
      </w:r>
      <w:r>
        <w:rPr>
          <w:b/>
          <w:bCs/>
        </w:rPr>
        <w:t>Instrumentos de evaluación:</w:t>
      </w:r>
      <w:r>
        <w:t xml:space="preserve"> Pruebas de consulta multi-recurso, compatibilidad de intercambio entre sistemas y 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GraphQL agrega datos de múltiples recursos FHIR reduciendo llamadas al servidor. </w:t>
      </w:r>
      <w:r>
        <w:rPr>
          <w:b/>
          <w:bCs/>
        </w:rPr>
        <w:t>Limit</w:t>
      </w:r>
      <w:r>
        <w:rPr>
          <w:b/>
          <w:bCs/>
        </w:rPr>
        <w:t>aciones:</w:t>
      </w:r>
      <w:r>
        <w:t xml:space="preserve"> Prototipo técnico sin evaluación en entorno clínico de producción; la adopción de GraphQL requiere capacitación adicional. </w:t>
      </w:r>
      <w:r>
        <w:rPr>
          <w:b/>
          <w:bCs/>
        </w:rPr>
        <w:t>Crítica o aporte a la tesis:</w:t>
      </w:r>
      <w:r>
        <w:t xml:space="preserve"> La combinación FHIR + GraphQL es una alternativa para optimizar consultas clínicas complejas, aunque la prioridad de esta tesis es la conformidad con FHIR RESTful API estándar.</w:t>
      </w:r>
    </w:p>
    <w:p w14:paraId="568E5553" w14:textId="77777777" w:rsidR="00720442" w:rsidRDefault="0080011C">
      <w:r>
        <w:rPr>
          <w:b/>
          <w:bCs/>
        </w:rPr>
        <w:t>LIU ET AL. (2023)</w:t>
      </w:r>
      <w:r>
        <w:t xml:space="preserve"> </w:t>
      </w:r>
      <w:r>
        <w:rPr>
          <w:b/>
          <w:bCs/>
        </w:rPr>
        <w:t>Aporte:</w:t>
      </w:r>
      <w:r>
        <w:t xml:space="preserve"> Implementan un sistema EMR intercambiable en formato FHIR con enfoque de rendimiento y visualización dinámica, sustituyendo el gateway del centro de intercambio de registros médicos de Taiwán. </w:t>
      </w:r>
      <w:r>
        <w:rPr>
          <w:b/>
          <w:bCs/>
        </w:rPr>
        <w:t>Problema:</w:t>
      </w:r>
      <w:r>
        <w:t xml:space="preserve"> Costos elevados y latencias significativas en la integración de datos clínicos cuando se depende de gateways tradicionales basados en CDA R2. </w:t>
      </w:r>
      <w:r>
        <w:rPr>
          <w:b/>
          <w:bCs/>
        </w:rPr>
        <w:t>Objetivo:</w:t>
      </w:r>
      <w:r>
        <w:t xml:space="preserve"> Validar que una arquitectura basada en servidor FHIR mejore los tiempos y costos de transformación de datos respecto al sistema CDA R2 existente. </w:t>
      </w:r>
      <w:r>
        <w:rPr>
          <w:b/>
          <w:bCs/>
        </w:rPr>
        <w:t>Me</w:t>
      </w:r>
      <w:r>
        <w:rPr>
          <w:b/>
          <w:bCs/>
        </w:rPr>
        <w:t>todología:</w:t>
      </w:r>
      <w:r>
        <w:t xml:space="preserve"> </w:t>
      </w:r>
      <w:r>
        <w:lastRenderedPageBreak/>
        <w:t>Implementación experimental con pruebas de carga y comparación de arquitectura FHIR vs. CDA R2 en el contexto del Electronic Medical Record Exchange Center de Taiwán (</w:t>
      </w:r>
      <w:r>
        <w:rPr>
          <w:i/>
          <w:iCs/>
        </w:rPr>
        <w:t>Healthcare</w:t>
      </w:r>
      <w:r>
        <w:t xml:space="preserve">, MDPI). </w:t>
      </w:r>
      <w:r>
        <w:rPr>
          <w:b/>
          <w:bCs/>
        </w:rPr>
        <w:t>Instrumentos de evaluación:</w:t>
      </w:r>
      <w:r>
        <w:t xml:space="preserve"> Pruebas de rendimiento con Apache JMeter para evaluar carga y tiempo de respuesta; transmisión segura mediante HTTPS/TLS. Métricas de tiempo y costo de conversión de formato. </w:t>
      </w:r>
      <w:r>
        <w:rPr>
          <w:b/>
          <w:bCs/>
        </w:rPr>
        <w:t>Métricas o indicadores de desempeño:</w:t>
      </w:r>
      <w:r>
        <w:t xml:space="preserve"> Tiempo de respuesta, throughput (transacciones/segundo), tiempo de conversi</w:t>
      </w:r>
      <w:r>
        <w:t xml:space="preserve">ón de formato y costo operativo de integración. </w:t>
      </w:r>
      <w:r>
        <w:rPr>
          <w:b/>
          <w:bCs/>
        </w:rPr>
        <w:t>Resultados:</w:t>
      </w:r>
      <w:r>
        <w:t xml:space="preserve"> Reducción significativa en tiempos y costos de transformación de datos clínicos al reemplazar el gateway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JMeter proveen una metodología de evaluación de rendim</w:t>
      </w:r>
      <w:r>
        <w:t>iento replicable para la capa FHIR piloto de esta tesis. La demostración de reducción de costos respalda la viabilidad económica de adoptar FHIR en centros MINSA.</w:t>
      </w:r>
    </w:p>
    <w:p w14:paraId="2D6C36E8" w14:textId="77777777" w:rsidR="00720442" w:rsidRDefault="0080011C">
      <w:r>
        <w:rPr>
          <w:b/>
          <w:bCs/>
        </w:rPr>
        <w:t>ANAND Y SADHNA (2023)</w:t>
      </w:r>
      <w:r>
        <w:t xml:space="preserve"> </w:t>
      </w:r>
      <w:r>
        <w:rPr>
          <w:b/>
          <w:bCs/>
        </w:rPr>
        <w:t>Aporte:</w:t>
      </w:r>
      <w:r>
        <w:t xml:space="preserve"> Analizan bibliométricamente la convergencia entre FHIR y blockchain en interoperabilidad EHR, identificando tendencias y líneas emergentes de investigación. </w:t>
      </w:r>
      <w:r>
        <w:rPr>
          <w:b/>
          <w:bCs/>
        </w:rPr>
        <w:t>Problema:</w:t>
      </w:r>
      <w:r>
        <w:t xml:space="preserve"> Dispersión de evidencia sobre la madurez y evolución de los enfoques combinados blockchain + FHIR para intercambio clínico seguro. </w:t>
      </w:r>
      <w:r>
        <w:rPr>
          <w:b/>
          <w:bCs/>
        </w:rPr>
        <w:t>Objetivo:</w:t>
      </w:r>
      <w:r>
        <w:t xml:space="preserve"> Identificar tendencias, vacíos y líneas emergentes de investigación en interoperabilidad segura basada en FHIR y blockchain. </w:t>
      </w:r>
      <w:r>
        <w:rPr>
          <w:b/>
          <w:bCs/>
        </w:rPr>
        <w:t>Metodología:</w:t>
      </w:r>
      <w:r>
        <w:t xml:space="preserve"> Estudio bibliométrico con análisis temático de publicacio</w:t>
      </w:r>
      <w:r>
        <w:t>nes 2013-2022 en la base Scopus, utilizando el software Bibliometrix de R-Studio (</w:t>
      </w:r>
      <w:r>
        <w:rPr>
          <w:i/>
          <w:iCs/>
        </w:rPr>
        <w:t>Perspectives in Clinical Research</w:t>
      </w:r>
      <w:r>
        <w:t xml:space="preserve">). </w:t>
      </w:r>
      <w:r>
        <w:rPr>
          <w:b/>
          <w:bCs/>
        </w:rPr>
        <w:t>Instrumentos de evaluación:</w:t>
      </w:r>
      <w:r>
        <w:t xml:space="preserve"> Dos cadenas de búsqueda: String A (EHR + FHIR, 302 documentos) y String B (EHR + Blockchain,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blockchain) y evoluci</w:t>
      </w:r>
      <w:r>
        <w:t xml:space="preserve">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Blockchain con </w:t>
      </w:r>
      <w:r>
        <w:lastRenderedPageBreak/>
        <w:t xml:space="preserve">EHR muestra mayor producción y citación que FHIR con EHR. </w:t>
      </w:r>
      <w:r>
        <w:rPr>
          <w:b/>
          <w:bCs/>
        </w:rPr>
        <w:t>Limitaciones:</w:t>
      </w:r>
      <w:r>
        <w:t xml:space="preserve"> Análisis limitado a Scopus; la exclusión de PubMed e IEEE puede subestimar publicaciones en informática biomédica. </w:t>
      </w:r>
      <w:r>
        <w:rPr>
          <w:b/>
          <w:bCs/>
        </w:rPr>
        <w:t>Crítica o aporte a la tesis:</w:t>
      </w:r>
      <w:r>
        <w:t xml:space="preserve"> </w:t>
      </w:r>
      <w:r>
        <w:t xml:space="preserve">El hallazgo de que la interoperabilidad de datos es un dominio relativamente nuevo (desde 2020) refuerza la oportunidad de investigación que aborda esta tesis. La convergencia FHIR-blockchain es relevante para las propuestas de </w:t>
      </w:r>
      <w:r>
        <w:rPr>
          <w:i/>
          <w:iCs/>
        </w:rPr>
        <w:t>trazabilidad</w:t>
      </w:r>
      <w:r>
        <w:t xml:space="preserve"> por blockchain en los antecedentes nacionales de Mauricio et al. (2024) y Bran et al. (2024).</w:t>
      </w:r>
    </w:p>
    <w:p w14:paraId="2B832F62" w14:textId="77777777" w:rsidR="00720442" w:rsidRDefault="0080011C">
      <w:r>
        <w:rPr>
          <w:b/>
          <w:bCs/>
        </w:rPr>
        <w:t>SURISETTY (2026)</w:t>
      </w:r>
      <w:r>
        <w:t xml:space="preserve"> </w:t>
      </w:r>
      <w:r>
        <w:rPr>
          <w:b/>
          <w:bCs/>
        </w:rPr>
        <w:t>Aporte:</w:t>
      </w:r>
      <w:r>
        <w:t xml:space="preserve"> Propone un blueprint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w:t>
      </w:r>
      <w:r>
        <w:t>itectura de referencia y flujo de integración integral, cubriendo ingestión, transformación, normalización semántica, seguridad y consentimiento (</w:t>
      </w:r>
      <w:r>
        <w:rPr>
          <w:i/>
          <w:iCs/>
        </w:rPr>
        <w:t>International Journal of Multidisciplinary Science and Engineering in Health Research</w:t>
      </w:r>
      <w:r>
        <w:t xml:space="preserve">). </w:t>
      </w:r>
      <w:r>
        <w:rPr>
          <w:b/>
          <w:bCs/>
        </w:rPr>
        <w:t>Instrumentos de evaluación:</w:t>
      </w:r>
      <w:r>
        <w:t xml:space="preserve"> Definición de flujo técnico, componentes de arquitectura de referencia y hitos operativos de despliegue. Cobertura de los cuatro niveles: fundacional, estructural, semántico y organizacional. </w:t>
      </w:r>
      <w:r>
        <w:rPr>
          <w:b/>
          <w:bCs/>
        </w:rPr>
        <w:t>Métricas o indicadores de desempeño:</w:t>
      </w:r>
      <w:r>
        <w:t xml:space="preserve"> Cobertura de los cuat</w:t>
      </w:r>
      <w:r>
        <w:t xml:space="preserve">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w:t>
      </w:r>
      <w:r>
        <w:t>referente directo para la estrategia trifásica (diagnóstico, implementación piloto, evaluación) de esta tesis. La cobertura de los cuatro niveles de interoperabilidad alinea los requisitos técnicos con el marco conceptual del estudio.</w:t>
      </w:r>
    </w:p>
    <w:p w14:paraId="62BD98EB" w14:textId="77777777" w:rsidR="00720442" w:rsidRDefault="0080011C">
      <w:r>
        <w:rPr>
          <w:b/>
          <w:bCs/>
        </w:rPr>
        <w:t>FERNANDEZ ET AL. (2025)</w:t>
      </w:r>
      <w:r>
        <w:t xml:space="preserve"> </w:t>
      </w:r>
      <w:r>
        <w:rPr>
          <w:b/>
          <w:bCs/>
        </w:rPr>
        <w:t>Aporte:</w:t>
      </w:r>
      <w:r>
        <w:t xml:space="preserve"> Aportan evidencia aplicada de interoperabilidad en un sistema de salud universal, con la red pública brasileña </w:t>
      </w:r>
      <w:r>
        <w:lastRenderedPageBreak/>
        <w:t xml:space="preserve">como referente para América Latina. </w:t>
      </w:r>
      <w:r>
        <w:rPr>
          <w:b/>
          <w:bCs/>
        </w:rPr>
        <w:t>Problema:</w:t>
      </w:r>
      <w:r>
        <w:t xml:space="preserve"> Fragmentación inter-nivel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w:t>
      </w:r>
      <w:r>
        <w:t xml:space="preserve">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w:t>
      </w:r>
      <w:r>
        <w:t xml:space="preserve">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integral de esta tesis, que combina componente técnico (FHIR) con evaluación de brechas institucionales y lineamientos de escalabilidad.</w:t>
      </w:r>
    </w:p>
    <w:p w14:paraId="1EA052CE" w14:textId="77777777" w:rsidR="00720442" w:rsidRDefault="0080011C">
      <w:pPr>
        <w:pStyle w:val="Ttulo3"/>
      </w:pPr>
      <w:bookmarkStart w:id="62" w:name="nacionales"/>
      <w:bookmarkStart w:id="63" w:name="_Toc225939018"/>
      <w:bookmarkEnd w:id="59"/>
      <w:r>
        <w:t>2.1.2. Nacionales</w:t>
      </w:r>
      <w:bookmarkEnd w:id="63"/>
    </w:p>
    <w:p w14:paraId="07955DBD" w14:textId="77777777" w:rsidR="00720442" w:rsidRDefault="0080011C">
      <w:r>
        <w:rPr>
          <w:b/>
          <w:bCs/>
        </w:rPr>
        <w:t>MAURICIO ET AL. (2024)</w:t>
      </w:r>
      <w:r>
        <w:t xml:space="preserve"> </w:t>
      </w:r>
      <w:r>
        <w:rPr>
          <w:b/>
          <w:bCs/>
        </w:rPr>
        <w:t>Aporte:</w:t>
      </w:r>
      <w:r>
        <w:t xml:space="preserve"> Proponen un sistema peruano de interoperabilidad de EHR basado en HL7 FHIR y blockchain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w:t>
      </w:r>
      <w:r>
        <w:t xml:space="preserve">e los datos mediante blockchain. </w:t>
      </w:r>
      <w:r>
        <w:rPr>
          <w:b/>
          <w:bCs/>
        </w:rPr>
        <w:t>Metodología:</w:t>
      </w:r>
      <w:r>
        <w:t xml:space="preserve"> Diseño de arquitectura de interoperabilidad con homologación a recursos FHIR, blockchain (Ethereum) y simulación de caso entre establecimientos (</w:t>
      </w:r>
      <w:r>
        <w:rPr>
          <w:i/>
          <w:iCs/>
        </w:rPr>
        <w:t>International Journal of Online and Biomedical Engineering</w:t>
      </w:r>
      <w:r>
        <w:t xml:space="preserve">). </w:t>
      </w:r>
      <w:r>
        <w:rPr>
          <w:b/>
          <w:bCs/>
        </w:rPr>
        <w:t>Instrumentos de evaluación:</w:t>
      </w:r>
      <w:r>
        <w:t xml:space="preserve"> Encuesta de adopción a n = 30 pacientes y encuesta de usabilidad a n = 10 médicos de un hospital público peruano. Variables evaluadas: percepción de adopción, usabilidad </w:t>
      </w:r>
      <w:r>
        <w:lastRenderedPageBreak/>
        <w:t>del sistema web y satisfacción con la interoperabilidad lograd</w:t>
      </w:r>
      <w:r>
        <w:t xml:space="preserve">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w:t>
      </w:r>
      <w:r>
        <w:t xml:space="preserve">ntitativas de integridad de datos ni cobertura de campos clínicos. </w:t>
      </w:r>
      <w:r>
        <w:rPr>
          <w:b/>
          <w:bCs/>
        </w:rPr>
        <w:t>Crítica o aporte a la tesis:</w:t>
      </w:r>
      <w:r>
        <w:t xml:space="preserve"> El estudio aporta evidencia sobre </w:t>
      </w:r>
      <w:r>
        <w:rPr>
          <w:i/>
          <w:iCs/>
        </w:rPr>
        <w:t>trazabilidad</w:t>
      </w:r>
      <w:r>
        <w:t xml:space="preserve"> (blockchain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0839D848" w14:textId="77777777" w:rsidR="00720442" w:rsidRDefault="0080011C">
      <w:r>
        <w:rPr>
          <w:b/>
          <w:bCs/>
        </w:rPr>
        <w:t>PORRAS GAMARRA (2024)</w:t>
      </w:r>
      <w:r>
        <w:t xml:space="preserve"> </w:t>
      </w:r>
      <w:r>
        <w:rPr>
          <w:b/>
          <w:bCs/>
        </w:rPr>
        <w:t>Aporte:</w:t>
      </w:r>
      <w:r>
        <w:t xml:space="preserve"> Documenta implementación real de interoperabilidad HL7 FHIR + openEHR en el proyecto M-Connecta (Cataluña), 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w:t>
      </w:r>
      <w:r>
        <w:t xml:space="preserve">7 FHIR y openEHR. </w:t>
      </w:r>
      <w:r>
        <w:rPr>
          <w:b/>
          <w:bCs/>
        </w:rPr>
        <w:t>Metodología:</w:t>
      </w:r>
      <w:r>
        <w:t xml:space="preserve"> Trabajo de suficiencia profesional con análisis de implementación del proyecto M-Connecta, incluyendo despliegue de mensajería FHIR y persistencia con arquetipos openEHR (UNFV, Lima). </w:t>
      </w:r>
      <w:r>
        <w:rPr>
          <w:b/>
          <w:bCs/>
        </w:rPr>
        <w:t>Instrumentos de evaluación:</w:t>
      </w:r>
      <w:r>
        <w:t xml:space="preserve"> Verificación funcional de mensajería FHIR entre sistemas, pruebas de persistencia con arquetipos openEHR y validación de la integridad del intercambio clínico. Experiencia práctica del autor en empresas como IN2 Ingeniería y Accenture España. </w:t>
      </w:r>
      <w:r>
        <w:rPr>
          <w:b/>
          <w:bCs/>
        </w:rPr>
        <w:t xml:space="preserve">Métricas o indicadores de </w:t>
      </w:r>
      <w:r>
        <w:rPr>
          <w:b/>
          <w:bCs/>
        </w:rPr>
        <w:t>desempeño:</w:t>
      </w:r>
      <w:r>
        <w:t xml:space="preserve"> </w:t>
      </w:r>
      <w:r>
        <w:t xml:space="preserve">Factibilidad de intercambio clínico mediante FHIR y grado de persistencia semántica con arquetipos openEHR. </w:t>
      </w:r>
      <w:r>
        <w:rPr>
          <w:b/>
          <w:bCs/>
        </w:rPr>
        <w:t>Resultados:</w:t>
      </w:r>
      <w:r>
        <w:t xml:space="preserve"> Evidencia viabilidad técnica de combinar FHIR (intercambio) con openEHR (persistencia semántica) y recomienda la adopción de FHIR en las HCE peruanas como paso fundamental hacia la interoperabilidad. </w:t>
      </w:r>
      <w:r>
        <w:rPr>
          <w:b/>
          <w:bCs/>
        </w:rPr>
        <w:t>Limitaciones:</w:t>
      </w:r>
      <w:r>
        <w:t xml:space="preserve"> Implementación documentada en contexto europeo (Cataluña); la </w:t>
      </w:r>
      <w:r>
        <w:lastRenderedPageBreak/>
        <w:t>transferencia directa al ecosistema peruano requiere adaptación a la infraestructura local y al marco normativo MINS</w:t>
      </w:r>
      <w:r>
        <w:t xml:space="preserve">A. </w:t>
      </w:r>
      <w:r>
        <w:rPr>
          <w:b/>
          <w:bCs/>
        </w:rPr>
        <w:t>Crítica o aporte a la tesis:</w:t>
      </w:r>
      <w:r>
        <w:t xml:space="preserve"> Aborda directamente </w:t>
      </w:r>
      <w:r>
        <w:rPr>
          <w:i/>
          <w:iCs/>
        </w:rPr>
        <w:t>completitud</w:t>
      </w:r>
      <w:r>
        <w:t xml:space="preserve"> (arquetipos openEHR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2E2AF39C" w14:textId="77777777" w:rsidR="00720442" w:rsidRDefault="0080011C">
      <w:r>
        <w:rPr>
          <w:b/>
          <w:bCs/>
        </w:rPr>
        <w:t>ARRUÉ PAJARES Y VARGAS RIOJA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w:t>
      </w:r>
      <w:r>
        <w:t xml:space="preserve">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w:t>
      </w:r>
      <w:r>
        <w:t xml:space="preserve">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w:t>
      </w:r>
      <w:r>
        <w:t xml:space="preserve">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40D07D04" w14:textId="77777777" w:rsidR="00720442" w:rsidRDefault="0080011C">
      <w:r>
        <w:rPr>
          <w:b/>
          <w:bCs/>
        </w:rPr>
        <w:t>BAYONA CASTAÑEDA (2019)</w:t>
      </w:r>
      <w:r>
        <w:t xml:space="preserve"> </w:t>
      </w:r>
      <w:r>
        <w:rPr>
          <w:b/>
          <w:bCs/>
        </w:rPr>
        <w:t>Aporte:</w:t>
      </w:r>
      <w:r>
        <w:t xml:space="preserve"> Presenta un diagnóstico estructural de la historia clínica electrónica en el sistema de salud peruano, analizando la evolución </w:t>
      </w:r>
      <w:r>
        <w:lastRenderedPageBreak/>
        <w:t xml:space="preserve">normativa y las barreras de implementación del RENHICE. </w:t>
      </w:r>
      <w:r>
        <w:rPr>
          <w:b/>
          <w:bCs/>
        </w:rPr>
        <w:t>Problema:</w:t>
      </w:r>
      <w:r>
        <w:t xml:space="preserve"> Fragmentación entre 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w:t>
      </w:r>
      <w:r>
        <w:rPr>
          <w:b/>
          <w:bCs/>
        </w:rPr>
        <w: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N°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w:t>
      </w:r>
      <w:r>
        <w:t xml:space="preserve">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al periodo 2018-2019, previo a las normativas RNIEDS y PIDESALUD. </w:t>
      </w:r>
      <w:r>
        <w:rPr>
          <w:b/>
          <w:bCs/>
        </w:rPr>
        <w:t>Crítica o apo</w:t>
      </w:r>
      <w:r>
        <w:rPr>
          <w:b/>
          <w:bCs/>
        </w:rPr>
        <w:t>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1958D806" w14:textId="77777777" w:rsidR="00720442" w:rsidRDefault="0080011C">
      <w:r>
        <w:rPr>
          <w:b/>
          <w:bCs/>
        </w:rPr>
        <w:t>ESPARZA MORGAN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w:t>
      </w:r>
      <w:r>
        <w:rPr>
          <w:b/>
          <w:bCs/>
        </w:rPr>
        <w:t>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w:t>
      </w:r>
      <w:r>
        <w:lastRenderedPageBreak/>
        <w:t xml:space="preserve">calidad de gestión. </w:t>
      </w:r>
      <w:r>
        <w:rPr>
          <w:b/>
          <w:bCs/>
        </w:rPr>
        <w:t>Resultados:</w:t>
      </w:r>
      <w:r>
        <w:t xml:space="preserve"> Reporta correlaciones positivas estadísticamente significativas; mayor madurez de uso de HCE se asocia con mejor desempeño en planificación, organización y garantía de calidad. </w:t>
      </w:r>
      <w:r>
        <w:rPr>
          <w:b/>
          <w:bCs/>
        </w:rPr>
        <w:t>Limitaciones:</w:t>
      </w:r>
      <w:r>
        <w:t xml:space="preserve"> Estudio en un solo hospital de EsS</w:t>
      </w:r>
      <w:r>
        <w:t xml:space="preserve">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0064224B" w14:textId="77777777" w:rsidR="00720442" w:rsidRDefault="0080011C">
      <w:r>
        <w:rPr>
          <w:b/>
          <w:bCs/>
        </w:rPr>
        <w:t>ARIAS GERONIMO (2025)</w:t>
      </w:r>
      <w:r>
        <w:t xml:space="preserve"> </w:t>
      </w:r>
      <w:r>
        <w:rPr>
          <w:b/>
          <w:bCs/>
        </w:rPr>
        <w:t>Aporte:</w:t>
      </w:r>
      <w:r>
        <w:t xml:space="preserve"> Evidencia el vínculo entre confiabilidad de la HCE y calidad de los servicios preventivos en una microred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microred del primer nivel de atención. </w:t>
      </w:r>
      <w:r>
        <w:rPr>
          <w:b/>
          <w:bCs/>
        </w:rPr>
        <w:t>Metodología:</w:t>
      </w:r>
      <w:r>
        <w:t xml:space="preserve"> Estudio correlacional aplicado en</w:t>
      </w:r>
      <w:r>
        <w:t xml:space="preserve"> una red pública de primer nivel de atención en Perú. </w:t>
      </w:r>
      <w:r>
        <w:rPr>
          <w:b/>
          <w:bCs/>
        </w:rPr>
        <w:t>Instrumentos de evaluación:</w:t>
      </w:r>
      <w:r>
        <w:t xml:space="preserve"> </w:t>
      </w:r>
      <w:r>
        <w:t xml:space="preserve">Medición de confiabilidad 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w:t>
      </w:r>
      <w:r>
        <w:t xml:space="preserve">io en una sola microred;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1C844EFF" w14:textId="77777777" w:rsidR="00720442" w:rsidRDefault="0080011C">
      <w:r>
        <w:rPr>
          <w:b/>
          <w:bCs/>
        </w:rPr>
        <w:t>SÁNCHEZ CALLE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w:t>
      </w:r>
      <w:r>
        <w:lastRenderedPageBreak/>
        <w:t xml:space="preserve">intercambio de información clínica ocupacional en el contexto peruano. </w:t>
      </w:r>
      <w:r>
        <w:rPr>
          <w:b/>
          <w:bCs/>
        </w:rPr>
        <w:t>Objetivo:</w:t>
      </w:r>
      <w:r>
        <w:t xml:space="preserve"> Definir especificaciones formales para la interoperabilidad y sostenibilidad de una HCE ocupacional. </w:t>
      </w:r>
      <w:r>
        <w:rPr>
          <w:b/>
          <w:bCs/>
        </w:rPr>
        <w:t>Metodología:</w:t>
      </w:r>
      <w:r>
        <w:t xml:space="preserve"> Desarrollo de propuesta arquitectónica basada en normas internacionales ISO 18308 (requisitos para arquitectu</w:t>
      </w:r>
      <w:r>
        <w:t xml:space="preserve">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rPr>
          <w:b/>
          <w:bCs/>
        </w:rPr>
        <w:t>:</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1AD74583" w14:textId="77777777" w:rsidR="00720442" w:rsidRDefault="0080011C">
      <w:r>
        <w:rPr>
          <w:b/>
          <w:bCs/>
        </w:rPr>
        <w:t>FERNÁNDEZ INFANZÓN Y HUARAC CUIZANO (2021)</w:t>
      </w:r>
      <w:r>
        <w:t xml:space="preserve"> </w:t>
      </w:r>
      <w:r>
        <w:rPr>
          <w:b/>
          <w:bCs/>
        </w:rPr>
        <w:t>Aporte:</w:t>
      </w:r>
      <w:r>
        <w:t xml:space="preserve"> Proponen un plan de negocio para integrar IPRESS a una plataforma interoperable de HCE usando blockchain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blockchain y verificación biométrica. </w:t>
      </w:r>
      <w:r>
        <w:rPr>
          <w:b/>
          <w:bCs/>
        </w:rPr>
        <w:t>Metodología:</w:t>
      </w:r>
      <w:r>
        <w:t xml:space="preserve"> Diseño de plan de negocio con enfo</w:t>
      </w:r>
      <w:r>
        <w:t xml:space="preserve">que tecnológico y estrategia de adopción multiactor, incluyendo análisis de stakeholders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stakeholders y factibilidad del modelo operativo propuesto. </w:t>
      </w:r>
      <w:r>
        <w:rPr>
          <w:b/>
          <w:bCs/>
        </w:rPr>
        <w:t>Resultados:</w:t>
      </w:r>
      <w:r>
        <w:t xml:space="preserve"> Definen esquema de implementación gradual para interoperabilidad institucional</w:t>
      </w:r>
      <w:r>
        <w:t xml:space="preserve"> en IPRESS, combinando identificación biométrica única con registro blockchain de transacciones. </w:t>
      </w:r>
      <w:r>
        <w:rPr>
          <w:b/>
          <w:bCs/>
        </w:rPr>
        <w:t>Limitaciones:</w:t>
      </w:r>
      <w:r>
        <w:t xml:space="preserve"> Permanece en nivel de plan de negocio sin implementación técnica ni validación operativa en establecimientos reales. </w:t>
      </w:r>
      <w:r>
        <w:rPr>
          <w:b/>
          <w:bCs/>
        </w:rPr>
        <w:t xml:space="preserve">Crítica </w:t>
      </w:r>
      <w:r>
        <w:rPr>
          <w:b/>
          <w:bCs/>
        </w:rPr>
        <w:lastRenderedPageBreak/>
        <w:t>o aporte a la tesis:</w:t>
      </w:r>
      <w:r>
        <w:t xml:space="preserve"> Apunta a reducir </w:t>
      </w:r>
      <w:r>
        <w:rPr>
          <w:i/>
          <w:iCs/>
        </w:rPr>
        <w:t>duplicidad</w:t>
      </w:r>
      <w:r>
        <w:t xml:space="preserve"> (identificación única del paciente con biometría) y a mejorar </w:t>
      </w:r>
      <w:r>
        <w:rPr>
          <w:i/>
          <w:iCs/>
        </w:rPr>
        <w:t>trazabilidad</w:t>
      </w:r>
      <w:r>
        <w:t xml:space="preserve"> (blockchain como registro inmutable), aunque sin validación operativa, dimensiones que esta tesis sí evaluará empíricamente.</w:t>
      </w:r>
    </w:p>
    <w:p w14:paraId="4F926F48" w14:textId="77777777" w:rsidR="00720442" w:rsidRDefault="0080011C">
      <w:r>
        <w:rPr>
          <w:b/>
          <w:bCs/>
        </w:rPr>
        <w:t>BRAN ET AL. (2024)</w:t>
      </w:r>
      <w:r>
        <w:t xml:space="preserve"> </w:t>
      </w:r>
      <w:r>
        <w:rPr>
          <w:b/>
          <w:bCs/>
        </w:rPr>
        <w:t>Aporte:</w:t>
      </w:r>
      <w:r>
        <w:t xml:space="preserve"> Integran blockchain,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blockchain e IP</w:t>
      </w:r>
      <w:r>
        <w:t xml:space="preserve">FS (InterPlanetary File System)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Evidencian mejora en auditabilidad e integridad al combinar HL7 con blockchain/IPFS; cada tra</w:t>
      </w:r>
      <w:r>
        <w:t xml:space="preserve">nsacción clínica queda registrada de forma inmutable en la cadena de bloques. </w:t>
      </w:r>
      <w:r>
        <w:rPr>
          <w:b/>
          <w:bCs/>
        </w:rPr>
        <w:t>Limitaciones:</w:t>
      </w:r>
      <w:r>
        <w:t xml:space="preserve"> Evaluación funcional sin despliegue en entorno hospitalario real; la escalabilidad de blockchain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3FC3FBF1" w14:textId="77777777" w:rsidR="00720442" w:rsidRDefault="0080011C">
      <w:r>
        <w:rPr>
          <w:b/>
          <w:bCs/>
        </w:rPr>
        <w:t>MORALES-CAMARGO Y MENESES-CLAUDIO (2023)</w:t>
      </w:r>
      <w:r>
        <w:t xml:space="preserve"> </w:t>
      </w:r>
      <w:r>
        <w:rPr>
          <w:b/>
          <w:bCs/>
        </w:rPr>
        <w:t>Aporte:</w:t>
      </w:r>
      <w:r>
        <w:t xml:space="preserve"> </w:t>
      </w:r>
      <w:r>
        <w:t xml:space="preserve">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w:t>
      </w:r>
      <w:r>
        <w:t xml:space="preserve">tructurada en bases de datos y análisis </w:t>
      </w:r>
      <w:r>
        <w:lastRenderedPageBreak/>
        <w:t xml:space="preserve">comparativo de resultados reportados sobre impacto de EMR en atención clínica. </w:t>
      </w:r>
      <w:r>
        <w:rPr>
          <w:b/>
          <w:bCs/>
        </w:rPr>
        <w:t>Métricas o indicadores de desempeño:</w:t>
      </w:r>
      <w:r>
        <w:t xml:space="preserve"> Beneficios reportados (acceso a 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w:t>
      </w:r>
      <w:r>
        <w:t xml:space="preserve">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w:t>
      </w:r>
      <w:r>
        <w:t>mente.</w:t>
      </w:r>
    </w:p>
    <w:p w14:paraId="5CA51DC6" w14:textId="77777777" w:rsidR="00720442" w:rsidRDefault="0080011C">
      <w:r>
        <w:t>La Tabla 4 presenta una síntesis comparativa de los antecedentes internacionales revisados, organizados por autor, tipo de estudio, estándar principal utilizado, principales métricas y el aporte específico a la presente investigación.</w:t>
      </w:r>
    </w:p>
    <w:p w14:paraId="45740ADF" w14:textId="18F55C15" w:rsidR="00720442" w:rsidRDefault="0080011C">
      <w:bookmarkStart w:id="64" w:name="tbl:sintesis-internacionales"/>
      <w:bookmarkStart w:id="65" w:name="_Toc225939030"/>
      <w:r>
        <w:t xml:space="preserve">Tabla </w:t>
      </w:r>
      <w:r>
        <w:fldChar w:fldCharType="begin"/>
      </w:r>
      <w:r>
        <w:instrText xml:space="preserve"> SEQ Table \* ARABIC </w:instrText>
      </w:r>
      <w:r>
        <w:fldChar w:fldCharType="separate"/>
      </w:r>
      <w:r w:rsidR="005314D4">
        <w:rPr>
          <w:noProof/>
        </w:rPr>
        <w:t>4</w:t>
      </w:r>
      <w:r>
        <w:fldChar w:fldCharType="end"/>
      </w:r>
      <w:r>
        <w:t>. Síntesis comparativa de antecedentes internacionales</w:t>
      </w:r>
      <w:bookmarkEnd w:id="6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internacionales"/>
      </w:tblPr>
      <w:tblGrid>
        <w:gridCol w:w="1533"/>
        <w:gridCol w:w="1647"/>
        <w:gridCol w:w="1533"/>
        <w:gridCol w:w="2442"/>
        <w:gridCol w:w="1590"/>
      </w:tblGrid>
      <w:tr w:rsidR="00720442" w14:paraId="684A8173" w14:textId="77777777">
        <w:trPr>
          <w:tblHeader/>
        </w:trPr>
        <w:tc>
          <w:tcPr>
            <w:tcW w:w="1388" w:type="dxa"/>
          </w:tcPr>
          <w:p w14:paraId="0FD1F3F7" w14:textId="77777777" w:rsidR="00720442" w:rsidRDefault="0080011C">
            <w:pPr>
              <w:jc w:val="left"/>
            </w:pPr>
            <w:r>
              <w:t>Autor(es) y año</w:t>
            </w:r>
          </w:p>
        </w:tc>
        <w:tc>
          <w:tcPr>
            <w:tcW w:w="1491" w:type="dxa"/>
          </w:tcPr>
          <w:p w14:paraId="0489143D" w14:textId="77777777" w:rsidR="00720442" w:rsidRDefault="0080011C">
            <w:pPr>
              <w:jc w:val="left"/>
            </w:pPr>
            <w:r>
              <w:t>Tipo de estudio</w:t>
            </w:r>
          </w:p>
        </w:tc>
        <w:tc>
          <w:tcPr>
            <w:tcW w:w="1388" w:type="dxa"/>
          </w:tcPr>
          <w:p w14:paraId="19DA22E8" w14:textId="77777777" w:rsidR="00720442" w:rsidRDefault="0080011C">
            <w:pPr>
              <w:jc w:val="left"/>
            </w:pPr>
            <w:r>
              <w:t>Estándar / Tecnología</w:t>
            </w:r>
          </w:p>
        </w:tc>
        <w:tc>
          <w:tcPr>
            <w:tcW w:w="2211" w:type="dxa"/>
          </w:tcPr>
          <w:p w14:paraId="6079E157" w14:textId="77777777" w:rsidR="00720442" w:rsidRDefault="0080011C">
            <w:pPr>
              <w:jc w:val="left"/>
            </w:pPr>
            <w:r>
              <w:t>Métricas o resultados principales</w:t>
            </w:r>
          </w:p>
        </w:tc>
        <w:tc>
          <w:tcPr>
            <w:tcW w:w="1440" w:type="dxa"/>
          </w:tcPr>
          <w:p w14:paraId="3EC6B640" w14:textId="77777777" w:rsidR="00720442" w:rsidRDefault="0080011C">
            <w:pPr>
              <w:jc w:val="left"/>
            </w:pPr>
            <w:r>
              <w:t>Aporte a esta tesis</w:t>
            </w:r>
          </w:p>
        </w:tc>
      </w:tr>
      <w:tr w:rsidR="00720442" w14:paraId="19901562" w14:textId="77777777">
        <w:tc>
          <w:tcPr>
            <w:tcW w:w="1388" w:type="dxa"/>
          </w:tcPr>
          <w:p w14:paraId="0D550E91" w14:textId="77777777" w:rsidR="00720442" w:rsidRDefault="0080011C">
            <w:pPr>
              <w:jc w:val="left"/>
            </w:pPr>
            <w:r>
              <w:t>Adelusi et al. (2025)</w:t>
            </w:r>
          </w:p>
        </w:tc>
        <w:tc>
          <w:tcPr>
            <w:tcW w:w="1491" w:type="dxa"/>
          </w:tcPr>
          <w:p w14:paraId="131C98D6" w14:textId="77777777" w:rsidR="00720442" w:rsidRDefault="0080011C">
            <w:pPr>
              <w:jc w:val="left"/>
            </w:pPr>
            <w:r>
              <w:t>Framework federado (simulación)</w:t>
            </w:r>
          </w:p>
        </w:tc>
        <w:tc>
          <w:tcPr>
            <w:tcW w:w="1388" w:type="dxa"/>
          </w:tcPr>
          <w:p w14:paraId="4B1FFA25" w14:textId="77777777" w:rsidR="00720442" w:rsidRDefault="0080011C">
            <w:pPr>
              <w:jc w:val="left"/>
            </w:pPr>
            <w:r>
              <w:t>HL7 FHIR</w:t>
            </w:r>
          </w:p>
        </w:tc>
        <w:tc>
          <w:tcPr>
            <w:tcW w:w="2211" w:type="dxa"/>
          </w:tcPr>
          <w:p w14:paraId="24CC4452" w14:textId="77777777" w:rsidR="00720442" w:rsidRDefault="0080011C">
            <w:pPr>
              <w:jc w:val="left"/>
            </w:pPr>
            <w:r>
              <w:t>&gt;95 % precisión; −38 % latencia</w:t>
            </w:r>
          </w:p>
        </w:tc>
        <w:tc>
          <w:tcPr>
            <w:tcW w:w="1440" w:type="dxa"/>
          </w:tcPr>
          <w:p w14:paraId="4B65C053" w14:textId="77777777" w:rsidR="00720442" w:rsidRDefault="0080011C">
            <w:pPr>
              <w:jc w:val="left"/>
            </w:pPr>
            <w:r>
              <w:t>Referente de métricas para evaluación pre/post</w:t>
            </w:r>
          </w:p>
        </w:tc>
      </w:tr>
      <w:tr w:rsidR="00720442" w14:paraId="604D5979" w14:textId="77777777">
        <w:tc>
          <w:tcPr>
            <w:tcW w:w="1388" w:type="dxa"/>
          </w:tcPr>
          <w:p w14:paraId="4791134A" w14:textId="77777777" w:rsidR="00720442" w:rsidRDefault="0080011C">
            <w:pPr>
              <w:jc w:val="left"/>
            </w:pPr>
            <w:r>
              <w:t>Heryawan et al. (2025)</w:t>
            </w:r>
          </w:p>
        </w:tc>
        <w:tc>
          <w:tcPr>
            <w:tcW w:w="1491" w:type="dxa"/>
          </w:tcPr>
          <w:p w14:paraId="239DCAB0" w14:textId="77777777" w:rsidR="00720442" w:rsidRDefault="0080011C">
            <w:pPr>
              <w:jc w:val="left"/>
            </w:pPr>
            <w:r>
              <w:t>Análisis de contenido cualitativo</w:t>
            </w:r>
          </w:p>
        </w:tc>
        <w:tc>
          <w:tcPr>
            <w:tcW w:w="1388" w:type="dxa"/>
          </w:tcPr>
          <w:p w14:paraId="77757C61" w14:textId="77777777" w:rsidR="00720442" w:rsidRDefault="0080011C">
            <w:pPr>
              <w:jc w:val="left"/>
            </w:pPr>
            <w:r>
              <w:t>HL7 FHIR (Satusehat)</w:t>
            </w:r>
          </w:p>
        </w:tc>
        <w:tc>
          <w:tcPr>
            <w:tcW w:w="2211" w:type="dxa"/>
          </w:tcPr>
          <w:p w14:paraId="71318926" w14:textId="77777777" w:rsidR="00720442" w:rsidRDefault="0080011C">
            <w:pPr>
              <w:jc w:val="left"/>
            </w:pPr>
            <w:r>
              <w:t>107 incidencias: servidor 57 %, mapeo 34 %, perfiles 9 %</w:t>
            </w:r>
          </w:p>
        </w:tc>
        <w:tc>
          <w:tcPr>
            <w:tcW w:w="1440" w:type="dxa"/>
          </w:tcPr>
          <w:p w14:paraId="14677703" w14:textId="77777777" w:rsidR="00720442" w:rsidRDefault="0080011C">
            <w:pPr>
              <w:jc w:val="left"/>
            </w:pPr>
            <w:r>
              <w:t>Barreras técnicas en despliegue nacional</w:t>
            </w:r>
          </w:p>
        </w:tc>
      </w:tr>
      <w:tr w:rsidR="00720442" w14:paraId="423E2E98" w14:textId="77777777">
        <w:tc>
          <w:tcPr>
            <w:tcW w:w="1388" w:type="dxa"/>
          </w:tcPr>
          <w:p w14:paraId="126E5751" w14:textId="77777777" w:rsidR="00720442" w:rsidRDefault="0080011C">
            <w:pPr>
              <w:jc w:val="left"/>
            </w:pPr>
            <w:r>
              <w:lastRenderedPageBreak/>
              <w:t>Amar et al. (2024)</w:t>
            </w:r>
          </w:p>
        </w:tc>
        <w:tc>
          <w:tcPr>
            <w:tcW w:w="1491" w:type="dxa"/>
          </w:tcPr>
          <w:p w14:paraId="2E188888" w14:textId="77777777" w:rsidR="00720442" w:rsidRDefault="0080011C">
            <w:pPr>
              <w:jc w:val="left"/>
            </w:pPr>
            <w:r>
              <w:t>Mapeo sistemático (n = 70)</w:t>
            </w:r>
          </w:p>
        </w:tc>
        <w:tc>
          <w:tcPr>
            <w:tcW w:w="1388" w:type="dxa"/>
          </w:tcPr>
          <w:p w14:paraId="7E3A9588" w14:textId="77777777" w:rsidR="00720442" w:rsidRDefault="0080011C">
            <w:pPr>
              <w:jc w:val="left"/>
            </w:pPr>
            <w:r>
              <w:t>FHIR semántico</w:t>
            </w:r>
          </w:p>
        </w:tc>
        <w:tc>
          <w:tcPr>
            <w:tcW w:w="2211" w:type="dxa"/>
          </w:tcPr>
          <w:p w14:paraId="2887713A" w14:textId="77777777" w:rsidR="00720442" w:rsidRDefault="0080011C">
            <w:pPr>
              <w:jc w:val="left"/>
            </w:pPr>
            <w:r>
              <w:t>6 categorías: mapeo 24,6 %, RDF/OWL 19 %, NLP/ML 15,9 %</w:t>
            </w:r>
          </w:p>
        </w:tc>
        <w:tc>
          <w:tcPr>
            <w:tcW w:w="1440" w:type="dxa"/>
          </w:tcPr>
          <w:p w14:paraId="6F0F8A6B" w14:textId="77777777" w:rsidR="00720442" w:rsidRDefault="0080011C">
            <w:pPr>
              <w:jc w:val="left"/>
            </w:pPr>
            <w:r>
              <w:t>Taxonomía de enfoques semánticos</w:t>
            </w:r>
          </w:p>
        </w:tc>
      </w:tr>
      <w:tr w:rsidR="00720442" w14:paraId="43A5E410" w14:textId="77777777">
        <w:tc>
          <w:tcPr>
            <w:tcW w:w="1388" w:type="dxa"/>
          </w:tcPr>
          <w:p w14:paraId="668E63A5" w14:textId="77777777" w:rsidR="00720442" w:rsidRDefault="0080011C">
            <w:pPr>
              <w:jc w:val="left"/>
            </w:pPr>
            <w:r>
              <w:t>Tabari et al. (2024)</w:t>
            </w:r>
          </w:p>
        </w:tc>
        <w:tc>
          <w:tcPr>
            <w:tcW w:w="1491" w:type="dxa"/>
          </w:tcPr>
          <w:p w14:paraId="7F919664" w14:textId="77777777" w:rsidR="00720442" w:rsidRDefault="0080011C">
            <w:pPr>
              <w:jc w:val="left"/>
            </w:pPr>
            <w:r>
              <w:t>Scoping review (n = 31)</w:t>
            </w:r>
          </w:p>
        </w:tc>
        <w:tc>
          <w:tcPr>
            <w:tcW w:w="1388" w:type="dxa"/>
          </w:tcPr>
          <w:p w14:paraId="0F437849" w14:textId="77777777" w:rsidR="00720442" w:rsidRDefault="0080011C">
            <w:pPr>
              <w:jc w:val="left"/>
            </w:pPr>
            <w:r>
              <w:t>FHIR</w:t>
            </w:r>
          </w:p>
        </w:tc>
        <w:tc>
          <w:tcPr>
            <w:tcW w:w="2211" w:type="dxa"/>
          </w:tcPr>
          <w:p w14:paraId="2A6A4909" w14:textId="77777777" w:rsidR="00720442" w:rsidRDefault="0080011C">
            <w:pPr>
              <w:jc w:val="left"/>
            </w:pPr>
            <w:r>
              <w:t>Recursos más usados: Observation, Condition, Patient</w:t>
            </w:r>
          </w:p>
        </w:tc>
        <w:tc>
          <w:tcPr>
            <w:tcW w:w="1440" w:type="dxa"/>
          </w:tcPr>
          <w:p w14:paraId="4A80A0CE" w14:textId="77777777" w:rsidR="00720442" w:rsidRDefault="0080011C">
            <w:pPr>
              <w:jc w:val="left"/>
            </w:pPr>
            <w:r>
              <w:t>Selección de recursos para capa piloto</w:t>
            </w:r>
          </w:p>
        </w:tc>
      </w:tr>
      <w:tr w:rsidR="00720442" w14:paraId="0944D89F" w14:textId="77777777">
        <w:tc>
          <w:tcPr>
            <w:tcW w:w="1388" w:type="dxa"/>
          </w:tcPr>
          <w:p w14:paraId="4E2B22DD" w14:textId="77777777" w:rsidR="00720442" w:rsidRDefault="0080011C">
            <w:pPr>
              <w:jc w:val="left"/>
            </w:pPr>
            <w:r>
              <w:t>Bossenko et al. (2024)</w:t>
            </w:r>
          </w:p>
        </w:tc>
        <w:tc>
          <w:tcPr>
            <w:tcW w:w="1491" w:type="dxa"/>
          </w:tcPr>
          <w:p w14:paraId="67E54516" w14:textId="77777777" w:rsidR="00720442" w:rsidRDefault="0080011C">
            <w:pPr>
              <w:jc w:val="left"/>
            </w:pPr>
            <w:r>
              <w:t>Design Science Research</w:t>
            </w:r>
          </w:p>
        </w:tc>
        <w:tc>
          <w:tcPr>
            <w:tcW w:w="1388" w:type="dxa"/>
          </w:tcPr>
          <w:p w14:paraId="61983DCC" w14:textId="77777777" w:rsidR="00720442" w:rsidRDefault="0080011C">
            <w:pPr>
              <w:jc w:val="left"/>
            </w:pPr>
            <w:r>
              <w:t>CDA → FHIR</w:t>
            </w:r>
          </w:p>
        </w:tc>
        <w:tc>
          <w:tcPr>
            <w:tcW w:w="2211" w:type="dxa"/>
          </w:tcPr>
          <w:p w14:paraId="2887AF06" w14:textId="77777777" w:rsidR="00720442" w:rsidRDefault="0080011C">
            <w:pPr>
              <w:jc w:val="left"/>
            </w:pPr>
            <w:r>
              <w:t>Usabilidad validada por expertos del ENHIS (Estonia)</w:t>
            </w:r>
          </w:p>
        </w:tc>
        <w:tc>
          <w:tcPr>
            <w:tcW w:w="1440" w:type="dxa"/>
          </w:tcPr>
          <w:p w14:paraId="785252F1" w14:textId="77777777" w:rsidR="00720442" w:rsidRDefault="0080011C">
            <w:pPr>
              <w:jc w:val="left"/>
            </w:pPr>
            <w:r>
              <w:t>Transformación accesible CDA→FHIR</w:t>
            </w:r>
          </w:p>
        </w:tc>
      </w:tr>
      <w:tr w:rsidR="00720442" w14:paraId="6D261DCC" w14:textId="77777777">
        <w:tc>
          <w:tcPr>
            <w:tcW w:w="1388" w:type="dxa"/>
          </w:tcPr>
          <w:p w14:paraId="313702FC" w14:textId="77777777" w:rsidR="00720442" w:rsidRDefault="0080011C">
            <w:pPr>
              <w:jc w:val="left"/>
            </w:pPr>
            <w:r>
              <w:t>Jayathissa y Hewapathrana (2024)</w:t>
            </w:r>
          </w:p>
        </w:tc>
        <w:tc>
          <w:tcPr>
            <w:tcW w:w="1491" w:type="dxa"/>
          </w:tcPr>
          <w:p w14:paraId="267A525E" w14:textId="77777777" w:rsidR="00720442" w:rsidRDefault="0080011C">
            <w:pPr>
              <w:jc w:val="left"/>
            </w:pPr>
            <w:r>
              <w:t>Caso técnico (ADR)</w:t>
            </w:r>
          </w:p>
        </w:tc>
        <w:tc>
          <w:tcPr>
            <w:tcW w:w="1388" w:type="dxa"/>
          </w:tcPr>
          <w:p w14:paraId="3DB6AB4D" w14:textId="77777777" w:rsidR="00720442" w:rsidRDefault="0080011C">
            <w:pPr>
              <w:jc w:val="left"/>
            </w:pPr>
            <w:r>
              <w:t>HAPI-FHIR + MPI</w:t>
            </w:r>
          </w:p>
        </w:tc>
        <w:tc>
          <w:tcPr>
            <w:tcW w:w="2211" w:type="dxa"/>
          </w:tcPr>
          <w:p w14:paraId="23D689EF" w14:textId="77777777" w:rsidR="00720442" w:rsidRDefault="0080011C">
            <w:pPr>
              <w:jc w:val="left"/>
            </w:pPr>
            <w:r>
              <w:t>Factibilidad en atención primaria (Sri Lanka)</w:t>
            </w:r>
          </w:p>
        </w:tc>
        <w:tc>
          <w:tcPr>
            <w:tcW w:w="1440" w:type="dxa"/>
          </w:tcPr>
          <w:p w14:paraId="78764AF2" w14:textId="77777777" w:rsidR="00720442" w:rsidRDefault="0080011C">
            <w:pPr>
              <w:jc w:val="left"/>
            </w:pPr>
            <w:r>
              <w:t>Implementación piloto en contexto limitado</w:t>
            </w:r>
          </w:p>
        </w:tc>
      </w:tr>
      <w:tr w:rsidR="00720442" w14:paraId="31BCA767" w14:textId="77777777">
        <w:tc>
          <w:tcPr>
            <w:tcW w:w="1388" w:type="dxa"/>
          </w:tcPr>
          <w:p w14:paraId="6A520CEC" w14:textId="77777777" w:rsidR="00720442" w:rsidRDefault="0080011C">
            <w:pPr>
              <w:jc w:val="left"/>
            </w:pPr>
            <w:r>
              <w:t>Torab-Miandoab et al. (2023)</w:t>
            </w:r>
          </w:p>
        </w:tc>
        <w:tc>
          <w:tcPr>
            <w:tcW w:w="1491" w:type="dxa"/>
          </w:tcPr>
          <w:p w14:paraId="68C6B6A3" w14:textId="77777777" w:rsidR="00720442" w:rsidRDefault="0080011C">
            <w:pPr>
              <w:jc w:val="left"/>
            </w:pPr>
            <w:r>
              <w:t>Revisión sistemática (n = 36)</w:t>
            </w:r>
          </w:p>
        </w:tc>
        <w:tc>
          <w:tcPr>
            <w:tcW w:w="1388" w:type="dxa"/>
          </w:tcPr>
          <w:p w14:paraId="2A59838D" w14:textId="77777777" w:rsidR="00720442" w:rsidRDefault="0080011C">
            <w:pPr>
              <w:jc w:val="left"/>
            </w:pPr>
            <w:r>
              <w:t>HL7 FHIR, CDA, SNOMED-CT</w:t>
            </w:r>
          </w:p>
        </w:tc>
        <w:tc>
          <w:tcPr>
            <w:tcW w:w="2211" w:type="dxa"/>
          </w:tcPr>
          <w:p w14:paraId="4718871F" w14:textId="77777777" w:rsidR="00720442" w:rsidRDefault="0080011C">
            <w:pPr>
              <w:jc w:val="left"/>
            </w:pPr>
            <w:r>
              <w:t>FHIR y CDA como estándares prioritarios</w:t>
            </w:r>
          </w:p>
        </w:tc>
        <w:tc>
          <w:tcPr>
            <w:tcW w:w="1440" w:type="dxa"/>
          </w:tcPr>
          <w:p w14:paraId="1304945E" w14:textId="77777777" w:rsidR="00720442" w:rsidRDefault="0080011C">
            <w:pPr>
              <w:jc w:val="left"/>
            </w:pPr>
            <w:r>
              <w:t>Pertinencia de FHIR + SNOMED-CT</w:t>
            </w:r>
          </w:p>
        </w:tc>
      </w:tr>
      <w:tr w:rsidR="00720442" w14:paraId="32511201" w14:textId="77777777">
        <w:tc>
          <w:tcPr>
            <w:tcW w:w="1388" w:type="dxa"/>
          </w:tcPr>
          <w:p w14:paraId="2D6ED84F" w14:textId="77777777" w:rsidR="00720442" w:rsidRDefault="0080011C">
            <w:pPr>
              <w:jc w:val="left"/>
            </w:pPr>
            <w:r>
              <w:t>Holmgren et al. (2023)</w:t>
            </w:r>
          </w:p>
        </w:tc>
        <w:tc>
          <w:tcPr>
            <w:tcW w:w="1491" w:type="dxa"/>
          </w:tcPr>
          <w:p w14:paraId="106D29E4" w14:textId="77777777" w:rsidR="00720442" w:rsidRDefault="0080011C">
            <w:pPr>
              <w:jc w:val="left"/>
            </w:pPr>
            <w:r>
              <w:t>Revisión comparada (5 países)</w:t>
            </w:r>
          </w:p>
        </w:tc>
        <w:tc>
          <w:tcPr>
            <w:tcW w:w="1388" w:type="dxa"/>
          </w:tcPr>
          <w:p w14:paraId="46ECC57A" w14:textId="77777777" w:rsidR="00720442" w:rsidRDefault="0080011C">
            <w:pPr>
              <w:jc w:val="left"/>
            </w:pPr>
            <w:r>
              <w:t>Políticas HIE</w:t>
            </w:r>
          </w:p>
        </w:tc>
        <w:tc>
          <w:tcPr>
            <w:tcW w:w="2211" w:type="dxa"/>
          </w:tcPr>
          <w:p w14:paraId="0460B543" w14:textId="77777777" w:rsidR="00720442" w:rsidRDefault="0080011C">
            <w:pPr>
              <w:jc w:val="left"/>
            </w:pPr>
            <w:r>
              <w:t>Centralización → mayor avance interoperable</w:t>
            </w:r>
          </w:p>
        </w:tc>
        <w:tc>
          <w:tcPr>
            <w:tcW w:w="1440" w:type="dxa"/>
          </w:tcPr>
          <w:p w14:paraId="0D1679F3" w14:textId="77777777" w:rsidR="00720442" w:rsidRDefault="0080011C">
            <w:pPr>
              <w:jc w:val="left"/>
            </w:pPr>
            <w:r>
              <w:t>Importancia de gobernanza institucional</w:t>
            </w:r>
          </w:p>
        </w:tc>
      </w:tr>
      <w:tr w:rsidR="00720442" w14:paraId="33BC7BC1" w14:textId="77777777">
        <w:tc>
          <w:tcPr>
            <w:tcW w:w="1388" w:type="dxa"/>
          </w:tcPr>
          <w:p w14:paraId="6B2C8913" w14:textId="77777777" w:rsidR="00720442" w:rsidRDefault="0080011C">
            <w:pPr>
              <w:jc w:val="left"/>
            </w:pPr>
            <w:r>
              <w:t>Richwine et al. (2025)</w:t>
            </w:r>
          </w:p>
        </w:tc>
        <w:tc>
          <w:tcPr>
            <w:tcW w:w="1491" w:type="dxa"/>
          </w:tcPr>
          <w:p w14:paraId="2693A081" w14:textId="77777777" w:rsidR="00720442" w:rsidRDefault="0080011C">
            <w:pPr>
              <w:jc w:val="left"/>
            </w:pPr>
            <w:r>
              <w:t>Observacional (N = 2 200)</w:t>
            </w:r>
          </w:p>
        </w:tc>
        <w:tc>
          <w:tcPr>
            <w:tcW w:w="1388" w:type="dxa"/>
          </w:tcPr>
          <w:p w14:paraId="08813F6C" w14:textId="77777777" w:rsidR="00720442" w:rsidRDefault="0080011C">
            <w:pPr>
              <w:jc w:val="left"/>
            </w:pPr>
            <w:r>
              <w:t>HIOs / FHIR</w:t>
            </w:r>
          </w:p>
        </w:tc>
        <w:tc>
          <w:tcPr>
            <w:tcW w:w="2211" w:type="dxa"/>
          </w:tcPr>
          <w:p w14:paraId="616ABB71" w14:textId="77777777" w:rsidR="00720442" w:rsidRDefault="0080011C">
            <w:pPr>
              <w:jc w:val="left"/>
            </w:pPr>
            <w:r>
              <w:t>75 % hospitales en HIO; 17 % con FHIR</w:t>
            </w:r>
          </w:p>
        </w:tc>
        <w:tc>
          <w:tcPr>
            <w:tcW w:w="1440" w:type="dxa"/>
          </w:tcPr>
          <w:p w14:paraId="56A5DA81" w14:textId="77777777" w:rsidR="00720442" w:rsidRDefault="0080011C">
            <w:pPr>
              <w:jc w:val="left"/>
            </w:pPr>
            <w:r>
              <w:t>Modelo metodológico de medición</w:t>
            </w:r>
          </w:p>
        </w:tc>
      </w:tr>
      <w:tr w:rsidR="00720442" w14:paraId="0591B196" w14:textId="77777777">
        <w:tc>
          <w:tcPr>
            <w:tcW w:w="1388" w:type="dxa"/>
          </w:tcPr>
          <w:p w14:paraId="60E45C60" w14:textId="77777777" w:rsidR="00720442" w:rsidRDefault="0080011C">
            <w:pPr>
              <w:jc w:val="left"/>
            </w:pPr>
            <w:r>
              <w:lastRenderedPageBreak/>
              <w:t>Raab et al. (2023)</w:t>
            </w:r>
          </w:p>
        </w:tc>
        <w:tc>
          <w:tcPr>
            <w:tcW w:w="1491" w:type="dxa"/>
          </w:tcPr>
          <w:p w14:paraId="33B8B0BC" w14:textId="77777777" w:rsidR="00720442" w:rsidRDefault="0080011C">
            <w:pPr>
              <w:jc w:val="left"/>
            </w:pPr>
            <w:r>
              <w:t>Propuesta conceptual</w:t>
            </w:r>
          </w:p>
        </w:tc>
        <w:tc>
          <w:tcPr>
            <w:tcW w:w="1388" w:type="dxa"/>
          </w:tcPr>
          <w:p w14:paraId="4F60D850" w14:textId="77777777" w:rsidR="00720442" w:rsidRDefault="0080011C">
            <w:pPr>
              <w:jc w:val="left"/>
            </w:pPr>
            <w:r>
              <w:t>EHDS federado</w:t>
            </w:r>
          </w:p>
        </w:tc>
        <w:tc>
          <w:tcPr>
            <w:tcW w:w="2211" w:type="dxa"/>
          </w:tcPr>
          <w:p w14:paraId="515761DC" w14:textId="77777777" w:rsidR="00720442" w:rsidRDefault="0080011C">
            <w:pPr>
              <w:jc w:val="left"/>
            </w:pPr>
            <w:r>
              <w:t>Lineamientos de privacidad por diseño</w:t>
            </w:r>
          </w:p>
        </w:tc>
        <w:tc>
          <w:tcPr>
            <w:tcW w:w="1440" w:type="dxa"/>
          </w:tcPr>
          <w:p w14:paraId="205204DF" w14:textId="77777777" w:rsidR="00720442" w:rsidRDefault="0080011C">
            <w:pPr>
              <w:jc w:val="left"/>
            </w:pPr>
            <w:r>
              <w:t>Gobernanza descentralizada del dato</w:t>
            </w:r>
          </w:p>
        </w:tc>
      </w:tr>
      <w:tr w:rsidR="00720442" w14:paraId="3BA4668E" w14:textId="77777777">
        <w:tc>
          <w:tcPr>
            <w:tcW w:w="1388" w:type="dxa"/>
          </w:tcPr>
          <w:p w14:paraId="41568169" w14:textId="77777777" w:rsidR="00720442" w:rsidRDefault="0080011C">
            <w:pPr>
              <w:jc w:val="left"/>
            </w:pPr>
            <w:r>
              <w:t>Monsen et al. (2023)</w:t>
            </w:r>
          </w:p>
        </w:tc>
        <w:tc>
          <w:tcPr>
            <w:tcW w:w="1491" w:type="dxa"/>
          </w:tcPr>
          <w:p w14:paraId="2EAF82A5" w14:textId="77777777" w:rsidR="00720442" w:rsidRDefault="0080011C">
            <w:pPr>
              <w:jc w:val="left"/>
            </w:pPr>
            <w:r>
              <w:t>Estudio aplicado</w:t>
            </w:r>
          </w:p>
        </w:tc>
        <w:tc>
          <w:tcPr>
            <w:tcW w:w="1388" w:type="dxa"/>
          </w:tcPr>
          <w:p w14:paraId="1E33C431" w14:textId="77777777" w:rsidR="00720442" w:rsidRDefault="0080011C">
            <w:pPr>
              <w:jc w:val="left"/>
            </w:pPr>
            <w:r>
              <w:t>FHIR + terminologías de enfermería</w:t>
            </w:r>
          </w:p>
        </w:tc>
        <w:tc>
          <w:tcPr>
            <w:tcW w:w="2211" w:type="dxa"/>
          </w:tcPr>
          <w:p w14:paraId="42FA53E2" w14:textId="77777777" w:rsidR="00720442" w:rsidRDefault="0080011C">
            <w:pPr>
              <w:jc w:val="left"/>
            </w:pPr>
            <w:r>
              <w:t>Mejora en reutilización de datos codificados</w:t>
            </w:r>
          </w:p>
        </w:tc>
        <w:tc>
          <w:tcPr>
            <w:tcW w:w="1440" w:type="dxa"/>
          </w:tcPr>
          <w:p w14:paraId="1870D4E7" w14:textId="77777777" w:rsidR="00720442" w:rsidRDefault="0080011C">
            <w:pPr>
              <w:jc w:val="left"/>
            </w:pPr>
            <w:r>
              <w:t>Normalización terminológica</w:t>
            </w:r>
          </w:p>
        </w:tc>
      </w:tr>
      <w:tr w:rsidR="00720442" w14:paraId="774A527A" w14:textId="77777777">
        <w:tc>
          <w:tcPr>
            <w:tcW w:w="1388" w:type="dxa"/>
          </w:tcPr>
          <w:p w14:paraId="2CFF17C0" w14:textId="77777777" w:rsidR="00720442" w:rsidRDefault="0080011C">
            <w:pPr>
              <w:jc w:val="left"/>
            </w:pPr>
            <w:r>
              <w:t>Vorisek et al. (2022)</w:t>
            </w:r>
          </w:p>
        </w:tc>
        <w:tc>
          <w:tcPr>
            <w:tcW w:w="1491" w:type="dxa"/>
          </w:tcPr>
          <w:p w14:paraId="513EE323" w14:textId="77777777" w:rsidR="00720442" w:rsidRDefault="0080011C">
            <w:pPr>
              <w:jc w:val="left"/>
            </w:pPr>
            <w:r>
              <w:t>Revisión sistemática (n = 49)</w:t>
            </w:r>
          </w:p>
        </w:tc>
        <w:tc>
          <w:tcPr>
            <w:tcW w:w="1388" w:type="dxa"/>
          </w:tcPr>
          <w:p w14:paraId="749C8D01" w14:textId="77777777" w:rsidR="00720442" w:rsidRDefault="0080011C">
            <w:pPr>
              <w:jc w:val="left"/>
            </w:pPr>
            <w:r>
              <w:t>HL7 FHIR</w:t>
            </w:r>
          </w:p>
        </w:tc>
        <w:tc>
          <w:tcPr>
            <w:tcW w:w="2211" w:type="dxa"/>
          </w:tcPr>
          <w:p w14:paraId="34DA50A8" w14:textId="77777777" w:rsidR="00720442" w:rsidRDefault="0080011C">
            <w:pPr>
              <w:jc w:val="left"/>
            </w:pPr>
            <w:r>
              <w:t>LOINC 37 %, SNOMED-CT 29 %, ICD-10 18 %</w:t>
            </w:r>
          </w:p>
        </w:tc>
        <w:tc>
          <w:tcPr>
            <w:tcW w:w="1440" w:type="dxa"/>
          </w:tcPr>
          <w:p w14:paraId="36550916" w14:textId="77777777" w:rsidR="00720442" w:rsidRDefault="0080011C">
            <w:pPr>
              <w:jc w:val="left"/>
            </w:pPr>
            <w:r>
              <w:t>Referente de terminologías para codificación</w:t>
            </w:r>
          </w:p>
        </w:tc>
      </w:tr>
      <w:tr w:rsidR="00720442" w14:paraId="4E22BC6B" w14:textId="77777777">
        <w:tc>
          <w:tcPr>
            <w:tcW w:w="1388" w:type="dxa"/>
          </w:tcPr>
          <w:p w14:paraId="794B0914" w14:textId="77777777" w:rsidR="00720442" w:rsidRDefault="0080011C">
            <w:pPr>
              <w:jc w:val="left"/>
            </w:pPr>
            <w:r>
              <w:t>Gazzarata et al. (2024)</w:t>
            </w:r>
          </w:p>
        </w:tc>
        <w:tc>
          <w:tcPr>
            <w:tcW w:w="1491" w:type="dxa"/>
          </w:tcPr>
          <w:p w14:paraId="4EA840B9" w14:textId="77777777" w:rsidR="00720442" w:rsidRDefault="0080011C">
            <w:pPr>
              <w:jc w:val="left"/>
            </w:pPr>
            <w:r>
              <w:t>Scoping review</w:t>
            </w:r>
          </w:p>
        </w:tc>
        <w:tc>
          <w:tcPr>
            <w:tcW w:w="1388" w:type="dxa"/>
          </w:tcPr>
          <w:p w14:paraId="27C7C7CF" w14:textId="77777777" w:rsidR="00720442" w:rsidRDefault="0080011C">
            <w:pPr>
              <w:jc w:val="left"/>
            </w:pPr>
            <w:r>
              <w:t>FHIR</w:t>
            </w:r>
          </w:p>
        </w:tc>
        <w:tc>
          <w:tcPr>
            <w:tcW w:w="2211" w:type="dxa"/>
          </w:tcPr>
          <w:p w14:paraId="3649186E" w14:textId="77777777" w:rsidR="00720442" w:rsidRDefault="0080011C">
            <w:pPr>
              <w:jc w:val="left"/>
            </w:pPr>
            <w:r>
              <w:t>Mejora de continuidad asistencial en crónicos</w:t>
            </w:r>
          </w:p>
        </w:tc>
        <w:tc>
          <w:tcPr>
            <w:tcW w:w="1440" w:type="dxa"/>
          </w:tcPr>
          <w:p w14:paraId="2D3B11B3" w14:textId="77777777" w:rsidR="00720442" w:rsidRDefault="0080011C">
            <w:pPr>
              <w:jc w:val="left"/>
            </w:pPr>
            <w:r>
              <w:t>Continuidad como dimensión de calidad</w:t>
            </w:r>
          </w:p>
        </w:tc>
      </w:tr>
      <w:tr w:rsidR="00720442" w14:paraId="472BF10D" w14:textId="77777777">
        <w:tc>
          <w:tcPr>
            <w:tcW w:w="1388" w:type="dxa"/>
          </w:tcPr>
          <w:p w14:paraId="25A33E26" w14:textId="77777777" w:rsidR="00720442" w:rsidRDefault="0080011C">
            <w:pPr>
              <w:jc w:val="left"/>
            </w:pPr>
            <w:r>
              <w:t>Pedrera-Jiménez et al. (2023)</w:t>
            </w:r>
          </w:p>
        </w:tc>
        <w:tc>
          <w:tcPr>
            <w:tcW w:w="1491" w:type="dxa"/>
          </w:tcPr>
          <w:p w14:paraId="0293F327" w14:textId="77777777" w:rsidR="00720442" w:rsidRDefault="0080011C">
            <w:pPr>
              <w:jc w:val="left"/>
            </w:pPr>
            <w:r>
              <w:t>Análisis técnico-conceptual</w:t>
            </w:r>
          </w:p>
        </w:tc>
        <w:tc>
          <w:tcPr>
            <w:tcW w:w="1388" w:type="dxa"/>
          </w:tcPr>
          <w:p w14:paraId="00E3CD41" w14:textId="77777777" w:rsidR="00720442" w:rsidRDefault="0080011C">
            <w:pPr>
              <w:jc w:val="left"/>
            </w:pPr>
            <w:r>
              <w:t>openEHR + FHIR + ISO 13606</w:t>
            </w:r>
          </w:p>
        </w:tc>
        <w:tc>
          <w:tcPr>
            <w:tcW w:w="2211" w:type="dxa"/>
          </w:tcPr>
          <w:p w14:paraId="3E45DEED" w14:textId="77777777" w:rsidR="00720442" w:rsidRDefault="0080011C">
            <w:pPr>
              <w:jc w:val="left"/>
            </w:pPr>
            <w:r>
              <w:t>Coexistencia complementaria por capas</w:t>
            </w:r>
          </w:p>
        </w:tc>
        <w:tc>
          <w:tcPr>
            <w:tcW w:w="1440" w:type="dxa"/>
          </w:tcPr>
          <w:p w14:paraId="1986104C" w14:textId="77777777" w:rsidR="00720442" w:rsidRDefault="0080011C">
            <w:pPr>
              <w:jc w:val="left"/>
            </w:pPr>
            <w:r>
              <w:t>Compatibilidad con arquitectura multicapa</w:t>
            </w:r>
          </w:p>
        </w:tc>
      </w:tr>
      <w:tr w:rsidR="00720442" w14:paraId="59ACEE57" w14:textId="77777777">
        <w:tc>
          <w:tcPr>
            <w:tcW w:w="1388" w:type="dxa"/>
          </w:tcPr>
          <w:p w14:paraId="7BCB5776" w14:textId="77777777" w:rsidR="00720442" w:rsidRDefault="0080011C">
            <w:pPr>
              <w:jc w:val="left"/>
            </w:pPr>
            <w:r>
              <w:t>Chatterjee et al. (2022)</w:t>
            </w:r>
          </w:p>
        </w:tc>
        <w:tc>
          <w:tcPr>
            <w:tcW w:w="1491" w:type="dxa"/>
          </w:tcPr>
          <w:p w14:paraId="42E73E9B" w14:textId="77777777" w:rsidR="00720442" w:rsidRDefault="0080011C">
            <w:pPr>
              <w:jc w:val="left"/>
            </w:pPr>
            <w:r>
              <w:t>Prueba de concepto</w:t>
            </w:r>
          </w:p>
        </w:tc>
        <w:tc>
          <w:tcPr>
            <w:tcW w:w="1388" w:type="dxa"/>
          </w:tcPr>
          <w:p w14:paraId="3C599A26" w14:textId="77777777" w:rsidR="00720442" w:rsidRDefault="0080011C">
            <w:pPr>
              <w:jc w:val="left"/>
            </w:pPr>
            <w:r>
              <w:t>FHIR + SNOMED-CT</w:t>
            </w:r>
          </w:p>
        </w:tc>
        <w:tc>
          <w:tcPr>
            <w:tcW w:w="2211" w:type="dxa"/>
          </w:tcPr>
          <w:p w14:paraId="547B757A" w14:textId="77777777" w:rsidR="00720442" w:rsidRDefault="0080011C">
            <w:pPr>
              <w:jc w:val="left"/>
            </w:pPr>
            <w:r>
              <w:t>Intercambio bidireccional sin pérdida semántica</w:t>
            </w:r>
          </w:p>
        </w:tc>
        <w:tc>
          <w:tcPr>
            <w:tcW w:w="1440" w:type="dxa"/>
          </w:tcPr>
          <w:p w14:paraId="1F56A2B6" w14:textId="77777777" w:rsidR="00720442" w:rsidRDefault="0080011C">
            <w:pPr>
              <w:jc w:val="left"/>
            </w:pPr>
            <w:r>
              <w:t>Consistencia del dato clínico</w:t>
            </w:r>
          </w:p>
        </w:tc>
      </w:tr>
      <w:tr w:rsidR="00720442" w14:paraId="79CD931E" w14:textId="77777777">
        <w:tc>
          <w:tcPr>
            <w:tcW w:w="1388" w:type="dxa"/>
          </w:tcPr>
          <w:p w14:paraId="5A4071B8" w14:textId="77777777" w:rsidR="00720442" w:rsidRDefault="0080011C">
            <w:pPr>
              <w:jc w:val="left"/>
            </w:pPr>
            <w:r>
              <w:t>Gaudet-Blavignac et al. (2021)</w:t>
            </w:r>
          </w:p>
        </w:tc>
        <w:tc>
          <w:tcPr>
            <w:tcW w:w="1491" w:type="dxa"/>
          </w:tcPr>
          <w:p w14:paraId="7557922E" w14:textId="77777777" w:rsidR="00720442" w:rsidRDefault="0080011C">
            <w:pPr>
              <w:jc w:val="left"/>
            </w:pPr>
            <w:r>
              <w:t>Estudio metodológico</w:t>
            </w:r>
          </w:p>
        </w:tc>
        <w:tc>
          <w:tcPr>
            <w:tcW w:w="1388" w:type="dxa"/>
          </w:tcPr>
          <w:p w14:paraId="3B8FF5F5" w14:textId="77777777" w:rsidR="00720442" w:rsidRDefault="0080011C">
            <w:pPr>
              <w:jc w:val="left"/>
            </w:pPr>
            <w:r>
              <w:t>SPHN (3 pilares)</w:t>
            </w:r>
          </w:p>
        </w:tc>
        <w:tc>
          <w:tcPr>
            <w:tcW w:w="2211" w:type="dxa"/>
          </w:tcPr>
          <w:p w14:paraId="1CDB8C9A" w14:textId="77777777" w:rsidR="00720442" w:rsidRDefault="0080011C">
            <w:pPr>
              <w:jc w:val="left"/>
            </w:pPr>
            <w:r>
              <w:t>Campos vacíos sin estrategia semántica coordinada</w:t>
            </w:r>
          </w:p>
        </w:tc>
        <w:tc>
          <w:tcPr>
            <w:tcW w:w="1440" w:type="dxa"/>
          </w:tcPr>
          <w:p w14:paraId="2DADA632" w14:textId="77777777" w:rsidR="00720442" w:rsidRDefault="0080011C">
            <w:pPr>
              <w:jc w:val="left"/>
            </w:pPr>
            <w:r>
              <w:t>Importancia de completitud</w:t>
            </w:r>
          </w:p>
        </w:tc>
      </w:tr>
      <w:tr w:rsidR="00720442" w14:paraId="1722A1B3" w14:textId="77777777">
        <w:tc>
          <w:tcPr>
            <w:tcW w:w="1388" w:type="dxa"/>
          </w:tcPr>
          <w:p w14:paraId="5E91E6A0" w14:textId="77777777" w:rsidR="00720442" w:rsidRDefault="0080011C">
            <w:pPr>
              <w:jc w:val="left"/>
            </w:pPr>
            <w:r>
              <w:t>Mukhiya et al. (2021)</w:t>
            </w:r>
          </w:p>
        </w:tc>
        <w:tc>
          <w:tcPr>
            <w:tcW w:w="1491" w:type="dxa"/>
          </w:tcPr>
          <w:p w14:paraId="1E49645D" w14:textId="77777777" w:rsidR="00720442" w:rsidRDefault="0080011C">
            <w:pPr>
              <w:jc w:val="left"/>
            </w:pPr>
            <w:r>
              <w:t>Prototipo arquitectónico</w:t>
            </w:r>
          </w:p>
        </w:tc>
        <w:tc>
          <w:tcPr>
            <w:tcW w:w="1388" w:type="dxa"/>
          </w:tcPr>
          <w:p w14:paraId="009C0E45" w14:textId="77777777" w:rsidR="00720442" w:rsidRDefault="0080011C">
            <w:pPr>
              <w:jc w:val="left"/>
            </w:pPr>
            <w:r>
              <w:t>FHIR + GraphQL</w:t>
            </w:r>
          </w:p>
        </w:tc>
        <w:tc>
          <w:tcPr>
            <w:tcW w:w="2211" w:type="dxa"/>
          </w:tcPr>
          <w:p w14:paraId="7DDC0F4E" w14:textId="77777777" w:rsidR="00720442" w:rsidRDefault="0080011C">
            <w:pPr>
              <w:jc w:val="left"/>
            </w:pPr>
            <w:r>
              <w:t>Reducción de acoplamiento entre sistemas</w:t>
            </w:r>
          </w:p>
        </w:tc>
        <w:tc>
          <w:tcPr>
            <w:tcW w:w="1440" w:type="dxa"/>
          </w:tcPr>
          <w:p w14:paraId="7E4423E9" w14:textId="77777777" w:rsidR="00720442" w:rsidRDefault="0080011C">
            <w:pPr>
              <w:jc w:val="left"/>
            </w:pPr>
            <w:r>
              <w:t>Integración flexible</w:t>
            </w:r>
          </w:p>
        </w:tc>
      </w:tr>
      <w:tr w:rsidR="00720442" w14:paraId="65AEE908" w14:textId="77777777">
        <w:tc>
          <w:tcPr>
            <w:tcW w:w="1388" w:type="dxa"/>
          </w:tcPr>
          <w:p w14:paraId="26A213D7" w14:textId="77777777" w:rsidR="00720442" w:rsidRDefault="0080011C">
            <w:pPr>
              <w:jc w:val="left"/>
            </w:pPr>
            <w:r>
              <w:lastRenderedPageBreak/>
              <w:t>Liu et al. (2023)</w:t>
            </w:r>
          </w:p>
        </w:tc>
        <w:tc>
          <w:tcPr>
            <w:tcW w:w="1491" w:type="dxa"/>
          </w:tcPr>
          <w:p w14:paraId="32DFE158" w14:textId="77777777" w:rsidR="00720442" w:rsidRDefault="0080011C">
            <w:pPr>
              <w:jc w:val="left"/>
            </w:pPr>
            <w:r>
              <w:t>Implementación experimental</w:t>
            </w:r>
          </w:p>
        </w:tc>
        <w:tc>
          <w:tcPr>
            <w:tcW w:w="1388" w:type="dxa"/>
          </w:tcPr>
          <w:p w14:paraId="51D4B653" w14:textId="77777777" w:rsidR="00720442" w:rsidRDefault="0080011C">
            <w:pPr>
              <w:jc w:val="left"/>
            </w:pPr>
            <w:r>
              <w:t>FHIR vs. CDA R2</w:t>
            </w:r>
          </w:p>
        </w:tc>
        <w:tc>
          <w:tcPr>
            <w:tcW w:w="2211" w:type="dxa"/>
          </w:tcPr>
          <w:p w14:paraId="68636152" w14:textId="77777777" w:rsidR="00720442" w:rsidRDefault="0080011C">
            <w:pPr>
              <w:jc w:val="left"/>
            </w:pPr>
            <w:r>
              <w:t>Reducción significativa de tiempos y costos</w:t>
            </w:r>
          </w:p>
        </w:tc>
        <w:tc>
          <w:tcPr>
            <w:tcW w:w="1440" w:type="dxa"/>
          </w:tcPr>
          <w:p w14:paraId="47997875" w14:textId="77777777" w:rsidR="00720442" w:rsidRDefault="0080011C">
            <w:pPr>
              <w:jc w:val="left"/>
            </w:pPr>
            <w:r>
              <w:t>Metodología de evaluación de rendimiento</w:t>
            </w:r>
          </w:p>
        </w:tc>
      </w:tr>
      <w:tr w:rsidR="00720442" w14:paraId="23C0AA99" w14:textId="77777777">
        <w:tc>
          <w:tcPr>
            <w:tcW w:w="1388" w:type="dxa"/>
          </w:tcPr>
          <w:p w14:paraId="022ED185" w14:textId="77777777" w:rsidR="00720442" w:rsidRDefault="0080011C">
            <w:pPr>
              <w:jc w:val="left"/>
            </w:pPr>
            <w:r>
              <w:t>Anand y Sadhna (2023)</w:t>
            </w:r>
          </w:p>
        </w:tc>
        <w:tc>
          <w:tcPr>
            <w:tcW w:w="1491" w:type="dxa"/>
          </w:tcPr>
          <w:p w14:paraId="59288739" w14:textId="77777777" w:rsidR="00720442" w:rsidRDefault="0080011C">
            <w:pPr>
              <w:jc w:val="left"/>
            </w:pPr>
            <w:r>
              <w:t>Bibliométrico</w:t>
            </w:r>
          </w:p>
        </w:tc>
        <w:tc>
          <w:tcPr>
            <w:tcW w:w="1388" w:type="dxa"/>
          </w:tcPr>
          <w:p w14:paraId="02D8807C" w14:textId="77777777" w:rsidR="00720442" w:rsidRDefault="0080011C">
            <w:pPr>
              <w:jc w:val="left"/>
            </w:pPr>
            <w:r>
              <w:t>FHIR + Blockchain</w:t>
            </w:r>
          </w:p>
        </w:tc>
        <w:tc>
          <w:tcPr>
            <w:tcW w:w="2211" w:type="dxa"/>
          </w:tcPr>
          <w:p w14:paraId="46C5D94E" w14:textId="77777777" w:rsidR="00720442" w:rsidRDefault="0080011C">
            <w:pPr>
              <w:jc w:val="left"/>
            </w:pPr>
            <w:r>
              <w:t>302 docs FHIR; 758 blockchain; citación 6,6 vs. 15,4</w:t>
            </w:r>
          </w:p>
        </w:tc>
        <w:tc>
          <w:tcPr>
            <w:tcW w:w="1440" w:type="dxa"/>
          </w:tcPr>
          <w:p w14:paraId="2F2E7163" w14:textId="77777777" w:rsidR="00720442" w:rsidRDefault="0080011C">
            <w:pPr>
              <w:jc w:val="left"/>
            </w:pPr>
            <w:r>
              <w:t>Tendencias emergentes</w:t>
            </w:r>
          </w:p>
        </w:tc>
      </w:tr>
      <w:tr w:rsidR="00720442" w14:paraId="2D6072D5" w14:textId="77777777">
        <w:tc>
          <w:tcPr>
            <w:tcW w:w="1388" w:type="dxa"/>
          </w:tcPr>
          <w:p w14:paraId="315D7BEF" w14:textId="77777777" w:rsidR="00720442" w:rsidRDefault="0080011C">
            <w:pPr>
              <w:jc w:val="left"/>
            </w:pPr>
            <w:r>
              <w:t>Surisetty (2026)</w:t>
            </w:r>
          </w:p>
        </w:tc>
        <w:tc>
          <w:tcPr>
            <w:tcW w:w="1491" w:type="dxa"/>
          </w:tcPr>
          <w:p w14:paraId="6A685D2F" w14:textId="77777777" w:rsidR="00720442" w:rsidRDefault="0080011C">
            <w:pPr>
              <w:jc w:val="left"/>
            </w:pPr>
            <w:r>
              <w:t>Propuesta aplicada</w:t>
            </w:r>
          </w:p>
        </w:tc>
        <w:tc>
          <w:tcPr>
            <w:tcW w:w="1388" w:type="dxa"/>
          </w:tcPr>
          <w:p w14:paraId="40CBBA5A" w14:textId="77777777" w:rsidR="00720442" w:rsidRDefault="0080011C">
            <w:pPr>
              <w:jc w:val="left"/>
            </w:pPr>
            <w:r>
              <w:t>HL7, FHIR, CCD</w:t>
            </w:r>
          </w:p>
        </w:tc>
        <w:tc>
          <w:tcPr>
            <w:tcW w:w="2211" w:type="dxa"/>
          </w:tcPr>
          <w:p w14:paraId="62B8E636" w14:textId="77777777" w:rsidR="00720442" w:rsidRDefault="0080011C">
            <w:pPr>
              <w:jc w:val="left"/>
            </w:pPr>
            <w:r>
              <w:t>Hoja de ruta por fases; 4 niveles de interoperabilidad</w:t>
            </w:r>
          </w:p>
        </w:tc>
        <w:tc>
          <w:tcPr>
            <w:tcW w:w="1440" w:type="dxa"/>
          </w:tcPr>
          <w:p w14:paraId="6A648573" w14:textId="77777777" w:rsidR="00720442" w:rsidRDefault="0080011C">
            <w:pPr>
              <w:jc w:val="left"/>
            </w:pPr>
            <w:r>
              <w:t>Blueprint de referencia</w:t>
            </w:r>
          </w:p>
        </w:tc>
      </w:tr>
      <w:tr w:rsidR="00720442" w14:paraId="723030BD" w14:textId="77777777">
        <w:tc>
          <w:tcPr>
            <w:tcW w:w="1388" w:type="dxa"/>
          </w:tcPr>
          <w:p w14:paraId="682217FD" w14:textId="77777777" w:rsidR="00720442" w:rsidRDefault="0080011C">
            <w:pPr>
              <w:jc w:val="left"/>
            </w:pPr>
            <w:r>
              <w:t>Fernandez et al. (2025)</w:t>
            </w:r>
          </w:p>
        </w:tc>
        <w:tc>
          <w:tcPr>
            <w:tcW w:w="1491" w:type="dxa"/>
          </w:tcPr>
          <w:p w14:paraId="7EFF311A" w14:textId="77777777" w:rsidR="00720442" w:rsidRDefault="0080011C">
            <w:pPr>
              <w:jc w:val="left"/>
            </w:pPr>
            <w:r>
              <w:t>Análisis de experiencia nacional</w:t>
            </w:r>
          </w:p>
        </w:tc>
        <w:tc>
          <w:tcPr>
            <w:tcW w:w="1388" w:type="dxa"/>
          </w:tcPr>
          <w:p w14:paraId="1F0BBDBD" w14:textId="77777777" w:rsidR="00720442" w:rsidRDefault="0080011C">
            <w:pPr>
              <w:jc w:val="left"/>
            </w:pPr>
            <w:r>
              <w:t>Sistema de salud de Brasil</w:t>
            </w:r>
          </w:p>
        </w:tc>
        <w:tc>
          <w:tcPr>
            <w:tcW w:w="2211" w:type="dxa"/>
          </w:tcPr>
          <w:p w14:paraId="207AC8EA" w14:textId="77777777" w:rsidR="00720442" w:rsidRDefault="0080011C">
            <w:pPr>
              <w:jc w:val="left"/>
            </w:pPr>
            <w:r>
              <w:t>Estándares + procesos + gobernanza = interoperabilidad</w:t>
            </w:r>
          </w:p>
        </w:tc>
        <w:tc>
          <w:tcPr>
            <w:tcW w:w="1440" w:type="dxa"/>
          </w:tcPr>
          <w:p w14:paraId="217A76E7" w14:textId="77777777" w:rsidR="00720442" w:rsidRDefault="0080011C">
            <w:pPr>
              <w:jc w:val="left"/>
            </w:pPr>
            <w:r>
              <w:t>Gobernanza sostenida</w:t>
            </w:r>
          </w:p>
        </w:tc>
      </w:tr>
    </w:tbl>
    <w:bookmarkEnd w:id="64"/>
    <w:p w14:paraId="3DCAC509" w14:textId="77777777" w:rsidR="00720442" w:rsidRDefault="0080011C">
      <w:pPr>
        <w:jc w:val="center"/>
      </w:pPr>
      <w:r>
        <w:rPr>
          <w:i/>
          <w:iCs/>
          <w:sz w:val="20"/>
        </w:rPr>
        <w:t>Nota.</w:t>
      </w:r>
      <w:r>
        <w:rPr>
          <w:sz w:val="20"/>
        </w:rPr>
        <w:t xml:space="preserve"> Elaboración propia a partir de los antecedentes internacionales revisados.</w:t>
      </w:r>
    </w:p>
    <w:p w14:paraId="26F5C635" w14:textId="77777777" w:rsidR="00720442" w:rsidRDefault="0080011C">
      <w:r>
        <w:t>La Tabla 5 presenta la síntesis comparativa de los antecedentes nacionales, destacando las dimensiones de calidad abordadas por cada estudio.</w:t>
      </w:r>
    </w:p>
    <w:p w14:paraId="3DC1B439" w14:textId="0324761D" w:rsidR="00720442" w:rsidRDefault="0080011C">
      <w:bookmarkStart w:id="66" w:name="tbl:sintesis-nacionales"/>
      <w:bookmarkStart w:id="67" w:name="_Toc225939031"/>
      <w:r>
        <w:t xml:space="preserve">Tabla </w:t>
      </w:r>
      <w:r>
        <w:fldChar w:fldCharType="begin"/>
      </w:r>
      <w:r>
        <w:instrText xml:space="preserve"> SEQ Table \* ARABIC </w:instrText>
      </w:r>
      <w:r>
        <w:fldChar w:fldCharType="separate"/>
      </w:r>
      <w:r w:rsidR="005314D4">
        <w:rPr>
          <w:noProof/>
        </w:rPr>
        <w:t>5</w:t>
      </w:r>
      <w:r>
        <w:fldChar w:fldCharType="end"/>
      </w:r>
      <w:r>
        <w:t>. Síntesis comparativa de antecedentes nacionales</w:t>
      </w:r>
      <w:bookmarkEnd w:id="6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nacionales"/>
      </w:tblPr>
      <w:tblGrid>
        <w:gridCol w:w="1927"/>
        <w:gridCol w:w="1580"/>
        <w:gridCol w:w="1383"/>
        <w:gridCol w:w="2323"/>
        <w:gridCol w:w="1532"/>
      </w:tblGrid>
      <w:tr w:rsidR="00720442" w14:paraId="2354D18D" w14:textId="77777777">
        <w:trPr>
          <w:tblHeader/>
        </w:trPr>
        <w:tc>
          <w:tcPr>
            <w:tcW w:w="1745" w:type="dxa"/>
          </w:tcPr>
          <w:p w14:paraId="4B2BC7CC" w14:textId="77777777" w:rsidR="00720442" w:rsidRDefault="0080011C">
            <w:pPr>
              <w:jc w:val="left"/>
            </w:pPr>
            <w:r>
              <w:t>Autor(es) y año</w:t>
            </w:r>
          </w:p>
        </w:tc>
        <w:tc>
          <w:tcPr>
            <w:tcW w:w="1431" w:type="dxa"/>
          </w:tcPr>
          <w:p w14:paraId="699CB5D2" w14:textId="77777777" w:rsidR="00720442" w:rsidRDefault="0080011C">
            <w:pPr>
              <w:jc w:val="left"/>
            </w:pPr>
            <w:r>
              <w:t>Tipo de estudio</w:t>
            </w:r>
          </w:p>
        </w:tc>
        <w:tc>
          <w:tcPr>
            <w:tcW w:w="1252" w:type="dxa"/>
          </w:tcPr>
          <w:p w14:paraId="3BF83BE4" w14:textId="77777777" w:rsidR="00720442" w:rsidRDefault="0080011C">
            <w:pPr>
              <w:jc w:val="left"/>
            </w:pPr>
            <w:r>
              <w:t>Estándar / Tecnología</w:t>
            </w:r>
          </w:p>
        </w:tc>
        <w:tc>
          <w:tcPr>
            <w:tcW w:w="2103" w:type="dxa"/>
          </w:tcPr>
          <w:p w14:paraId="3D1E644F" w14:textId="77777777" w:rsidR="00720442" w:rsidRDefault="0080011C">
            <w:pPr>
              <w:jc w:val="left"/>
            </w:pPr>
            <w:r>
              <w:t>Resultados principales</w:t>
            </w:r>
          </w:p>
        </w:tc>
        <w:tc>
          <w:tcPr>
            <w:tcW w:w="1387" w:type="dxa"/>
          </w:tcPr>
          <w:p w14:paraId="51FAF34E" w14:textId="77777777" w:rsidR="00720442" w:rsidRDefault="0080011C">
            <w:pPr>
              <w:jc w:val="left"/>
            </w:pPr>
            <w:r>
              <w:t>Brechas de calidad abordadas</w:t>
            </w:r>
          </w:p>
        </w:tc>
      </w:tr>
      <w:tr w:rsidR="00720442" w14:paraId="78D8C669" w14:textId="77777777">
        <w:tc>
          <w:tcPr>
            <w:tcW w:w="1745" w:type="dxa"/>
          </w:tcPr>
          <w:p w14:paraId="07F7DC60" w14:textId="77777777" w:rsidR="00720442" w:rsidRDefault="0080011C">
            <w:pPr>
              <w:jc w:val="left"/>
            </w:pPr>
            <w:r>
              <w:t>Mauricio et al. (2024)</w:t>
            </w:r>
          </w:p>
        </w:tc>
        <w:tc>
          <w:tcPr>
            <w:tcW w:w="1431" w:type="dxa"/>
          </w:tcPr>
          <w:p w14:paraId="4ACE13A9" w14:textId="77777777" w:rsidR="00720442" w:rsidRDefault="0080011C">
            <w:pPr>
              <w:jc w:val="left"/>
            </w:pPr>
            <w:r>
              <w:t>Arquitectura con blockchain</w:t>
            </w:r>
          </w:p>
        </w:tc>
        <w:tc>
          <w:tcPr>
            <w:tcW w:w="1252" w:type="dxa"/>
          </w:tcPr>
          <w:p w14:paraId="5ED50A7E" w14:textId="77777777" w:rsidR="00720442" w:rsidRDefault="0080011C">
            <w:pPr>
              <w:jc w:val="left"/>
            </w:pPr>
            <w:r>
              <w:t>HL7 FHIR + Ethereum + IPFS</w:t>
            </w:r>
          </w:p>
        </w:tc>
        <w:tc>
          <w:tcPr>
            <w:tcW w:w="2103" w:type="dxa"/>
          </w:tcPr>
          <w:p w14:paraId="2E006448" w14:textId="77777777" w:rsidR="00720442" w:rsidRDefault="0080011C">
            <w:pPr>
              <w:jc w:val="left"/>
            </w:pPr>
            <w:r>
              <w:t>Alta adopción y usabilidad percibida (n = 30 + 10)</w:t>
            </w:r>
          </w:p>
        </w:tc>
        <w:tc>
          <w:tcPr>
            <w:tcW w:w="1387" w:type="dxa"/>
          </w:tcPr>
          <w:p w14:paraId="6013F632" w14:textId="77777777" w:rsidR="00720442" w:rsidRDefault="0080011C">
            <w:pPr>
              <w:jc w:val="left"/>
            </w:pPr>
            <w:r>
              <w:t>Trazabilidad, codificación</w:t>
            </w:r>
          </w:p>
        </w:tc>
      </w:tr>
      <w:tr w:rsidR="00720442" w14:paraId="38C3D7B0" w14:textId="77777777">
        <w:tc>
          <w:tcPr>
            <w:tcW w:w="1745" w:type="dxa"/>
          </w:tcPr>
          <w:p w14:paraId="2F4099B7" w14:textId="77777777" w:rsidR="00720442" w:rsidRDefault="0080011C">
            <w:pPr>
              <w:jc w:val="left"/>
            </w:pPr>
            <w:r>
              <w:lastRenderedPageBreak/>
              <w:t>Porras Gamarra (2024)</w:t>
            </w:r>
          </w:p>
        </w:tc>
        <w:tc>
          <w:tcPr>
            <w:tcW w:w="1431" w:type="dxa"/>
          </w:tcPr>
          <w:p w14:paraId="5C55C6CA" w14:textId="77777777" w:rsidR="00720442" w:rsidRDefault="0080011C">
            <w:pPr>
              <w:jc w:val="left"/>
            </w:pPr>
            <w:r>
              <w:t>Suficiencia profesional</w:t>
            </w:r>
          </w:p>
        </w:tc>
        <w:tc>
          <w:tcPr>
            <w:tcW w:w="1252" w:type="dxa"/>
          </w:tcPr>
          <w:p w14:paraId="61B80DE5" w14:textId="77777777" w:rsidR="00720442" w:rsidRDefault="0080011C">
            <w:pPr>
              <w:jc w:val="left"/>
            </w:pPr>
            <w:r>
              <w:t>HL7 FHIR + openEHR</w:t>
            </w:r>
          </w:p>
        </w:tc>
        <w:tc>
          <w:tcPr>
            <w:tcW w:w="2103" w:type="dxa"/>
          </w:tcPr>
          <w:p w14:paraId="6CF9F436" w14:textId="77777777" w:rsidR="00720442" w:rsidRDefault="0080011C">
            <w:pPr>
              <w:jc w:val="left"/>
            </w:pPr>
            <w:r>
              <w:t>Viabilidad de FHIR + openEHR en Cataluña → recomendación para Perú</w:t>
            </w:r>
          </w:p>
        </w:tc>
        <w:tc>
          <w:tcPr>
            <w:tcW w:w="1387" w:type="dxa"/>
          </w:tcPr>
          <w:p w14:paraId="4C1ABCA5" w14:textId="77777777" w:rsidR="00720442" w:rsidRDefault="0080011C">
            <w:pPr>
              <w:jc w:val="left"/>
            </w:pPr>
            <w:r>
              <w:t>Completitud, codificación</w:t>
            </w:r>
          </w:p>
        </w:tc>
      </w:tr>
      <w:tr w:rsidR="00720442" w14:paraId="12ED5219" w14:textId="77777777">
        <w:tc>
          <w:tcPr>
            <w:tcW w:w="1745" w:type="dxa"/>
          </w:tcPr>
          <w:p w14:paraId="4C365B4B" w14:textId="77777777" w:rsidR="00720442" w:rsidRDefault="0080011C">
            <w:pPr>
              <w:jc w:val="left"/>
            </w:pPr>
            <w:r>
              <w:t>Arrué Pajares y Vargas Rioja (2022)</w:t>
            </w:r>
          </w:p>
        </w:tc>
        <w:tc>
          <w:tcPr>
            <w:tcW w:w="1431" w:type="dxa"/>
          </w:tcPr>
          <w:p w14:paraId="5C593CB6" w14:textId="77777777" w:rsidR="00720442" w:rsidRDefault="0080011C">
            <w:pPr>
              <w:jc w:val="left"/>
            </w:pPr>
            <w:r>
              <w:t>Desarrollo ágil (Scrum)</w:t>
            </w:r>
          </w:p>
        </w:tc>
        <w:tc>
          <w:tcPr>
            <w:tcW w:w="1252" w:type="dxa"/>
          </w:tcPr>
          <w:p w14:paraId="667B049B" w14:textId="77777777" w:rsidR="00720442" w:rsidRDefault="0080011C">
            <w:pPr>
              <w:jc w:val="left"/>
            </w:pPr>
            <w:r>
              <w:t>HL7 v2</w:t>
            </w:r>
          </w:p>
        </w:tc>
        <w:tc>
          <w:tcPr>
            <w:tcW w:w="2103" w:type="dxa"/>
          </w:tcPr>
          <w:p w14:paraId="186C9D21" w14:textId="77777777" w:rsidR="00720442" w:rsidRDefault="0080011C">
            <w:pPr>
              <w:jc w:val="left"/>
            </w:pPr>
            <w:r>
              <w:t>Factibilidad de interoperabilidad en centros II-1</w:t>
            </w:r>
          </w:p>
        </w:tc>
        <w:tc>
          <w:tcPr>
            <w:tcW w:w="1387" w:type="dxa"/>
          </w:tcPr>
          <w:p w14:paraId="19D4C745" w14:textId="77777777" w:rsidR="00720442" w:rsidRDefault="0080011C">
            <w:pPr>
              <w:jc w:val="left"/>
            </w:pPr>
            <w:r>
              <w:t>Duplicidad, completitud</w:t>
            </w:r>
          </w:p>
        </w:tc>
      </w:tr>
      <w:tr w:rsidR="00720442" w14:paraId="71FDCBB6" w14:textId="77777777">
        <w:tc>
          <w:tcPr>
            <w:tcW w:w="1745" w:type="dxa"/>
          </w:tcPr>
          <w:p w14:paraId="35734D1E" w14:textId="77777777" w:rsidR="00720442" w:rsidRDefault="0080011C">
            <w:pPr>
              <w:jc w:val="left"/>
            </w:pPr>
            <w:r>
              <w:t>Bayona Castañeda (2019)</w:t>
            </w:r>
          </w:p>
        </w:tc>
        <w:tc>
          <w:tcPr>
            <w:tcW w:w="1431" w:type="dxa"/>
          </w:tcPr>
          <w:p w14:paraId="23624F0B" w14:textId="77777777" w:rsidR="00720442" w:rsidRDefault="0080011C">
            <w:pPr>
              <w:jc w:val="left"/>
            </w:pPr>
            <w:r>
              <w:t>Diagnóstico estructural</w:t>
            </w:r>
          </w:p>
        </w:tc>
        <w:tc>
          <w:tcPr>
            <w:tcW w:w="1252" w:type="dxa"/>
          </w:tcPr>
          <w:p w14:paraId="0D7F15FE" w14:textId="77777777" w:rsidR="00720442" w:rsidRDefault="0080011C">
            <w:pPr>
              <w:jc w:val="left"/>
            </w:pPr>
            <w:r>
              <w:t>Marco normativo (RENHICE)</w:t>
            </w:r>
          </w:p>
        </w:tc>
        <w:tc>
          <w:tcPr>
            <w:tcW w:w="2103" w:type="dxa"/>
          </w:tcPr>
          <w:p w14:paraId="5F7B5F34" w14:textId="77777777" w:rsidR="00720442" w:rsidRDefault="0080011C">
            <w:pPr>
              <w:jc w:val="left"/>
            </w:pPr>
            <w:r>
              <w:t>Múltiples HC por paciente; fragmentación MINSA-EsSalud</w:t>
            </w:r>
          </w:p>
        </w:tc>
        <w:tc>
          <w:tcPr>
            <w:tcW w:w="1387" w:type="dxa"/>
          </w:tcPr>
          <w:p w14:paraId="1B0034FF" w14:textId="77777777" w:rsidR="00720442" w:rsidRDefault="0080011C">
            <w:pPr>
              <w:jc w:val="left"/>
            </w:pPr>
            <w:r>
              <w:t>Duplicidad, trazabilidad</w:t>
            </w:r>
          </w:p>
        </w:tc>
      </w:tr>
      <w:tr w:rsidR="00720442" w14:paraId="60CE62DF" w14:textId="77777777">
        <w:tc>
          <w:tcPr>
            <w:tcW w:w="1745" w:type="dxa"/>
          </w:tcPr>
          <w:p w14:paraId="307D0459" w14:textId="77777777" w:rsidR="00720442" w:rsidRDefault="0080011C">
            <w:pPr>
              <w:jc w:val="left"/>
            </w:pPr>
            <w:r>
              <w:t>Esparza Morgan (2025)</w:t>
            </w:r>
          </w:p>
        </w:tc>
        <w:tc>
          <w:tcPr>
            <w:tcW w:w="1431" w:type="dxa"/>
          </w:tcPr>
          <w:p w14:paraId="471C8E4B" w14:textId="77777777" w:rsidR="00720442" w:rsidRDefault="0080011C">
            <w:pPr>
              <w:jc w:val="left"/>
            </w:pPr>
            <w:r>
              <w:t>Correlacional</w:t>
            </w:r>
          </w:p>
        </w:tc>
        <w:tc>
          <w:tcPr>
            <w:tcW w:w="1252" w:type="dxa"/>
          </w:tcPr>
          <w:p w14:paraId="2D8BA36C" w14:textId="77777777" w:rsidR="00720442" w:rsidRDefault="0080011C">
            <w:pPr>
              <w:jc w:val="left"/>
            </w:pPr>
            <w:r>
              <w:t>HCE única</w:t>
            </w:r>
          </w:p>
        </w:tc>
        <w:tc>
          <w:tcPr>
            <w:tcW w:w="2103" w:type="dxa"/>
          </w:tcPr>
          <w:p w14:paraId="61092758" w14:textId="77777777" w:rsidR="00720442" w:rsidRDefault="0080011C">
            <w:pPr>
              <w:jc w:val="left"/>
            </w:pPr>
            <w:r>
              <w:t>Correlación positiva HCE–calidad de gestión</w:t>
            </w:r>
          </w:p>
        </w:tc>
        <w:tc>
          <w:tcPr>
            <w:tcW w:w="1387" w:type="dxa"/>
          </w:tcPr>
          <w:p w14:paraId="37375541" w14:textId="77777777" w:rsidR="00720442" w:rsidRDefault="0080011C">
            <w:pPr>
              <w:jc w:val="left"/>
            </w:pPr>
            <w:r>
              <w:t>Completitud</w:t>
            </w:r>
          </w:p>
        </w:tc>
      </w:tr>
      <w:tr w:rsidR="00720442" w14:paraId="6EC6DF3D" w14:textId="77777777">
        <w:tc>
          <w:tcPr>
            <w:tcW w:w="1745" w:type="dxa"/>
          </w:tcPr>
          <w:p w14:paraId="68B3F10E" w14:textId="77777777" w:rsidR="00720442" w:rsidRDefault="0080011C">
            <w:pPr>
              <w:jc w:val="left"/>
            </w:pPr>
            <w:r>
              <w:t>Arias Geronimo (2025)</w:t>
            </w:r>
          </w:p>
        </w:tc>
        <w:tc>
          <w:tcPr>
            <w:tcW w:w="1431" w:type="dxa"/>
          </w:tcPr>
          <w:p w14:paraId="5A33A371" w14:textId="77777777" w:rsidR="00720442" w:rsidRDefault="0080011C">
            <w:pPr>
              <w:jc w:val="left"/>
            </w:pPr>
            <w:r>
              <w:t>Correlacional</w:t>
            </w:r>
          </w:p>
        </w:tc>
        <w:tc>
          <w:tcPr>
            <w:tcW w:w="1252" w:type="dxa"/>
          </w:tcPr>
          <w:p w14:paraId="0A11FB79" w14:textId="77777777" w:rsidR="00720442" w:rsidRDefault="0080011C">
            <w:pPr>
              <w:jc w:val="left"/>
            </w:pPr>
            <w:r>
              <w:t>HCE (primer nivel)</w:t>
            </w:r>
          </w:p>
        </w:tc>
        <w:tc>
          <w:tcPr>
            <w:tcW w:w="2103" w:type="dxa"/>
          </w:tcPr>
          <w:p w14:paraId="6EE90721" w14:textId="77777777" w:rsidR="00720442" w:rsidRDefault="0080011C">
            <w:pPr>
              <w:jc w:val="left"/>
            </w:pPr>
            <w:r>
              <w:t>Confiabilidad de HCE → calidad de prestaciones preventivas</w:t>
            </w:r>
          </w:p>
        </w:tc>
        <w:tc>
          <w:tcPr>
            <w:tcW w:w="1387" w:type="dxa"/>
          </w:tcPr>
          <w:p w14:paraId="7CC36356" w14:textId="77777777" w:rsidR="00720442" w:rsidRDefault="0080011C">
            <w:pPr>
              <w:jc w:val="left"/>
            </w:pPr>
            <w:r>
              <w:t>Completitud, codificación</w:t>
            </w:r>
          </w:p>
        </w:tc>
      </w:tr>
      <w:tr w:rsidR="00720442" w14:paraId="782C2F2C" w14:textId="77777777">
        <w:tc>
          <w:tcPr>
            <w:tcW w:w="1745" w:type="dxa"/>
          </w:tcPr>
          <w:p w14:paraId="5E6F10E2" w14:textId="77777777" w:rsidR="00720442" w:rsidRDefault="0080011C">
            <w:pPr>
              <w:jc w:val="left"/>
            </w:pPr>
            <w:r>
              <w:t>Sánchez Calle (2024)</w:t>
            </w:r>
          </w:p>
        </w:tc>
        <w:tc>
          <w:tcPr>
            <w:tcW w:w="1431" w:type="dxa"/>
          </w:tcPr>
          <w:p w14:paraId="65E79354" w14:textId="77777777" w:rsidR="00720442" w:rsidRDefault="0080011C">
            <w:pPr>
              <w:jc w:val="left"/>
            </w:pPr>
            <w:r>
              <w:t>Propuesta arquitectónica</w:t>
            </w:r>
          </w:p>
        </w:tc>
        <w:tc>
          <w:tcPr>
            <w:tcW w:w="1252" w:type="dxa"/>
          </w:tcPr>
          <w:p w14:paraId="000BE692" w14:textId="77777777" w:rsidR="00720442" w:rsidRDefault="0080011C">
            <w:pPr>
              <w:jc w:val="left"/>
            </w:pPr>
            <w:r>
              <w:t>ISO 18308 + ISO 13606</w:t>
            </w:r>
          </w:p>
        </w:tc>
        <w:tc>
          <w:tcPr>
            <w:tcW w:w="2103" w:type="dxa"/>
          </w:tcPr>
          <w:p w14:paraId="6399157A" w14:textId="77777777" w:rsidR="00720442" w:rsidRDefault="0080011C">
            <w:pPr>
              <w:jc w:val="left"/>
            </w:pPr>
            <w:r>
              <w:t>Marco técnico para HCE ocupacional interoperable</w:t>
            </w:r>
          </w:p>
        </w:tc>
        <w:tc>
          <w:tcPr>
            <w:tcW w:w="1387" w:type="dxa"/>
          </w:tcPr>
          <w:p w14:paraId="02D9CA22" w14:textId="77777777" w:rsidR="00720442" w:rsidRDefault="0080011C">
            <w:pPr>
              <w:jc w:val="left"/>
            </w:pPr>
            <w:r>
              <w:t>Codificación, completitud</w:t>
            </w:r>
          </w:p>
        </w:tc>
      </w:tr>
      <w:tr w:rsidR="00720442" w14:paraId="2D7C6262" w14:textId="77777777">
        <w:tc>
          <w:tcPr>
            <w:tcW w:w="1745" w:type="dxa"/>
          </w:tcPr>
          <w:p w14:paraId="521AAD5C" w14:textId="77777777" w:rsidR="00720442" w:rsidRDefault="0080011C">
            <w:pPr>
              <w:jc w:val="left"/>
            </w:pPr>
            <w:r>
              <w:t>Fernández Infanzón y Huarac Cuizano (2021)</w:t>
            </w:r>
          </w:p>
        </w:tc>
        <w:tc>
          <w:tcPr>
            <w:tcW w:w="1431" w:type="dxa"/>
          </w:tcPr>
          <w:p w14:paraId="6479956F" w14:textId="77777777" w:rsidR="00720442" w:rsidRDefault="0080011C">
            <w:pPr>
              <w:jc w:val="left"/>
            </w:pPr>
            <w:r>
              <w:t>Plan de negocio</w:t>
            </w:r>
          </w:p>
        </w:tc>
        <w:tc>
          <w:tcPr>
            <w:tcW w:w="1252" w:type="dxa"/>
          </w:tcPr>
          <w:p w14:paraId="2766BC8F" w14:textId="77777777" w:rsidR="00720442" w:rsidRDefault="0080011C">
            <w:pPr>
              <w:jc w:val="left"/>
            </w:pPr>
            <w:r>
              <w:t>Blockchain + biometría</w:t>
            </w:r>
          </w:p>
        </w:tc>
        <w:tc>
          <w:tcPr>
            <w:tcW w:w="2103" w:type="dxa"/>
          </w:tcPr>
          <w:p w14:paraId="2B5C8FBE" w14:textId="77777777" w:rsidR="00720442" w:rsidRDefault="0080011C">
            <w:pPr>
              <w:jc w:val="left"/>
            </w:pPr>
            <w:r>
              <w:t>Esquema de implementación gradual entre IPRESS</w:t>
            </w:r>
          </w:p>
        </w:tc>
        <w:tc>
          <w:tcPr>
            <w:tcW w:w="1387" w:type="dxa"/>
          </w:tcPr>
          <w:p w14:paraId="1903450A" w14:textId="77777777" w:rsidR="00720442" w:rsidRDefault="0080011C">
            <w:pPr>
              <w:jc w:val="left"/>
            </w:pPr>
            <w:r>
              <w:t>Duplicidad, trazabilidad</w:t>
            </w:r>
          </w:p>
        </w:tc>
      </w:tr>
      <w:tr w:rsidR="00720442" w14:paraId="039A8D41" w14:textId="77777777">
        <w:tc>
          <w:tcPr>
            <w:tcW w:w="1745" w:type="dxa"/>
          </w:tcPr>
          <w:p w14:paraId="17D70399" w14:textId="77777777" w:rsidR="00720442" w:rsidRDefault="0080011C">
            <w:pPr>
              <w:jc w:val="left"/>
            </w:pPr>
            <w:r>
              <w:t>Bran et al. (2024)</w:t>
            </w:r>
          </w:p>
        </w:tc>
        <w:tc>
          <w:tcPr>
            <w:tcW w:w="1431" w:type="dxa"/>
          </w:tcPr>
          <w:p w14:paraId="2EB1CEB0" w14:textId="77777777" w:rsidR="00720442" w:rsidRDefault="0080011C">
            <w:pPr>
              <w:jc w:val="left"/>
            </w:pPr>
            <w:r>
              <w:t>Arquitectura híbrida</w:t>
            </w:r>
          </w:p>
        </w:tc>
        <w:tc>
          <w:tcPr>
            <w:tcW w:w="1252" w:type="dxa"/>
          </w:tcPr>
          <w:p w14:paraId="76530210" w14:textId="77777777" w:rsidR="00720442" w:rsidRDefault="0080011C">
            <w:pPr>
              <w:jc w:val="left"/>
            </w:pPr>
            <w:r>
              <w:t>HL7 + Blockchain + IPFS</w:t>
            </w:r>
          </w:p>
        </w:tc>
        <w:tc>
          <w:tcPr>
            <w:tcW w:w="2103" w:type="dxa"/>
          </w:tcPr>
          <w:p w14:paraId="69830EA1" w14:textId="77777777" w:rsidR="00720442" w:rsidRDefault="0080011C">
            <w:pPr>
              <w:jc w:val="left"/>
            </w:pPr>
            <w:r>
              <w:t>Mejora en auditabilidad e integridad</w:t>
            </w:r>
          </w:p>
        </w:tc>
        <w:tc>
          <w:tcPr>
            <w:tcW w:w="1387" w:type="dxa"/>
          </w:tcPr>
          <w:p w14:paraId="63D52934" w14:textId="77777777" w:rsidR="00720442" w:rsidRDefault="0080011C">
            <w:pPr>
              <w:jc w:val="left"/>
            </w:pPr>
            <w:r>
              <w:t>Trazabilidad, duplicidad</w:t>
            </w:r>
          </w:p>
        </w:tc>
      </w:tr>
      <w:tr w:rsidR="00720442" w14:paraId="40C8B2C4" w14:textId="77777777">
        <w:tc>
          <w:tcPr>
            <w:tcW w:w="1745" w:type="dxa"/>
          </w:tcPr>
          <w:p w14:paraId="5B29B687" w14:textId="77777777" w:rsidR="00720442" w:rsidRDefault="0080011C">
            <w:pPr>
              <w:jc w:val="left"/>
            </w:pPr>
            <w:r>
              <w:lastRenderedPageBreak/>
              <w:t>Morales-Camargo y Meneses-Claudio (2023)</w:t>
            </w:r>
          </w:p>
        </w:tc>
        <w:tc>
          <w:tcPr>
            <w:tcW w:w="1431" w:type="dxa"/>
          </w:tcPr>
          <w:p w14:paraId="6A4C308F" w14:textId="77777777" w:rsidR="00720442" w:rsidRDefault="0080011C">
            <w:pPr>
              <w:jc w:val="left"/>
            </w:pPr>
            <w:r>
              <w:t>Revisión sistemática</w:t>
            </w:r>
          </w:p>
        </w:tc>
        <w:tc>
          <w:tcPr>
            <w:tcW w:w="1252" w:type="dxa"/>
          </w:tcPr>
          <w:p w14:paraId="07EFBDC9" w14:textId="77777777" w:rsidR="00720442" w:rsidRDefault="0080011C">
            <w:pPr>
              <w:jc w:val="left"/>
            </w:pPr>
            <w:r>
              <w:t>EMR</w:t>
            </w:r>
          </w:p>
        </w:tc>
        <w:tc>
          <w:tcPr>
            <w:tcW w:w="2103" w:type="dxa"/>
          </w:tcPr>
          <w:p w14:paraId="135087B6" w14:textId="77777777" w:rsidR="00720442" w:rsidRDefault="0080011C">
            <w:pPr>
              <w:jc w:val="left"/>
            </w:pPr>
            <w:r>
              <w:t>Mejoras en acceso y soporte; barreras de adopción persistentes</w:t>
            </w:r>
          </w:p>
        </w:tc>
        <w:tc>
          <w:tcPr>
            <w:tcW w:w="1387" w:type="dxa"/>
          </w:tcPr>
          <w:p w14:paraId="137313BB" w14:textId="77777777" w:rsidR="00720442" w:rsidRDefault="0080011C">
            <w:pPr>
              <w:jc w:val="left"/>
            </w:pPr>
            <w:r>
              <w:t>Codificación, completitud</w:t>
            </w:r>
          </w:p>
        </w:tc>
      </w:tr>
    </w:tbl>
    <w:bookmarkEnd w:id="66"/>
    <w:p w14:paraId="6E7EEE21" w14:textId="77777777" w:rsidR="00720442" w:rsidRDefault="0080011C">
      <w:pPr>
        <w:jc w:val="center"/>
      </w:pPr>
      <w:r>
        <w:rPr>
          <w:i/>
          <w:iCs/>
          <w:sz w:val="20"/>
        </w:rPr>
        <w:t>Nota.</w:t>
      </w:r>
      <w:r>
        <w:rPr>
          <w:sz w:val="20"/>
        </w:rPr>
        <w:t xml:space="preserve"> Elaboración propia a partir de los antecedentes nacionales revisados.</w:t>
      </w:r>
    </w:p>
    <w:p w14:paraId="16825B88" w14:textId="77777777" w:rsidR="00720442" w:rsidRDefault="0080011C">
      <w:pPr>
        <w:pStyle w:val="Ttulo3"/>
      </w:pPr>
      <w:bookmarkStart w:id="68" w:name="síntesis-crítica-de-antecedentes"/>
      <w:bookmarkStart w:id="69" w:name="_Toc225939019"/>
      <w:bookmarkEnd w:id="62"/>
      <w:r>
        <w:t>2.1.3. Síntesis crítica de antecedentes</w:t>
      </w:r>
      <w:bookmarkEnd w:id="69"/>
    </w:p>
    <w:p w14:paraId="21FE277B" w14:textId="77777777" w:rsidR="00720442" w:rsidRDefault="0080011C">
      <w:r>
        <w:t>La revisión internacional y nacional muestra convergencia en cuatro hallazgos articulados con las dimensiones de calidad que esta tesis propone evaluar.</w:t>
      </w:r>
    </w:p>
    <w:p w14:paraId="2E3D6091" w14:textId="77777777" w:rsidR="00720442" w:rsidRDefault="0080011C">
      <w:r>
        <w:rPr>
          <w:b/>
          <w:bCs/>
        </w:rPr>
        <w:t xml:space="preserve">Primero, FHIR como estándar articulador del intercambio y su vínculo con la </w:t>
      </w:r>
      <w:r>
        <w:rPr>
          <w:b/>
          <w:bCs/>
          <w:i/>
          <w:iCs/>
        </w:rPr>
        <w:t>consistencia</w:t>
      </w:r>
      <w:r>
        <w:rPr>
          <w:b/>
          <w:bCs/>
        </w:rPr>
        <w:t xml:space="preserve"> del dato clínico.</w:t>
      </w:r>
      <w:r>
        <w:t xml:space="preserve"> </w:t>
      </w:r>
      <w:r>
        <w:t>Existe consenso sobre FHIR como eje técnico del intercambio (Vorisek et al., 2022; Torab-Miandoab et al., 2023; Tabari et al., 2024), pero su efectividad depende de perfiles, terminologías y reglas de implementación consistentes (Kramer y Moesel, 2023; Chatterjee et al., 2022; Monsen et al., 2023). Cuando los perfiles FHIR no son uniformes, los datos intercambiados pierden consistencia semántica entre emisor y receptor —dimensión que esta tesis medirá como indicador operativo—.</w:t>
      </w:r>
    </w:p>
    <w:p w14:paraId="03AE6E13" w14:textId="77777777" w:rsidR="00720442" w:rsidRDefault="0080011C">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Gaudet-Blavignac et al. (2021) demuestran que sin una estrategia semántica coordinada a escala nacional, los datos clínicos no están disponibles para uso secundario. La disponibilidad del intercambio —porcentaje de transacciones FHIR exitosas sobre el total esperado— es un indicador clave que la presen</w:t>
      </w:r>
      <w:r>
        <w:t>te investigación evaluará antes y después de la intervención.</w:t>
      </w:r>
    </w:p>
    <w:p w14:paraId="55C188BF" w14:textId="77777777" w:rsidR="00720442" w:rsidRDefault="0080011C">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w:t>
      </w:r>
      <w:r>
        <w:lastRenderedPageBreak/>
        <w:t>Esparza Morgan (2025) y Arias Geronimo (2025) aportan evidencia correlacional de que la madurez y confiabilidad de la HCE inciden en la calidad del servicio, pero ninguno mide directamente la integridad de los datos intercambiados</w:t>
      </w:r>
      <w:r>
        <w:t xml:space="preserve"> ni la completitud de los campos clínicos obligatorios. Morales-Camargo y Meneses-Claudio (2023) confirman que la adopción desigual de EMR perpetúa campos clínicos incompletos, hallazgo convergente con el contexto peruano que esta tesis busca diagnosticar.</w:t>
      </w:r>
    </w:p>
    <w:p w14:paraId="7CA7E9EA" w14:textId="77777777" w:rsidR="00720442" w:rsidRDefault="0080011C">
      <w:r>
        <w:rPr>
          <w:b/>
          <w:bCs/>
        </w:rPr>
        <w:t xml:space="preserve">Cuarto, trazabilidad y </w:t>
      </w:r>
      <w:r>
        <w:rPr>
          <w:b/>
          <w:bCs/>
          <w:i/>
          <w:iCs/>
        </w:rPr>
        <w:t>continuidad</w:t>
      </w:r>
      <w:r>
        <w:rPr>
          <w:b/>
          <w:bCs/>
        </w:rPr>
        <w:t xml:space="preserve"> del dato a lo largo del circuito clínico.</w:t>
      </w:r>
      <w:r>
        <w:t xml:space="preserve"> </w:t>
      </w:r>
      <w:r>
        <w:t>Las propuestas de blockchain aplicadas a la interoperabilidad (Bran et al., 2024; Fernández Infanzón y Huarac Cuizano,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50C5B0BD" w14:textId="77777777" w:rsidR="00720442" w:rsidRDefault="0080011C">
      <w:r>
        <w:t>En términos de brecha de investigación, aún son escasos los estudios nacionales que integren en un mismo diseño: (a) diagnóstico estructurado de brechas de completitud, codificación, duplicidad y trazabilidad; (b) implementación técnica alineada a HL7 FHIR; y (c) evaluación pre-post con indicadores de integridad, consistencia, disponibilidad y continuidad del intercambio clínico. Esta brecha justifica el enfoque trifásico de la presente tesis y orienta su aporte incremental frente al estado del arte.</w:t>
      </w:r>
    </w:p>
    <w:p w14:paraId="4B1A30E1" w14:textId="77777777" w:rsidR="00720442" w:rsidRDefault="0080011C">
      <w:r>
        <w:t>La Tabla 6 presenta la correspondencia entre los antecedentes revisados y las cuatro dimensiones de calidad del intercambio de información clínica que constituyen la variable dependiente de esta investigación, evidenciando las brechas de cobertura que justifican el presente estudio.</w:t>
      </w:r>
    </w:p>
    <w:p w14:paraId="46D208FF" w14:textId="03450960" w:rsidR="00720442" w:rsidRDefault="0080011C">
      <w:bookmarkStart w:id="70" w:name="tbl:correspondencia-dimensiones"/>
      <w:bookmarkStart w:id="71" w:name="_Toc225939032"/>
      <w:r>
        <w:t xml:space="preserve">Tabla </w:t>
      </w:r>
      <w:r>
        <w:fldChar w:fldCharType="begin"/>
      </w:r>
      <w:r>
        <w:instrText xml:space="preserve"> SEQ Table \* ARABIC </w:instrText>
      </w:r>
      <w:r>
        <w:fldChar w:fldCharType="separate"/>
      </w:r>
      <w:r w:rsidR="005314D4">
        <w:rPr>
          <w:noProof/>
        </w:rPr>
        <w:t>6</w:t>
      </w:r>
      <w:r>
        <w:fldChar w:fldCharType="end"/>
      </w:r>
      <w:r>
        <w:t>. Correspondencia entre antecedentes y dimensiones de calidad del intercambio evaluadas</w:t>
      </w:r>
      <w:bookmarkEnd w:id="7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rrespondencia entre antecedentes y dimensiones de calidad del intercambio evaluadas"/>
      </w:tblPr>
      <w:tblGrid>
        <w:gridCol w:w="5781"/>
        <w:gridCol w:w="741"/>
        <w:gridCol w:w="741"/>
        <w:gridCol w:w="741"/>
        <w:gridCol w:w="741"/>
      </w:tblGrid>
      <w:tr w:rsidR="00720442" w14:paraId="50F8BB6C" w14:textId="77777777">
        <w:trPr>
          <w:tblHeader/>
        </w:trPr>
        <w:tc>
          <w:tcPr>
            <w:tcW w:w="5235" w:type="dxa"/>
          </w:tcPr>
          <w:p w14:paraId="02AFEFA3" w14:textId="77777777" w:rsidR="00720442" w:rsidRDefault="0080011C">
            <w:pPr>
              <w:jc w:val="left"/>
            </w:pPr>
            <w:r>
              <w:lastRenderedPageBreak/>
              <w:t>Antecedente</w:t>
            </w:r>
          </w:p>
        </w:tc>
        <w:tc>
          <w:tcPr>
            <w:tcW w:w="671" w:type="dxa"/>
          </w:tcPr>
          <w:p w14:paraId="32890141" w14:textId="77777777" w:rsidR="00720442" w:rsidRDefault="0080011C">
            <w:pPr>
              <w:jc w:val="center"/>
            </w:pPr>
            <w:r>
              <w:t>Integridad (completitud)</w:t>
            </w:r>
          </w:p>
        </w:tc>
        <w:tc>
          <w:tcPr>
            <w:tcW w:w="671" w:type="dxa"/>
          </w:tcPr>
          <w:p w14:paraId="4D01E791" w14:textId="77777777" w:rsidR="00720442" w:rsidRDefault="0080011C">
            <w:pPr>
              <w:jc w:val="center"/>
            </w:pPr>
            <w:r>
              <w:t>Consistencia (codificación)</w:t>
            </w:r>
          </w:p>
        </w:tc>
        <w:tc>
          <w:tcPr>
            <w:tcW w:w="671" w:type="dxa"/>
          </w:tcPr>
          <w:p w14:paraId="5D1D850F" w14:textId="77777777" w:rsidR="00720442" w:rsidRDefault="0080011C">
            <w:pPr>
              <w:jc w:val="center"/>
            </w:pPr>
            <w:r>
              <w:t>Disponibilidad (intercambio)</w:t>
            </w:r>
          </w:p>
        </w:tc>
        <w:tc>
          <w:tcPr>
            <w:tcW w:w="671" w:type="dxa"/>
          </w:tcPr>
          <w:p w14:paraId="5086730E" w14:textId="77777777" w:rsidR="00720442" w:rsidRDefault="0080011C">
            <w:pPr>
              <w:jc w:val="center"/>
            </w:pPr>
            <w:r>
              <w:t>Continuidad (trazabilidad)</w:t>
            </w:r>
          </w:p>
        </w:tc>
      </w:tr>
      <w:tr w:rsidR="00720442" w14:paraId="41F1DFE5" w14:textId="77777777">
        <w:tc>
          <w:tcPr>
            <w:tcW w:w="5235" w:type="dxa"/>
          </w:tcPr>
          <w:p w14:paraId="713B082E" w14:textId="77777777" w:rsidR="00720442" w:rsidRDefault="0080011C">
            <w:pPr>
              <w:jc w:val="left"/>
            </w:pPr>
            <w:r>
              <w:rPr>
                <w:b/>
                <w:bCs/>
              </w:rPr>
              <w:t>Internacionales</w:t>
            </w:r>
          </w:p>
        </w:tc>
        <w:tc>
          <w:tcPr>
            <w:tcW w:w="671" w:type="dxa"/>
          </w:tcPr>
          <w:p w14:paraId="00B5C6C6" w14:textId="77777777" w:rsidR="00720442" w:rsidRDefault="00720442"/>
        </w:tc>
        <w:tc>
          <w:tcPr>
            <w:tcW w:w="671" w:type="dxa"/>
          </w:tcPr>
          <w:p w14:paraId="5897495C" w14:textId="77777777" w:rsidR="00720442" w:rsidRDefault="00720442"/>
        </w:tc>
        <w:tc>
          <w:tcPr>
            <w:tcW w:w="671" w:type="dxa"/>
          </w:tcPr>
          <w:p w14:paraId="3EE62770" w14:textId="77777777" w:rsidR="00720442" w:rsidRDefault="00720442"/>
        </w:tc>
        <w:tc>
          <w:tcPr>
            <w:tcW w:w="671" w:type="dxa"/>
          </w:tcPr>
          <w:p w14:paraId="1E83D0E7" w14:textId="77777777" w:rsidR="00720442" w:rsidRDefault="00720442"/>
        </w:tc>
      </w:tr>
      <w:tr w:rsidR="00720442" w14:paraId="1EBA683A" w14:textId="77777777">
        <w:tc>
          <w:tcPr>
            <w:tcW w:w="5235" w:type="dxa"/>
          </w:tcPr>
          <w:p w14:paraId="772733F2" w14:textId="77777777" w:rsidR="00720442" w:rsidRDefault="0080011C">
            <w:pPr>
              <w:jc w:val="left"/>
            </w:pPr>
            <w:r>
              <w:t>Adelusi et al. (2025)</w:t>
            </w:r>
          </w:p>
        </w:tc>
        <w:tc>
          <w:tcPr>
            <w:tcW w:w="671" w:type="dxa"/>
          </w:tcPr>
          <w:p w14:paraId="3600D05D" w14:textId="77777777" w:rsidR="00720442" w:rsidRDefault="0080011C">
            <w:pPr>
              <w:jc w:val="center"/>
            </w:pPr>
            <w:r>
              <w:t>✓</w:t>
            </w:r>
          </w:p>
        </w:tc>
        <w:tc>
          <w:tcPr>
            <w:tcW w:w="671" w:type="dxa"/>
          </w:tcPr>
          <w:p w14:paraId="58464697" w14:textId="77777777" w:rsidR="00720442" w:rsidRDefault="0080011C">
            <w:pPr>
              <w:jc w:val="center"/>
            </w:pPr>
            <w:r>
              <w:t>✓</w:t>
            </w:r>
          </w:p>
        </w:tc>
        <w:tc>
          <w:tcPr>
            <w:tcW w:w="671" w:type="dxa"/>
          </w:tcPr>
          <w:p w14:paraId="1B0F01A6" w14:textId="77777777" w:rsidR="00720442" w:rsidRDefault="0080011C">
            <w:pPr>
              <w:jc w:val="center"/>
            </w:pPr>
            <w:r>
              <w:t>✓</w:t>
            </w:r>
          </w:p>
        </w:tc>
        <w:tc>
          <w:tcPr>
            <w:tcW w:w="671" w:type="dxa"/>
          </w:tcPr>
          <w:p w14:paraId="29BEFB46" w14:textId="77777777" w:rsidR="00720442" w:rsidRDefault="0080011C">
            <w:pPr>
              <w:jc w:val="center"/>
            </w:pPr>
            <w:r>
              <w:t>✓</w:t>
            </w:r>
          </w:p>
        </w:tc>
      </w:tr>
      <w:tr w:rsidR="00720442" w14:paraId="19C0A0F1" w14:textId="77777777">
        <w:tc>
          <w:tcPr>
            <w:tcW w:w="5235" w:type="dxa"/>
          </w:tcPr>
          <w:p w14:paraId="703D2A98" w14:textId="77777777" w:rsidR="00720442" w:rsidRDefault="0080011C">
            <w:pPr>
              <w:jc w:val="left"/>
            </w:pPr>
            <w:r>
              <w:t>Heryawan et al. (2025)</w:t>
            </w:r>
          </w:p>
        </w:tc>
        <w:tc>
          <w:tcPr>
            <w:tcW w:w="671" w:type="dxa"/>
          </w:tcPr>
          <w:p w14:paraId="75980BE4" w14:textId="77777777" w:rsidR="00720442" w:rsidRDefault="00720442"/>
        </w:tc>
        <w:tc>
          <w:tcPr>
            <w:tcW w:w="671" w:type="dxa"/>
          </w:tcPr>
          <w:p w14:paraId="650D21A3" w14:textId="77777777" w:rsidR="00720442" w:rsidRDefault="0080011C">
            <w:pPr>
              <w:jc w:val="center"/>
            </w:pPr>
            <w:r>
              <w:t>✓</w:t>
            </w:r>
          </w:p>
        </w:tc>
        <w:tc>
          <w:tcPr>
            <w:tcW w:w="671" w:type="dxa"/>
          </w:tcPr>
          <w:p w14:paraId="43D05523" w14:textId="77777777" w:rsidR="00720442" w:rsidRDefault="0080011C">
            <w:pPr>
              <w:jc w:val="center"/>
            </w:pPr>
            <w:r>
              <w:t>✓</w:t>
            </w:r>
          </w:p>
        </w:tc>
        <w:tc>
          <w:tcPr>
            <w:tcW w:w="671" w:type="dxa"/>
          </w:tcPr>
          <w:p w14:paraId="2A5F0146" w14:textId="77777777" w:rsidR="00720442" w:rsidRDefault="00720442"/>
        </w:tc>
      </w:tr>
      <w:tr w:rsidR="00720442" w14:paraId="5B0C0B22" w14:textId="77777777">
        <w:tc>
          <w:tcPr>
            <w:tcW w:w="5235" w:type="dxa"/>
          </w:tcPr>
          <w:p w14:paraId="0DEAEE1C" w14:textId="77777777" w:rsidR="00720442" w:rsidRDefault="0080011C">
            <w:pPr>
              <w:jc w:val="left"/>
            </w:pPr>
            <w:r>
              <w:t>Amar et al. (2024)</w:t>
            </w:r>
          </w:p>
        </w:tc>
        <w:tc>
          <w:tcPr>
            <w:tcW w:w="671" w:type="dxa"/>
          </w:tcPr>
          <w:p w14:paraId="08BD5043" w14:textId="77777777" w:rsidR="00720442" w:rsidRDefault="00720442"/>
        </w:tc>
        <w:tc>
          <w:tcPr>
            <w:tcW w:w="671" w:type="dxa"/>
          </w:tcPr>
          <w:p w14:paraId="61BCD4A2" w14:textId="77777777" w:rsidR="00720442" w:rsidRDefault="0080011C">
            <w:pPr>
              <w:jc w:val="center"/>
            </w:pPr>
            <w:r>
              <w:t>✓</w:t>
            </w:r>
          </w:p>
        </w:tc>
        <w:tc>
          <w:tcPr>
            <w:tcW w:w="671" w:type="dxa"/>
          </w:tcPr>
          <w:p w14:paraId="243630D5" w14:textId="77777777" w:rsidR="00720442" w:rsidRDefault="00720442"/>
        </w:tc>
        <w:tc>
          <w:tcPr>
            <w:tcW w:w="671" w:type="dxa"/>
          </w:tcPr>
          <w:p w14:paraId="4DFC1705" w14:textId="77777777" w:rsidR="00720442" w:rsidRDefault="00720442"/>
        </w:tc>
      </w:tr>
      <w:tr w:rsidR="00720442" w14:paraId="01ABEB32" w14:textId="77777777">
        <w:tc>
          <w:tcPr>
            <w:tcW w:w="5235" w:type="dxa"/>
          </w:tcPr>
          <w:p w14:paraId="7813FBE7" w14:textId="77777777" w:rsidR="00720442" w:rsidRDefault="0080011C">
            <w:pPr>
              <w:jc w:val="left"/>
            </w:pPr>
            <w:r>
              <w:t>Tabari et al. (2024)</w:t>
            </w:r>
          </w:p>
        </w:tc>
        <w:tc>
          <w:tcPr>
            <w:tcW w:w="671" w:type="dxa"/>
          </w:tcPr>
          <w:p w14:paraId="31B3C3FB" w14:textId="77777777" w:rsidR="00720442" w:rsidRDefault="0080011C">
            <w:pPr>
              <w:jc w:val="center"/>
            </w:pPr>
            <w:r>
              <w:t>✓</w:t>
            </w:r>
          </w:p>
        </w:tc>
        <w:tc>
          <w:tcPr>
            <w:tcW w:w="671" w:type="dxa"/>
          </w:tcPr>
          <w:p w14:paraId="58723FC9" w14:textId="77777777" w:rsidR="00720442" w:rsidRDefault="00720442"/>
        </w:tc>
        <w:tc>
          <w:tcPr>
            <w:tcW w:w="671" w:type="dxa"/>
          </w:tcPr>
          <w:p w14:paraId="3205E66D" w14:textId="77777777" w:rsidR="00720442" w:rsidRDefault="00720442"/>
        </w:tc>
        <w:tc>
          <w:tcPr>
            <w:tcW w:w="671" w:type="dxa"/>
          </w:tcPr>
          <w:p w14:paraId="2765A65C" w14:textId="77777777" w:rsidR="00720442" w:rsidRDefault="00720442"/>
        </w:tc>
      </w:tr>
      <w:tr w:rsidR="00720442" w14:paraId="4BD8E1D3" w14:textId="77777777">
        <w:tc>
          <w:tcPr>
            <w:tcW w:w="5235" w:type="dxa"/>
          </w:tcPr>
          <w:p w14:paraId="3B6A937D" w14:textId="77777777" w:rsidR="00720442" w:rsidRDefault="0080011C">
            <w:pPr>
              <w:jc w:val="left"/>
            </w:pPr>
            <w:r>
              <w:t>Torab-Miandoab et al. (2023)</w:t>
            </w:r>
          </w:p>
        </w:tc>
        <w:tc>
          <w:tcPr>
            <w:tcW w:w="671" w:type="dxa"/>
          </w:tcPr>
          <w:p w14:paraId="02A8F058" w14:textId="77777777" w:rsidR="00720442" w:rsidRDefault="00720442"/>
        </w:tc>
        <w:tc>
          <w:tcPr>
            <w:tcW w:w="671" w:type="dxa"/>
          </w:tcPr>
          <w:p w14:paraId="2619007D" w14:textId="77777777" w:rsidR="00720442" w:rsidRDefault="0080011C">
            <w:pPr>
              <w:jc w:val="center"/>
            </w:pPr>
            <w:r>
              <w:t>✓</w:t>
            </w:r>
          </w:p>
        </w:tc>
        <w:tc>
          <w:tcPr>
            <w:tcW w:w="671" w:type="dxa"/>
          </w:tcPr>
          <w:p w14:paraId="28348ECF" w14:textId="77777777" w:rsidR="00720442" w:rsidRDefault="00720442"/>
        </w:tc>
        <w:tc>
          <w:tcPr>
            <w:tcW w:w="671" w:type="dxa"/>
          </w:tcPr>
          <w:p w14:paraId="03576C0D" w14:textId="77777777" w:rsidR="00720442" w:rsidRDefault="00720442"/>
        </w:tc>
      </w:tr>
      <w:tr w:rsidR="00720442" w14:paraId="0CE1CE75" w14:textId="77777777">
        <w:tc>
          <w:tcPr>
            <w:tcW w:w="5235" w:type="dxa"/>
          </w:tcPr>
          <w:p w14:paraId="5A5C30D8" w14:textId="77777777" w:rsidR="00720442" w:rsidRDefault="0080011C">
            <w:pPr>
              <w:jc w:val="left"/>
            </w:pPr>
            <w:r>
              <w:t>Holmgren et al. (2023)</w:t>
            </w:r>
          </w:p>
        </w:tc>
        <w:tc>
          <w:tcPr>
            <w:tcW w:w="671" w:type="dxa"/>
          </w:tcPr>
          <w:p w14:paraId="1DCABC77" w14:textId="77777777" w:rsidR="00720442" w:rsidRDefault="00720442"/>
        </w:tc>
        <w:tc>
          <w:tcPr>
            <w:tcW w:w="671" w:type="dxa"/>
          </w:tcPr>
          <w:p w14:paraId="05ACED96" w14:textId="77777777" w:rsidR="00720442" w:rsidRDefault="00720442"/>
        </w:tc>
        <w:tc>
          <w:tcPr>
            <w:tcW w:w="671" w:type="dxa"/>
          </w:tcPr>
          <w:p w14:paraId="56234A7D" w14:textId="77777777" w:rsidR="00720442" w:rsidRDefault="0080011C">
            <w:pPr>
              <w:jc w:val="center"/>
            </w:pPr>
            <w:r>
              <w:t>✓</w:t>
            </w:r>
          </w:p>
        </w:tc>
        <w:tc>
          <w:tcPr>
            <w:tcW w:w="671" w:type="dxa"/>
          </w:tcPr>
          <w:p w14:paraId="22ED83B0" w14:textId="77777777" w:rsidR="00720442" w:rsidRDefault="00720442"/>
        </w:tc>
      </w:tr>
      <w:tr w:rsidR="00720442" w14:paraId="79A840C7" w14:textId="77777777">
        <w:tc>
          <w:tcPr>
            <w:tcW w:w="5235" w:type="dxa"/>
          </w:tcPr>
          <w:p w14:paraId="4DBA17F9" w14:textId="77777777" w:rsidR="00720442" w:rsidRDefault="0080011C">
            <w:pPr>
              <w:jc w:val="left"/>
            </w:pPr>
            <w:r>
              <w:t>Richwine et al. (2025)</w:t>
            </w:r>
          </w:p>
        </w:tc>
        <w:tc>
          <w:tcPr>
            <w:tcW w:w="671" w:type="dxa"/>
          </w:tcPr>
          <w:p w14:paraId="77369182" w14:textId="77777777" w:rsidR="00720442" w:rsidRDefault="00720442"/>
        </w:tc>
        <w:tc>
          <w:tcPr>
            <w:tcW w:w="671" w:type="dxa"/>
          </w:tcPr>
          <w:p w14:paraId="03791135" w14:textId="77777777" w:rsidR="00720442" w:rsidRDefault="00720442"/>
        </w:tc>
        <w:tc>
          <w:tcPr>
            <w:tcW w:w="671" w:type="dxa"/>
          </w:tcPr>
          <w:p w14:paraId="5695BDCC" w14:textId="77777777" w:rsidR="00720442" w:rsidRDefault="0080011C">
            <w:pPr>
              <w:jc w:val="center"/>
            </w:pPr>
            <w:r>
              <w:t>✓</w:t>
            </w:r>
          </w:p>
        </w:tc>
        <w:tc>
          <w:tcPr>
            <w:tcW w:w="671" w:type="dxa"/>
          </w:tcPr>
          <w:p w14:paraId="499F2701" w14:textId="77777777" w:rsidR="00720442" w:rsidRDefault="00720442"/>
        </w:tc>
      </w:tr>
      <w:tr w:rsidR="00720442" w14:paraId="16F75B8C" w14:textId="77777777">
        <w:tc>
          <w:tcPr>
            <w:tcW w:w="5235" w:type="dxa"/>
          </w:tcPr>
          <w:p w14:paraId="46CA1651" w14:textId="77777777" w:rsidR="00720442" w:rsidRDefault="0080011C">
            <w:pPr>
              <w:jc w:val="left"/>
            </w:pPr>
            <w:r>
              <w:t>Vorisek et al. (2022)</w:t>
            </w:r>
          </w:p>
        </w:tc>
        <w:tc>
          <w:tcPr>
            <w:tcW w:w="671" w:type="dxa"/>
          </w:tcPr>
          <w:p w14:paraId="51C6FD5D" w14:textId="77777777" w:rsidR="00720442" w:rsidRDefault="00720442"/>
        </w:tc>
        <w:tc>
          <w:tcPr>
            <w:tcW w:w="671" w:type="dxa"/>
          </w:tcPr>
          <w:p w14:paraId="59F2ADC1" w14:textId="77777777" w:rsidR="00720442" w:rsidRDefault="0080011C">
            <w:pPr>
              <w:jc w:val="center"/>
            </w:pPr>
            <w:r>
              <w:t>✓</w:t>
            </w:r>
          </w:p>
        </w:tc>
        <w:tc>
          <w:tcPr>
            <w:tcW w:w="671" w:type="dxa"/>
          </w:tcPr>
          <w:p w14:paraId="4E009E34" w14:textId="77777777" w:rsidR="00720442" w:rsidRDefault="00720442"/>
        </w:tc>
        <w:tc>
          <w:tcPr>
            <w:tcW w:w="671" w:type="dxa"/>
          </w:tcPr>
          <w:p w14:paraId="08C2099C" w14:textId="77777777" w:rsidR="00720442" w:rsidRDefault="00720442"/>
        </w:tc>
      </w:tr>
      <w:tr w:rsidR="00720442" w14:paraId="5DBFA1E6" w14:textId="77777777">
        <w:tc>
          <w:tcPr>
            <w:tcW w:w="5235" w:type="dxa"/>
          </w:tcPr>
          <w:p w14:paraId="2A7FD457" w14:textId="77777777" w:rsidR="00720442" w:rsidRDefault="0080011C">
            <w:pPr>
              <w:jc w:val="left"/>
            </w:pPr>
            <w:r>
              <w:t>Chatterjee et al. (2022)</w:t>
            </w:r>
          </w:p>
        </w:tc>
        <w:tc>
          <w:tcPr>
            <w:tcW w:w="671" w:type="dxa"/>
          </w:tcPr>
          <w:p w14:paraId="0501D637" w14:textId="77777777" w:rsidR="00720442" w:rsidRDefault="00720442"/>
        </w:tc>
        <w:tc>
          <w:tcPr>
            <w:tcW w:w="671" w:type="dxa"/>
          </w:tcPr>
          <w:p w14:paraId="3283AFD5" w14:textId="77777777" w:rsidR="00720442" w:rsidRDefault="0080011C">
            <w:pPr>
              <w:jc w:val="center"/>
            </w:pPr>
            <w:r>
              <w:t>✓</w:t>
            </w:r>
          </w:p>
        </w:tc>
        <w:tc>
          <w:tcPr>
            <w:tcW w:w="671" w:type="dxa"/>
          </w:tcPr>
          <w:p w14:paraId="00FD4C89" w14:textId="77777777" w:rsidR="00720442" w:rsidRDefault="00720442"/>
        </w:tc>
        <w:tc>
          <w:tcPr>
            <w:tcW w:w="671" w:type="dxa"/>
          </w:tcPr>
          <w:p w14:paraId="106DC232" w14:textId="77777777" w:rsidR="00720442" w:rsidRDefault="00720442"/>
        </w:tc>
      </w:tr>
      <w:tr w:rsidR="00720442" w14:paraId="50AB29A3" w14:textId="77777777">
        <w:tc>
          <w:tcPr>
            <w:tcW w:w="5235" w:type="dxa"/>
          </w:tcPr>
          <w:p w14:paraId="1BB2E091" w14:textId="77777777" w:rsidR="00720442" w:rsidRDefault="0080011C">
            <w:pPr>
              <w:jc w:val="left"/>
            </w:pPr>
            <w:r>
              <w:t>Gaudet-Blavignac et al. (2021)</w:t>
            </w:r>
          </w:p>
        </w:tc>
        <w:tc>
          <w:tcPr>
            <w:tcW w:w="671" w:type="dxa"/>
          </w:tcPr>
          <w:p w14:paraId="385DDAF7" w14:textId="77777777" w:rsidR="00720442" w:rsidRDefault="0080011C">
            <w:pPr>
              <w:jc w:val="center"/>
            </w:pPr>
            <w:r>
              <w:t>✓</w:t>
            </w:r>
          </w:p>
        </w:tc>
        <w:tc>
          <w:tcPr>
            <w:tcW w:w="671" w:type="dxa"/>
          </w:tcPr>
          <w:p w14:paraId="03A609BB" w14:textId="77777777" w:rsidR="00720442" w:rsidRDefault="00720442"/>
        </w:tc>
        <w:tc>
          <w:tcPr>
            <w:tcW w:w="671" w:type="dxa"/>
          </w:tcPr>
          <w:p w14:paraId="13CFEFCD" w14:textId="77777777" w:rsidR="00720442" w:rsidRDefault="00720442"/>
        </w:tc>
        <w:tc>
          <w:tcPr>
            <w:tcW w:w="671" w:type="dxa"/>
          </w:tcPr>
          <w:p w14:paraId="2B2F4D09" w14:textId="77777777" w:rsidR="00720442" w:rsidRDefault="00720442"/>
        </w:tc>
      </w:tr>
      <w:tr w:rsidR="00720442" w14:paraId="7D4051E1" w14:textId="77777777">
        <w:tc>
          <w:tcPr>
            <w:tcW w:w="5235" w:type="dxa"/>
          </w:tcPr>
          <w:p w14:paraId="5169241C" w14:textId="77777777" w:rsidR="00720442" w:rsidRDefault="0080011C">
            <w:pPr>
              <w:jc w:val="left"/>
            </w:pPr>
            <w:r>
              <w:t>Gazzarata et al. (2024)</w:t>
            </w:r>
          </w:p>
        </w:tc>
        <w:tc>
          <w:tcPr>
            <w:tcW w:w="671" w:type="dxa"/>
          </w:tcPr>
          <w:p w14:paraId="499B3477" w14:textId="77777777" w:rsidR="00720442" w:rsidRDefault="00720442"/>
        </w:tc>
        <w:tc>
          <w:tcPr>
            <w:tcW w:w="671" w:type="dxa"/>
          </w:tcPr>
          <w:p w14:paraId="6238A174" w14:textId="77777777" w:rsidR="00720442" w:rsidRDefault="00720442"/>
        </w:tc>
        <w:tc>
          <w:tcPr>
            <w:tcW w:w="671" w:type="dxa"/>
          </w:tcPr>
          <w:p w14:paraId="3196D262" w14:textId="77777777" w:rsidR="00720442" w:rsidRDefault="00720442"/>
        </w:tc>
        <w:tc>
          <w:tcPr>
            <w:tcW w:w="671" w:type="dxa"/>
          </w:tcPr>
          <w:p w14:paraId="0211BB05" w14:textId="77777777" w:rsidR="00720442" w:rsidRDefault="0080011C">
            <w:pPr>
              <w:jc w:val="center"/>
            </w:pPr>
            <w:r>
              <w:t>✓</w:t>
            </w:r>
          </w:p>
        </w:tc>
      </w:tr>
      <w:tr w:rsidR="00720442" w14:paraId="34127607" w14:textId="77777777">
        <w:tc>
          <w:tcPr>
            <w:tcW w:w="5235" w:type="dxa"/>
          </w:tcPr>
          <w:p w14:paraId="2792253F" w14:textId="77777777" w:rsidR="00720442" w:rsidRDefault="0080011C">
            <w:pPr>
              <w:jc w:val="left"/>
            </w:pPr>
            <w:r>
              <w:t>Liu et al. (2023)</w:t>
            </w:r>
          </w:p>
        </w:tc>
        <w:tc>
          <w:tcPr>
            <w:tcW w:w="671" w:type="dxa"/>
          </w:tcPr>
          <w:p w14:paraId="2CAB99B6" w14:textId="77777777" w:rsidR="00720442" w:rsidRDefault="00720442"/>
        </w:tc>
        <w:tc>
          <w:tcPr>
            <w:tcW w:w="671" w:type="dxa"/>
          </w:tcPr>
          <w:p w14:paraId="4E349AF5" w14:textId="77777777" w:rsidR="00720442" w:rsidRDefault="00720442"/>
        </w:tc>
        <w:tc>
          <w:tcPr>
            <w:tcW w:w="671" w:type="dxa"/>
          </w:tcPr>
          <w:p w14:paraId="5329798D" w14:textId="77777777" w:rsidR="00720442" w:rsidRDefault="0080011C">
            <w:pPr>
              <w:jc w:val="center"/>
            </w:pPr>
            <w:r>
              <w:t>✓</w:t>
            </w:r>
          </w:p>
        </w:tc>
        <w:tc>
          <w:tcPr>
            <w:tcW w:w="671" w:type="dxa"/>
          </w:tcPr>
          <w:p w14:paraId="7928FA2D" w14:textId="77777777" w:rsidR="00720442" w:rsidRDefault="00720442"/>
        </w:tc>
      </w:tr>
      <w:tr w:rsidR="00720442" w14:paraId="621101FC" w14:textId="77777777">
        <w:tc>
          <w:tcPr>
            <w:tcW w:w="5235" w:type="dxa"/>
          </w:tcPr>
          <w:p w14:paraId="4346B0C0" w14:textId="77777777" w:rsidR="00720442" w:rsidRDefault="0080011C">
            <w:pPr>
              <w:jc w:val="left"/>
            </w:pPr>
            <w:r>
              <w:t>Fernandez et al. (2025)</w:t>
            </w:r>
          </w:p>
        </w:tc>
        <w:tc>
          <w:tcPr>
            <w:tcW w:w="671" w:type="dxa"/>
          </w:tcPr>
          <w:p w14:paraId="09F79729" w14:textId="77777777" w:rsidR="00720442" w:rsidRDefault="00720442"/>
        </w:tc>
        <w:tc>
          <w:tcPr>
            <w:tcW w:w="671" w:type="dxa"/>
          </w:tcPr>
          <w:p w14:paraId="7A6EB876" w14:textId="77777777" w:rsidR="00720442" w:rsidRDefault="00720442"/>
        </w:tc>
        <w:tc>
          <w:tcPr>
            <w:tcW w:w="671" w:type="dxa"/>
          </w:tcPr>
          <w:p w14:paraId="04A78C65" w14:textId="77777777" w:rsidR="00720442" w:rsidRDefault="0080011C">
            <w:pPr>
              <w:jc w:val="center"/>
            </w:pPr>
            <w:r>
              <w:t>✓</w:t>
            </w:r>
          </w:p>
        </w:tc>
        <w:tc>
          <w:tcPr>
            <w:tcW w:w="671" w:type="dxa"/>
          </w:tcPr>
          <w:p w14:paraId="2AC1A62E" w14:textId="77777777" w:rsidR="00720442" w:rsidRDefault="0080011C">
            <w:pPr>
              <w:jc w:val="center"/>
            </w:pPr>
            <w:r>
              <w:t>✓</w:t>
            </w:r>
          </w:p>
        </w:tc>
      </w:tr>
      <w:tr w:rsidR="00720442" w14:paraId="3082FC50" w14:textId="77777777">
        <w:tc>
          <w:tcPr>
            <w:tcW w:w="5235" w:type="dxa"/>
          </w:tcPr>
          <w:p w14:paraId="41860121" w14:textId="77777777" w:rsidR="00720442" w:rsidRDefault="0080011C">
            <w:pPr>
              <w:jc w:val="left"/>
            </w:pPr>
            <w:r>
              <w:rPr>
                <w:b/>
                <w:bCs/>
              </w:rPr>
              <w:t>Nacionales</w:t>
            </w:r>
          </w:p>
        </w:tc>
        <w:tc>
          <w:tcPr>
            <w:tcW w:w="671" w:type="dxa"/>
          </w:tcPr>
          <w:p w14:paraId="4CE62DFF" w14:textId="77777777" w:rsidR="00720442" w:rsidRDefault="00720442"/>
        </w:tc>
        <w:tc>
          <w:tcPr>
            <w:tcW w:w="671" w:type="dxa"/>
          </w:tcPr>
          <w:p w14:paraId="357F75C4" w14:textId="77777777" w:rsidR="00720442" w:rsidRDefault="00720442"/>
        </w:tc>
        <w:tc>
          <w:tcPr>
            <w:tcW w:w="671" w:type="dxa"/>
          </w:tcPr>
          <w:p w14:paraId="75D5A9C8" w14:textId="77777777" w:rsidR="00720442" w:rsidRDefault="00720442"/>
        </w:tc>
        <w:tc>
          <w:tcPr>
            <w:tcW w:w="671" w:type="dxa"/>
          </w:tcPr>
          <w:p w14:paraId="20DF45BC" w14:textId="77777777" w:rsidR="00720442" w:rsidRDefault="00720442"/>
        </w:tc>
      </w:tr>
      <w:tr w:rsidR="00720442" w14:paraId="1223D74D" w14:textId="77777777">
        <w:tc>
          <w:tcPr>
            <w:tcW w:w="5235" w:type="dxa"/>
          </w:tcPr>
          <w:p w14:paraId="2C1659B0" w14:textId="77777777" w:rsidR="00720442" w:rsidRDefault="0080011C">
            <w:pPr>
              <w:jc w:val="left"/>
            </w:pPr>
            <w:r>
              <w:t>Mauricio et al. (2024)</w:t>
            </w:r>
          </w:p>
        </w:tc>
        <w:tc>
          <w:tcPr>
            <w:tcW w:w="671" w:type="dxa"/>
          </w:tcPr>
          <w:p w14:paraId="707B797F" w14:textId="77777777" w:rsidR="00720442" w:rsidRDefault="00720442"/>
        </w:tc>
        <w:tc>
          <w:tcPr>
            <w:tcW w:w="671" w:type="dxa"/>
          </w:tcPr>
          <w:p w14:paraId="4BF0DEB1" w14:textId="77777777" w:rsidR="00720442" w:rsidRDefault="0080011C">
            <w:pPr>
              <w:jc w:val="center"/>
            </w:pPr>
            <w:r>
              <w:t>✓</w:t>
            </w:r>
          </w:p>
        </w:tc>
        <w:tc>
          <w:tcPr>
            <w:tcW w:w="671" w:type="dxa"/>
          </w:tcPr>
          <w:p w14:paraId="729C1952" w14:textId="77777777" w:rsidR="00720442" w:rsidRDefault="00720442"/>
        </w:tc>
        <w:tc>
          <w:tcPr>
            <w:tcW w:w="671" w:type="dxa"/>
          </w:tcPr>
          <w:p w14:paraId="698443A4" w14:textId="77777777" w:rsidR="00720442" w:rsidRDefault="0080011C">
            <w:pPr>
              <w:jc w:val="center"/>
            </w:pPr>
            <w:r>
              <w:t>✓</w:t>
            </w:r>
          </w:p>
        </w:tc>
      </w:tr>
      <w:tr w:rsidR="00720442" w14:paraId="78EC4D9D" w14:textId="77777777">
        <w:tc>
          <w:tcPr>
            <w:tcW w:w="5235" w:type="dxa"/>
          </w:tcPr>
          <w:p w14:paraId="04076DF5" w14:textId="77777777" w:rsidR="00720442" w:rsidRDefault="0080011C">
            <w:pPr>
              <w:jc w:val="left"/>
            </w:pPr>
            <w:r>
              <w:t>Porras Gamarra (2024)</w:t>
            </w:r>
          </w:p>
        </w:tc>
        <w:tc>
          <w:tcPr>
            <w:tcW w:w="671" w:type="dxa"/>
          </w:tcPr>
          <w:p w14:paraId="2C120056" w14:textId="77777777" w:rsidR="00720442" w:rsidRDefault="0080011C">
            <w:pPr>
              <w:jc w:val="center"/>
            </w:pPr>
            <w:r>
              <w:t>✓</w:t>
            </w:r>
          </w:p>
        </w:tc>
        <w:tc>
          <w:tcPr>
            <w:tcW w:w="671" w:type="dxa"/>
          </w:tcPr>
          <w:p w14:paraId="49A39CC9" w14:textId="77777777" w:rsidR="00720442" w:rsidRDefault="0080011C">
            <w:pPr>
              <w:jc w:val="center"/>
            </w:pPr>
            <w:r>
              <w:t>✓</w:t>
            </w:r>
          </w:p>
        </w:tc>
        <w:tc>
          <w:tcPr>
            <w:tcW w:w="671" w:type="dxa"/>
          </w:tcPr>
          <w:p w14:paraId="24C2B80B" w14:textId="77777777" w:rsidR="00720442" w:rsidRDefault="00720442"/>
        </w:tc>
        <w:tc>
          <w:tcPr>
            <w:tcW w:w="671" w:type="dxa"/>
          </w:tcPr>
          <w:p w14:paraId="5D1B3C7C" w14:textId="77777777" w:rsidR="00720442" w:rsidRDefault="00720442"/>
        </w:tc>
      </w:tr>
      <w:tr w:rsidR="00720442" w14:paraId="18EFDF08" w14:textId="77777777">
        <w:tc>
          <w:tcPr>
            <w:tcW w:w="5235" w:type="dxa"/>
          </w:tcPr>
          <w:p w14:paraId="1C6A87CF" w14:textId="77777777" w:rsidR="00720442" w:rsidRDefault="0080011C">
            <w:pPr>
              <w:jc w:val="left"/>
            </w:pPr>
            <w:r>
              <w:t>Arrué Pajares y Vargas Rioja (2022)</w:t>
            </w:r>
          </w:p>
        </w:tc>
        <w:tc>
          <w:tcPr>
            <w:tcW w:w="671" w:type="dxa"/>
          </w:tcPr>
          <w:p w14:paraId="3DE8C8C5" w14:textId="77777777" w:rsidR="00720442" w:rsidRDefault="0080011C">
            <w:pPr>
              <w:jc w:val="center"/>
            </w:pPr>
            <w:r>
              <w:t>✓</w:t>
            </w:r>
          </w:p>
        </w:tc>
        <w:tc>
          <w:tcPr>
            <w:tcW w:w="671" w:type="dxa"/>
          </w:tcPr>
          <w:p w14:paraId="266B0CBA" w14:textId="77777777" w:rsidR="00720442" w:rsidRDefault="00720442"/>
        </w:tc>
        <w:tc>
          <w:tcPr>
            <w:tcW w:w="671" w:type="dxa"/>
          </w:tcPr>
          <w:p w14:paraId="73D40945" w14:textId="77777777" w:rsidR="00720442" w:rsidRDefault="00720442"/>
        </w:tc>
        <w:tc>
          <w:tcPr>
            <w:tcW w:w="671" w:type="dxa"/>
          </w:tcPr>
          <w:p w14:paraId="287483C5" w14:textId="77777777" w:rsidR="00720442" w:rsidRDefault="00720442"/>
        </w:tc>
      </w:tr>
      <w:tr w:rsidR="00720442" w14:paraId="76346835" w14:textId="77777777">
        <w:tc>
          <w:tcPr>
            <w:tcW w:w="5235" w:type="dxa"/>
          </w:tcPr>
          <w:p w14:paraId="454BEDCE" w14:textId="77777777" w:rsidR="00720442" w:rsidRDefault="0080011C">
            <w:pPr>
              <w:jc w:val="left"/>
            </w:pPr>
            <w:r>
              <w:t>Bayona Castañeda (2019)</w:t>
            </w:r>
          </w:p>
        </w:tc>
        <w:tc>
          <w:tcPr>
            <w:tcW w:w="671" w:type="dxa"/>
          </w:tcPr>
          <w:p w14:paraId="0CEEBEA6" w14:textId="77777777" w:rsidR="00720442" w:rsidRDefault="00720442"/>
        </w:tc>
        <w:tc>
          <w:tcPr>
            <w:tcW w:w="671" w:type="dxa"/>
          </w:tcPr>
          <w:p w14:paraId="3E148C5E" w14:textId="77777777" w:rsidR="00720442" w:rsidRDefault="00720442"/>
        </w:tc>
        <w:tc>
          <w:tcPr>
            <w:tcW w:w="671" w:type="dxa"/>
          </w:tcPr>
          <w:p w14:paraId="3559D67A" w14:textId="77777777" w:rsidR="00720442" w:rsidRDefault="00720442"/>
        </w:tc>
        <w:tc>
          <w:tcPr>
            <w:tcW w:w="671" w:type="dxa"/>
          </w:tcPr>
          <w:p w14:paraId="5285E87A" w14:textId="77777777" w:rsidR="00720442" w:rsidRDefault="0080011C">
            <w:pPr>
              <w:jc w:val="center"/>
            </w:pPr>
            <w:r>
              <w:t>✓</w:t>
            </w:r>
          </w:p>
        </w:tc>
      </w:tr>
      <w:tr w:rsidR="00720442" w14:paraId="2064323C" w14:textId="77777777">
        <w:tc>
          <w:tcPr>
            <w:tcW w:w="5235" w:type="dxa"/>
          </w:tcPr>
          <w:p w14:paraId="538EBBEE" w14:textId="77777777" w:rsidR="00720442" w:rsidRDefault="0080011C">
            <w:pPr>
              <w:jc w:val="left"/>
            </w:pPr>
            <w:r>
              <w:t>Esparza Morgan (2025)</w:t>
            </w:r>
          </w:p>
        </w:tc>
        <w:tc>
          <w:tcPr>
            <w:tcW w:w="671" w:type="dxa"/>
          </w:tcPr>
          <w:p w14:paraId="25CC6AE9" w14:textId="77777777" w:rsidR="00720442" w:rsidRDefault="0080011C">
            <w:pPr>
              <w:jc w:val="center"/>
            </w:pPr>
            <w:r>
              <w:t>✓</w:t>
            </w:r>
          </w:p>
        </w:tc>
        <w:tc>
          <w:tcPr>
            <w:tcW w:w="671" w:type="dxa"/>
          </w:tcPr>
          <w:p w14:paraId="2E2E3121" w14:textId="77777777" w:rsidR="00720442" w:rsidRDefault="00720442"/>
        </w:tc>
        <w:tc>
          <w:tcPr>
            <w:tcW w:w="671" w:type="dxa"/>
          </w:tcPr>
          <w:p w14:paraId="3D1F9994" w14:textId="77777777" w:rsidR="00720442" w:rsidRDefault="00720442"/>
        </w:tc>
        <w:tc>
          <w:tcPr>
            <w:tcW w:w="671" w:type="dxa"/>
          </w:tcPr>
          <w:p w14:paraId="00538D66" w14:textId="77777777" w:rsidR="00720442" w:rsidRDefault="00720442"/>
        </w:tc>
      </w:tr>
      <w:tr w:rsidR="00720442" w14:paraId="41D34294" w14:textId="77777777">
        <w:tc>
          <w:tcPr>
            <w:tcW w:w="5235" w:type="dxa"/>
          </w:tcPr>
          <w:p w14:paraId="3EE7F9C5" w14:textId="77777777" w:rsidR="00720442" w:rsidRDefault="0080011C">
            <w:pPr>
              <w:jc w:val="left"/>
            </w:pPr>
            <w:r>
              <w:t>Arias Geronimo (2025)</w:t>
            </w:r>
          </w:p>
        </w:tc>
        <w:tc>
          <w:tcPr>
            <w:tcW w:w="671" w:type="dxa"/>
          </w:tcPr>
          <w:p w14:paraId="6465D7DA" w14:textId="77777777" w:rsidR="00720442" w:rsidRDefault="0080011C">
            <w:pPr>
              <w:jc w:val="center"/>
            </w:pPr>
            <w:r>
              <w:t>✓</w:t>
            </w:r>
          </w:p>
        </w:tc>
        <w:tc>
          <w:tcPr>
            <w:tcW w:w="671" w:type="dxa"/>
          </w:tcPr>
          <w:p w14:paraId="3216A581" w14:textId="77777777" w:rsidR="00720442" w:rsidRDefault="0080011C">
            <w:pPr>
              <w:jc w:val="center"/>
            </w:pPr>
            <w:r>
              <w:t>✓</w:t>
            </w:r>
          </w:p>
        </w:tc>
        <w:tc>
          <w:tcPr>
            <w:tcW w:w="671" w:type="dxa"/>
          </w:tcPr>
          <w:p w14:paraId="29D82181" w14:textId="77777777" w:rsidR="00720442" w:rsidRDefault="00720442"/>
        </w:tc>
        <w:tc>
          <w:tcPr>
            <w:tcW w:w="671" w:type="dxa"/>
          </w:tcPr>
          <w:p w14:paraId="638A0AF5" w14:textId="77777777" w:rsidR="00720442" w:rsidRDefault="00720442"/>
        </w:tc>
      </w:tr>
      <w:tr w:rsidR="00720442" w14:paraId="34001FC7" w14:textId="77777777">
        <w:tc>
          <w:tcPr>
            <w:tcW w:w="5235" w:type="dxa"/>
          </w:tcPr>
          <w:p w14:paraId="60ADFEFB" w14:textId="77777777" w:rsidR="00720442" w:rsidRDefault="0080011C">
            <w:pPr>
              <w:jc w:val="left"/>
            </w:pPr>
            <w:r>
              <w:lastRenderedPageBreak/>
              <w:t>Bran et al. (2024)</w:t>
            </w:r>
          </w:p>
        </w:tc>
        <w:tc>
          <w:tcPr>
            <w:tcW w:w="671" w:type="dxa"/>
          </w:tcPr>
          <w:p w14:paraId="0E1BCD83" w14:textId="77777777" w:rsidR="00720442" w:rsidRDefault="0080011C">
            <w:pPr>
              <w:jc w:val="center"/>
            </w:pPr>
            <w:r>
              <w:t>✓</w:t>
            </w:r>
          </w:p>
        </w:tc>
        <w:tc>
          <w:tcPr>
            <w:tcW w:w="671" w:type="dxa"/>
          </w:tcPr>
          <w:p w14:paraId="5BA7C466" w14:textId="77777777" w:rsidR="00720442" w:rsidRDefault="00720442"/>
        </w:tc>
        <w:tc>
          <w:tcPr>
            <w:tcW w:w="671" w:type="dxa"/>
          </w:tcPr>
          <w:p w14:paraId="4E266488" w14:textId="77777777" w:rsidR="00720442" w:rsidRDefault="00720442"/>
        </w:tc>
        <w:tc>
          <w:tcPr>
            <w:tcW w:w="671" w:type="dxa"/>
          </w:tcPr>
          <w:p w14:paraId="31EB8954" w14:textId="77777777" w:rsidR="00720442" w:rsidRDefault="0080011C">
            <w:pPr>
              <w:jc w:val="center"/>
            </w:pPr>
            <w:r>
              <w:t>✓</w:t>
            </w:r>
          </w:p>
        </w:tc>
      </w:tr>
      <w:tr w:rsidR="00720442" w14:paraId="302101A6" w14:textId="77777777">
        <w:tc>
          <w:tcPr>
            <w:tcW w:w="5235" w:type="dxa"/>
          </w:tcPr>
          <w:p w14:paraId="03CFDAFB" w14:textId="77777777" w:rsidR="00720442" w:rsidRDefault="0080011C">
            <w:pPr>
              <w:jc w:val="left"/>
            </w:pPr>
            <w:r>
              <w:t>Morales-Camargo y Meneses-Claudio (2023)</w:t>
            </w:r>
          </w:p>
        </w:tc>
        <w:tc>
          <w:tcPr>
            <w:tcW w:w="671" w:type="dxa"/>
          </w:tcPr>
          <w:p w14:paraId="58107FD0" w14:textId="77777777" w:rsidR="00720442" w:rsidRDefault="0080011C">
            <w:pPr>
              <w:jc w:val="center"/>
            </w:pPr>
            <w:r>
              <w:t>✓</w:t>
            </w:r>
          </w:p>
        </w:tc>
        <w:tc>
          <w:tcPr>
            <w:tcW w:w="671" w:type="dxa"/>
          </w:tcPr>
          <w:p w14:paraId="0C0423FC" w14:textId="77777777" w:rsidR="00720442" w:rsidRDefault="0080011C">
            <w:pPr>
              <w:jc w:val="center"/>
            </w:pPr>
            <w:r>
              <w:t>✓</w:t>
            </w:r>
          </w:p>
        </w:tc>
        <w:tc>
          <w:tcPr>
            <w:tcW w:w="671" w:type="dxa"/>
          </w:tcPr>
          <w:p w14:paraId="15E530B9" w14:textId="77777777" w:rsidR="00720442" w:rsidRDefault="00720442"/>
        </w:tc>
        <w:tc>
          <w:tcPr>
            <w:tcW w:w="671" w:type="dxa"/>
          </w:tcPr>
          <w:p w14:paraId="148AE933" w14:textId="77777777" w:rsidR="00720442" w:rsidRDefault="00720442"/>
        </w:tc>
      </w:tr>
      <w:tr w:rsidR="00720442" w14:paraId="2ABDB0E3" w14:textId="77777777">
        <w:tc>
          <w:tcPr>
            <w:tcW w:w="5235" w:type="dxa"/>
          </w:tcPr>
          <w:p w14:paraId="7D491903" w14:textId="77777777" w:rsidR="00720442" w:rsidRDefault="0080011C">
            <w:pPr>
              <w:jc w:val="left"/>
            </w:pPr>
            <w:r>
              <w:rPr>
                <w:b/>
                <w:bCs/>
              </w:rPr>
              <w:t>Presente investigación</w:t>
            </w:r>
          </w:p>
        </w:tc>
        <w:tc>
          <w:tcPr>
            <w:tcW w:w="671" w:type="dxa"/>
          </w:tcPr>
          <w:p w14:paraId="785194E1" w14:textId="77777777" w:rsidR="00720442" w:rsidRDefault="0080011C">
            <w:pPr>
              <w:jc w:val="center"/>
            </w:pPr>
            <w:r>
              <w:rPr>
                <w:b/>
                <w:bCs/>
              </w:rPr>
              <w:t>✓</w:t>
            </w:r>
          </w:p>
        </w:tc>
        <w:tc>
          <w:tcPr>
            <w:tcW w:w="671" w:type="dxa"/>
          </w:tcPr>
          <w:p w14:paraId="6CC96144" w14:textId="77777777" w:rsidR="00720442" w:rsidRDefault="0080011C">
            <w:pPr>
              <w:jc w:val="center"/>
            </w:pPr>
            <w:r>
              <w:rPr>
                <w:b/>
                <w:bCs/>
              </w:rPr>
              <w:t>✓</w:t>
            </w:r>
          </w:p>
        </w:tc>
        <w:tc>
          <w:tcPr>
            <w:tcW w:w="671" w:type="dxa"/>
          </w:tcPr>
          <w:p w14:paraId="04A54C57" w14:textId="77777777" w:rsidR="00720442" w:rsidRDefault="0080011C">
            <w:pPr>
              <w:jc w:val="center"/>
            </w:pPr>
            <w:r>
              <w:rPr>
                <w:b/>
                <w:bCs/>
              </w:rPr>
              <w:t>✓</w:t>
            </w:r>
          </w:p>
        </w:tc>
        <w:tc>
          <w:tcPr>
            <w:tcW w:w="671" w:type="dxa"/>
          </w:tcPr>
          <w:p w14:paraId="546E68F7" w14:textId="77777777" w:rsidR="00720442" w:rsidRDefault="0080011C">
            <w:pPr>
              <w:jc w:val="center"/>
            </w:pPr>
            <w:r>
              <w:rPr>
                <w:b/>
                <w:bCs/>
              </w:rPr>
              <w:t>✓</w:t>
            </w:r>
          </w:p>
        </w:tc>
      </w:tr>
    </w:tbl>
    <w:bookmarkEnd w:id="70"/>
    <w:p w14:paraId="4A37B02F" w14:textId="77777777" w:rsidR="00720442" w:rsidRDefault="0080011C">
      <w:pPr>
        <w:jc w:val="center"/>
      </w:pPr>
      <w:r>
        <w:rPr>
          <w:i/>
          <w:iCs/>
          <w:sz w:val="20"/>
        </w:rPr>
        <w:t>Nota.</w:t>
      </w:r>
      <w:r>
        <w:rPr>
          <w:sz w:val="20"/>
        </w:rPr>
        <w:t xml:space="preserve"> Elaboración propia. El símbolo ✓ indica que el estudio aborda la dimensión, directa o indirectamente. La presente investigación es la primera que integra las cuatro dimensiones en un diseño de evaluación pre-post.</w:t>
      </w:r>
    </w:p>
    <w:p w14:paraId="556ECBFF" w14:textId="77777777" w:rsidR="00720442" w:rsidRDefault="0080011C">
      <w:r>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w:t>
      </w:r>
      <w:r>
        <w:t>imientos, como lo muestran los diagnósticos nacionales recientes (Bayona Castañeda, 2019; Mauricio et al., 2024; Esparza Morgan, 2025; Arias Geronimo, 2025).</w:t>
      </w:r>
    </w:p>
    <w:p w14:paraId="1694D613" w14:textId="77777777" w:rsidR="00720442" w:rsidRDefault="0080011C">
      <w:pPr>
        <w:pStyle w:val="Ttulo2"/>
      </w:pPr>
      <w:bookmarkStart w:id="72" w:name="bases-teóricas"/>
      <w:bookmarkStart w:id="73" w:name="_Toc225939020"/>
      <w:bookmarkEnd w:id="57"/>
      <w:bookmarkEnd w:id="68"/>
      <w:r>
        <w:t>2.2. Bases teóricas</w:t>
      </w:r>
      <w:bookmarkEnd w:id="73"/>
    </w:p>
    <w:p w14:paraId="66E5419C" w14:textId="77777777" w:rsidR="00720442" w:rsidRDefault="0080011C">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0412EC0C" w14:textId="77777777" w:rsidR="00720442" w:rsidRDefault="0080011C">
      <w:pPr>
        <w:pStyle w:val="Ttulo3"/>
      </w:pPr>
      <w:bookmarkStart w:id="74" w:name="desarrollo-histórico"/>
      <w:bookmarkStart w:id="75" w:name="_Toc225939021"/>
      <w:r>
        <w:t>2.2.1. Desarrollo histórico</w:t>
      </w:r>
      <w:bookmarkEnd w:id="75"/>
    </w:p>
    <w:p w14:paraId="64F62AD3" w14:textId="77777777" w:rsidR="00720442" w:rsidRDefault="0080011C">
      <w:r>
        <w:lastRenderedPageBreak/>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w:t>
      </w:r>
      <w:r>
        <w:t>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52D5CFC5" w14:textId="77777777" w:rsidR="00720442" w:rsidRDefault="0080011C">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w:t>
      </w:r>
      <w:r>
        <w:t>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w:t>
      </w:r>
      <w:r>
        <w:t>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6F90A0B7" w14:textId="77777777" w:rsidR="00720442" w:rsidRDefault="0080011C">
      <w:r>
        <w:rPr>
          <w:noProof/>
        </w:rPr>
        <w:lastRenderedPageBreak/>
        <w:drawing>
          <wp:inline distT="0" distB="0" distL="0" distR="0" wp14:anchorId="7CFC944F" wp14:editId="00D29702">
            <wp:extent cx="5562600" cy="1056675"/>
            <wp:effectExtent l="0" t="0" r="0" b="0"/>
            <wp:docPr id="79"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80" name="Picture" descr="media/diagrama-evolucion-estandares.png"/>
                    <pic:cNvPicPr>
                      <a:picLocks noChangeAspect="1" noChangeArrowheads="1"/>
                    </pic:cNvPicPr>
                  </pic:nvPicPr>
                  <pic:blipFill>
                    <a:blip r:embed="rId16"/>
                    <a:stretch>
                      <a:fillRect/>
                    </a:stretch>
                  </pic:blipFill>
                  <pic:spPr bwMode="auto">
                    <a:xfrm>
                      <a:off x="0" y="0"/>
                      <a:ext cx="5562600" cy="1056675"/>
                    </a:xfrm>
                    <a:prstGeom prst="rect">
                      <a:avLst/>
                    </a:prstGeom>
                    <a:noFill/>
                    <a:ln w="9525">
                      <a:noFill/>
                      <a:headEnd/>
                      <a:tailEnd/>
                    </a:ln>
                  </pic:spPr>
                </pic:pic>
              </a:graphicData>
            </a:graphic>
          </wp:inline>
        </w:drawing>
      </w:r>
    </w:p>
    <w:p w14:paraId="1A7278C1" w14:textId="07F07908" w:rsidR="00720442" w:rsidRDefault="0080011C">
      <w:pPr>
        <w:jc w:val="center"/>
      </w:pPr>
      <w:bookmarkStart w:id="76" w:name="_Toc225939047"/>
      <w:r>
        <w:rPr>
          <w:i/>
          <w:sz w:val="20"/>
        </w:rPr>
        <w:t xml:space="preserve">Figura </w:t>
      </w:r>
      <w:r>
        <w:fldChar w:fldCharType="begin"/>
      </w:r>
      <w:r>
        <w:instrText xml:space="preserve"> SEQ Figure \* ARABIC </w:instrText>
      </w:r>
      <w:r>
        <w:fldChar w:fldCharType="separate"/>
      </w:r>
      <w:r w:rsidR="005314D4">
        <w:rPr>
          <w:noProof/>
        </w:rPr>
        <w:t>9</w:t>
      </w:r>
      <w:r>
        <w:fldChar w:fldCharType="end"/>
      </w:r>
      <w:r>
        <w:rPr>
          <w:i/>
          <w:sz w:val="20"/>
        </w:rPr>
        <w:t>. Evolución de estándares de interoperabilidad clínica</w:t>
      </w:r>
      <w:bookmarkEnd w:id="76"/>
    </w:p>
    <w:p w14:paraId="348F49B9" w14:textId="77777777" w:rsidR="00720442" w:rsidRDefault="0080011C">
      <w:pPr>
        <w:jc w:val="center"/>
      </w:pPr>
      <w:r>
        <w:rPr>
          <w:i/>
          <w:iCs/>
          <w:sz w:val="20"/>
        </w:rPr>
        <w:t>Nota.</w:t>
      </w:r>
      <w:r>
        <w:rPr>
          <w:sz w:val="20"/>
        </w:rPr>
        <w:t xml:space="preserve"> Elaboración propia basada en Surisetty (2026) y Amar et al. (2024).</w:t>
      </w:r>
    </w:p>
    <w:p w14:paraId="780C0E3A" w14:textId="77777777" w:rsidR="00720442" w:rsidRDefault="0080011C">
      <w:r>
        <w:t>La Tabla 7 presenta una comparación de los principales estándares de interoperabilidad clínica, sintetizando sus modelos de intercambio, fortalezas y limitaciones.</w:t>
      </w:r>
    </w:p>
    <w:p w14:paraId="018AC6FA" w14:textId="13C1304E" w:rsidR="00720442" w:rsidRDefault="0080011C">
      <w:bookmarkStart w:id="77" w:name="tbl:comparativa-estandares"/>
      <w:bookmarkStart w:id="78" w:name="_Toc225939033"/>
      <w:r>
        <w:t xml:space="preserve">Tabla </w:t>
      </w:r>
      <w:r>
        <w:fldChar w:fldCharType="begin"/>
      </w:r>
      <w:r>
        <w:instrText xml:space="preserve"> SEQ Table \* ARABIC </w:instrText>
      </w:r>
      <w:r>
        <w:fldChar w:fldCharType="separate"/>
      </w:r>
      <w:r w:rsidR="005314D4">
        <w:rPr>
          <w:noProof/>
        </w:rPr>
        <w:t>7</w:t>
      </w:r>
      <w:r>
        <w:fldChar w:fldCharType="end"/>
      </w:r>
      <w:r>
        <w:t>. Comparativa de estándares de interoperabilidad clínica</w:t>
      </w:r>
      <w:bookmarkEnd w:id="7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estándares de interoperabilidad clínica"/>
      </w:tblPr>
      <w:tblGrid>
        <w:gridCol w:w="1066"/>
        <w:gridCol w:w="2453"/>
        <w:gridCol w:w="2453"/>
        <w:gridCol w:w="1280"/>
        <w:gridCol w:w="1493"/>
      </w:tblGrid>
      <w:tr w:rsidR="00720442" w14:paraId="38568F65" w14:textId="77777777">
        <w:trPr>
          <w:tblHeader/>
        </w:trPr>
        <w:tc>
          <w:tcPr>
            <w:tcW w:w="965" w:type="dxa"/>
          </w:tcPr>
          <w:p w14:paraId="44001AB2" w14:textId="77777777" w:rsidR="00720442" w:rsidRDefault="0080011C">
            <w:pPr>
              <w:jc w:val="left"/>
            </w:pPr>
            <w:r>
              <w:t>Estándar</w:t>
            </w:r>
          </w:p>
        </w:tc>
        <w:tc>
          <w:tcPr>
            <w:tcW w:w="2221" w:type="dxa"/>
          </w:tcPr>
          <w:p w14:paraId="530CE925" w14:textId="77777777" w:rsidR="00720442" w:rsidRDefault="0080011C">
            <w:pPr>
              <w:jc w:val="left"/>
            </w:pPr>
            <w:r>
              <w:t>Modelo de intercambio</w:t>
            </w:r>
          </w:p>
        </w:tc>
        <w:tc>
          <w:tcPr>
            <w:tcW w:w="2221" w:type="dxa"/>
          </w:tcPr>
          <w:p w14:paraId="31590483" w14:textId="77777777" w:rsidR="00720442" w:rsidRDefault="0080011C">
            <w:pPr>
              <w:jc w:val="left"/>
            </w:pPr>
            <w:r>
              <w:t>Caso de uso principal</w:t>
            </w:r>
          </w:p>
        </w:tc>
        <w:tc>
          <w:tcPr>
            <w:tcW w:w="1159" w:type="dxa"/>
          </w:tcPr>
          <w:p w14:paraId="3F0EE7C9" w14:textId="77777777" w:rsidR="00720442" w:rsidRDefault="0080011C">
            <w:pPr>
              <w:jc w:val="left"/>
            </w:pPr>
            <w:r>
              <w:t>Fortalezas</w:t>
            </w:r>
          </w:p>
        </w:tc>
        <w:tc>
          <w:tcPr>
            <w:tcW w:w="1352" w:type="dxa"/>
          </w:tcPr>
          <w:p w14:paraId="39DEEDD3" w14:textId="77777777" w:rsidR="00720442" w:rsidRDefault="0080011C">
            <w:pPr>
              <w:jc w:val="left"/>
            </w:pPr>
            <w:r>
              <w:t>Limitaciones</w:t>
            </w:r>
          </w:p>
        </w:tc>
      </w:tr>
      <w:tr w:rsidR="00720442" w14:paraId="7C415351" w14:textId="77777777">
        <w:tc>
          <w:tcPr>
            <w:tcW w:w="965" w:type="dxa"/>
          </w:tcPr>
          <w:p w14:paraId="6BC7E410" w14:textId="77777777" w:rsidR="00720442" w:rsidRDefault="0080011C">
            <w:pPr>
              <w:jc w:val="left"/>
            </w:pPr>
            <w:r>
              <w:t>HL7 v2</w:t>
            </w:r>
          </w:p>
        </w:tc>
        <w:tc>
          <w:tcPr>
            <w:tcW w:w="2221" w:type="dxa"/>
          </w:tcPr>
          <w:p w14:paraId="6E8539DD" w14:textId="77777777" w:rsidR="00720442" w:rsidRDefault="0080011C">
            <w:pPr>
              <w:jc w:val="left"/>
            </w:pPr>
            <w:r>
              <w:t>Basado en mensajes</w:t>
            </w:r>
          </w:p>
        </w:tc>
        <w:tc>
          <w:tcPr>
            <w:tcW w:w="2221" w:type="dxa"/>
          </w:tcPr>
          <w:p w14:paraId="0809BD76" w14:textId="77777777" w:rsidR="00720442" w:rsidRDefault="0080011C">
            <w:pPr>
              <w:jc w:val="left"/>
            </w:pPr>
            <w:r>
              <w:t>Flujos clínicos en tiempo real (ADT, resultados de laboratorio)</w:t>
            </w:r>
          </w:p>
        </w:tc>
        <w:tc>
          <w:tcPr>
            <w:tcW w:w="1159" w:type="dxa"/>
          </w:tcPr>
          <w:p w14:paraId="78B61A2D" w14:textId="77777777" w:rsidR="00720442" w:rsidRDefault="0080011C">
            <w:pPr>
              <w:jc w:val="left"/>
            </w:pPr>
            <w:r>
              <w:t>Amplia adopción global; procesamiento rápido</w:t>
            </w:r>
          </w:p>
        </w:tc>
        <w:tc>
          <w:tcPr>
            <w:tcW w:w="1352" w:type="dxa"/>
          </w:tcPr>
          <w:p w14:paraId="7D172708" w14:textId="77777777" w:rsidR="00720442" w:rsidRDefault="0080011C">
            <w:pPr>
              <w:jc w:val="left"/>
            </w:pPr>
            <w:r>
              <w:t>Semántica limitada; variabilidad de implementación</w:t>
            </w:r>
          </w:p>
        </w:tc>
      </w:tr>
      <w:tr w:rsidR="00720442" w14:paraId="35DF4D38" w14:textId="77777777">
        <w:tc>
          <w:tcPr>
            <w:tcW w:w="965" w:type="dxa"/>
          </w:tcPr>
          <w:p w14:paraId="71263C8A" w14:textId="77777777" w:rsidR="00720442" w:rsidRDefault="0080011C">
            <w:pPr>
              <w:jc w:val="left"/>
            </w:pPr>
            <w:r>
              <w:t>HL7 CDA</w:t>
            </w:r>
          </w:p>
        </w:tc>
        <w:tc>
          <w:tcPr>
            <w:tcW w:w="2221" w:type="dxa"/>
          </w:tcPr>
          <w:p w14:paraId="62ED6C8C" w14:textId="77777777" w:rsidR="00720442" w:rsidRDefault="0080011C">
            <w:pPr>
              <w:jc w:val="left"/>
            </w:pPr>
            <w:r>
              <w:t>Basado en documentos</w:t>
            </w:r>
          </w:p>
        </w:tc>
        <w:tc>
          <w:tcPr>
            <w:tcW w:w="2221" w:type="dxa"/>
          </w:tcPr>
          <w:p w14:paraId="496A1EC9" w14:textId="77777777" w:rsidR="00720442" w:rsidRDefault="0080011C">
            <w:pPr>
              <w:jc w:val="left"/>
            </w:pPr>
            <w:r>
              <w:t>Resúmenes clínicos, informes de alta</w:t>
            </w:r>
          </w:p>
        </w:tc>
        <w:tc>
          <w:tcPr>
            <w:tcW w:w="1159" w:type="dxa"/>
          </w:tcPr>
          <w:p w14:paraId="072BDC64" w14:textId="77777777" w:rsidR="00720442" w:rsidRDefault="0080011C">
            <w:pPr>
              <w:jc w:val="left"/>
            </w:pPr>
            <w:r>
              <w:t>Documentos estructurados con contexto clínico</w:t>
            </w:r>
          </w:p>
        </w:tc>
        <w:tc>
          <w:tcPr>
            <w:tcW w:w="1352" w:type="dxa"/>
          </w:tcPr>
          <w:p w14:paraId="38B293DD" w14:textId="77777777" w:rsidR="00720442" w:rsidRDefault="0080011C">
            <w:pPr>
              <w:jc w:val="left"/>
            </w:pPr>
            <w:r>
              <w:t>Complejo; formato estático (XML)</w:t>
            </w:r>
          </w:p>
        </w:tc>
      </w:tr>
      <w:tr w:rsidR="00720442" w14:paraId="6F2DED74" w14:textId="77777777">
        <w:tc>
          <w:tcPr>
            <w:tcW w:w="965" w:type="dxa"/>
          </w:tcPr>
          <w:p w14:paraId="52A21F34" w14:textId="77777777" w:rsidR="00720442" w:rsidRDefault="0080011C">
            <w:pPr>
              <w:jc w:val="left"/>
            </w:pPr>
            <w:r>
              <w:t>CCD</w:t>
            </w:r>
          </w:p>
        </w:tc>
        <w:tc>
          <w:tcPr>
            <w:tcW w:w="2221" w:type="dxa"/>
          </w:tcPr>
          <w:p w14:paraId="30940122" w14:textId="77777777" w:rsidR="00720442" w:rsidRDefault="0080011C">
            <w:pPr>
              <w:jc w:val="left"/>
            </w:pPr>
            <w:r>
              <w:t>CDA restringido</w:t>
            </w:r>
          </w:p>
        </w:tc>
        <w:tc>
          <w:tcPr>
            <w:tcW w:w="2221" w:type="dxa"/>
          </w:tcPr>
          <w:p w14:paraId="38FC36C4" w14:textId="77777777" w:rsidR="00720442" w:rsidRDefault="0080011C">
            <w:pPr>
              <w:jc w:val="left"/>
            </w:pPr>
            <w:r>
              <w:t>Transiciones de cuidado entre proveedores</w:t>
            </w:r>
          </w:p>
        </w:tc>
        <w:tc>
          <w:tcPr>
            <w:tcW w:w="1159" w:type="dxa"/>
          </w:tcPr>
          <w:p w14:paraId="3ECDC6A2" w14:textId="77777777" w:rsidR="00720442" w:rsidRDefault="0080011C">
            <w:pPr>
              <w:jc w:val="left"/>
            </w:pPr>
            <w:r>
              <w:t xml:space="preserve">Resumen estandarizado y rico en datos para </w:t>
            </w:r>
            <w:r>
              <w:lastRenderedPageBreak/>
              <w:t>continuidad</w:t>
            </w:r>
          </w:p>
        </w:tc>
        <w:tc>
          <w:tcPr>
            <w:tcW w:w="1352" w:type="dxa"/>
          </w:tcPr>
          <w:p w14:paraId="774A0EFD" w14:textId="77777777" w:rsidR="00720442" w:rsidRDefault="0080011C">
            <w:pPr>
              <w:jc w:val="left"/>
            </w:pPr>
            <w:r>
              <w:lastRenderedPageBreak/>
              <w:t>No basado en API; acoplamiento alto</w:t>
            </w:r>
          </w:p>
        </w:tc>
      </w:tr>
      <w:tr w:rsidR="00720442" w14:paraId="4F44E595" w14:textId="77777777">
        <w:tc>
          <w:tcPr>
            <w:tcW w:w="965" w:type="dxa"/>
          </w:tcPr>
          <w:p w14:paraId="4FFB6A8F" w14:textId="77777777" w:rsidR="00720442" w:rsidRDefault="0080011C">
            <w:pPr>
              <w:jc w:val="left"/>
            </w:pPr>
            <w:r>
              <w:t>HL7 FHIR</w:t>
            </w:r>
          </w:p>
        </w:tc>
        <w:tc>
          <w:tcPr>
            <w:tcW w:w="2221" w:type="dxa"/>
          </w:tcPr>
          <w:p w14:paraId="7B33CDAE" w14:textId="77777777" w:rsidR="00720442" w:rsidRDefault="0080011C">
            <w:pPr>
              <w:jc w:val="left"/>
            </w:pPr>
            <w:r>
              <w:t>Basado en recursos / API REST</w:t>
            </w:r>
          </w:p>
        </w:tc>
        <w:tc>
          <w:tcPr>
            <w:tcW w:w="2221" w:type="dxa"/>
          </w:tcPr>
          <w:p w14:paraId="0D669555" w14:textId="77777777" w:rsidR="00720442" w:rsidRDefault="0080011C">
            <w:pPr>
              <w:jc w:val="left"/>
            </w:pPr>
            <w:r>
              <w:t>Interoperabilidad moderna multiplataforma</w:t>
            </w:r>
          </w:p>
        </w:tc>
        <w:tc>
          <w:tcPr>
            <w:tcW w:w="1159" w:type="dxa"/>
          </w:tcPr>
          <w:p w14:paraId="337BA0F1" w14:textId="77777777" w:rsidR="00720442" w:rsidRDefault="0080011C">
            <w:pPr>
              <w:jc w:val="left"/>
            </w:pPr>
            <w:r>
              <w:t>Flexible, escalable, compatible con tecnologías web</w:t>
            </w:r>
          </w:p>
        </w:tc>
        <w:tc>
          <w:tcPr>
            <w:tcW w:w="1352" w:type="dxa"/>
          </w:tcPr>
          <w:p w14:paraId="28DA06D5" w14:textId="77777777" w:rsidR="00720442" w:rsidRDefault="0080011C">
            <w:pPr>
              <w:jc w:val="left"/>
            </w:pPr>
            <w:r>
              <w:t>Requiere gobernanza de perfiles y terminologías</w:t>
            </w:r>
          </w:p>
        </w:tc>
      </w:tr>
      <w:tr w:rsidR="00720442" w14:paraId="6A868C79" w14:textId="77777777">
        <w:tc>
          <w:tcPr>
            <w:tcW w:w="965" w:type="dxa"/>
          </w:tcPr>
          <w:p w14:paraId="2128548E" w14:textId="77777777" w:rsidR="00720442" w:rsidRDefault="0080011C">
            <w:pPr>
              <w:jc w:val="left"/>
            </w:pPr>
            <w:r>
              <w:t>openEHR</w:t>
            </w:r>
          </w:p>
        </w:tc>
        <w:tc>
          <w:tcPr>
            <w:tcW w:w="2221" w:type="dxa"/>
          </w:tcPr>
          <w:p w14:paraId="234093BE" w14:textId="77777777" w:rsidR="00720442" w:rsidRDefault="0080011C">
            <w:pPr>
              <w:jc w:val="left"/>
            </w:pPr>
            <w:r>
              <w:t>Basado en arquetipos</w:t>
            </w:r>
          </w:p>
        </w:tc>
        <w:tc>
          <w:tcPr>
            <w:tcW w:w="2221" w:type="dxa"/>
          </w:tcPr>
          <w:p w14:paraId="7F70B6C9" w14:textId="77777777" w:rsidR="00720442" w:rsidRDefault="0080011C">
            <w:pPr>
              <w:jc w:val="left"/>
            </w:pPr>
            <w:r>
              <w:t>Modelado y persistencia clínica</w:t>
            </w:r>
          </w:p>
        </w:tc>
        <w:tc>
          <w:tcPr>
            <w:tcW w:w="1159" w:type="dxa"/>
          </w:tcPr>
          <w:p w14:paraId="22214A43" w14:textId="77777777" w:rsidR="00720442" w:rsidRDefault="0080011C">
            <w:pPr>
              <w:jc w:val="left"/>
            </w:pPr>
            <w:r>
              <w:t>Modelado semántico profundo; independencia de software</w:t>
            </w:r>
          </w:p>
        </w:tc>
        <w:tc>
          <w:tcPr>
            <w:tcW w:w="1352" w:type="dxa"/>
          </w:tcPr>
          <w:p w14:paraId="722AAEF3" w14:textId="77777777" w:rsidR="00720442" w:rsidRDefault="0080011C">
            <w:pPr>
              <w:jc w:val="left"/>
            </w:pPr>
            <w:r>
              <w:t>Menor adopción para intercambio; curva de aprendizaje</w:t>
            </w:r>
          </w:p>
        </w:tc>
      </w:tr>
      <w:tr w:rsidR="00720442" w14:paraId="68E5A4E8" w14:textId="77777777">
        <w:tc>
          <w:tcPr>
            <w:tcW w:w="965" w:type="dxa"/>
          </w:tcPr>
          <w:p w14:paraId="46C7E2E3" w14:textId="77777777" w:rsidR="00720442" w:rsidRDefault="0080011C">
            <w:pPr>
              <w:jc w:val="left"/>
            </w:pPr>
            <w:r>
              <w:t>ISO 13606</w:t>
            </w:r>
          </w:p>
        </w:tc>
        <w:tc>
          <w:tcPr>
            <w:tcW w:w="2221" w:type="dxa"/>
          </w:tcPr>
          <w:p w14:paraId="7D57EBA3" w14:textId="77777777" w:rsidR="00720442" w:rsidRDefault="0080011C">
            <w:pPr>
              <w:jc w:val="left"/>
            </w:pPr>
            <w:r>
              <w:t>Basado en extractos</w:t>
            </w:r>
          </w:p>
        </w:tc>
        <w:tc>
          <w:tcPr>
            <w:tcW w:w="2221" w:type="dxa"/>
          </w:tcPr>
          <w:p w14:paraId="30F7CFDD" w14:textId="77777777" w:rsidR="00720442" w:rsidRDefault="0080011C">
            <w:pPr>
              <w:jc w:val="left"/>
            </w:pPr>
            <w:r>
              <w:t>Comunicación de registros clínicos</w:t>
            </w:r>
          </w:p>
        </w:tc>
        <w:tc>
          <w:tcPr>
            <w:tcW w:w="1159" w:type="dxa"/>
          </w:tcPr>
          <w:p w14:paraId="2DEE30AC" w14:textId="77777777" w:rsidR="00720442" w:rsidRDefault="0080011C">
            <w:pPr>
              <w:jc w:val="left"/>
            </w:pPr>
            <w:r>
              <w:t>Puente entre estándares; orientado a la privacidad</w:t>
            </w:r>
          </w:p>
        </w:tc>
        <w:tc>
          <w:tcPr>
            <w:tcW w:w="1352" w:type="dxa"/>
          </w:tcPr>
          <w:p w14:paraId="25CDF2BB" w14:textId="77777777" w:rsidR="00720442" w:rsidRDefault="0080011C">
            <w:pPr>
              <w:jc w:val="left"/>
            </w:pPr>
            <w:r>
              <w:t>Adopción limitada fuera de Europa</w:t>
            </w:r>
          </w:p>
        </w:tc>
      </w:tr>
    </w:tbl>
    <w:bookmarkEnd w:id="77"/>
    <w:p w14:paraId="4CF4423B" w14:textId="77777777" w:rsidR="00720442" w:rsidRDefault="0080011C">
      <w:pPr>
        <w:jc w:val="center"/>
      </w:pPr>
      <w:r>
        <w:rPr>
          <w:i/>
          <w:iCs/>
          <w:sz w:val="20"/>
        </w:rPr>
        <w:t>Nota.</w:t>
      </w:r>
      <w:r>
        <w:rPr>
          <w:sz w:val="20"/>
        </w:rPr>
        <w:t xml:space="preserve"> Elaboración propia a partir de Surisetty (2026), Pedrera-Jiménez et al. (2023) y Amar et al. (2024).</w:t>
      </w:r>
    </w:p>
    <w:p w14:paraId="519DA521" w14:textId="77777777" w:rsidR="00720442" w:rsidRDefault="0080011C">
      <w:r>
        <w:t>La siguiente figura presenta una taxonomía visual de los estándares de interoperabilidad clínica, organizados por su función en el ecosistema de intercambio: transporte de datos, estructura de contenido, codificación terminológica y seguridad.</w:t>
      </w:r>
    </w:p>
    <w:p w14:paraId="27D4B8B5" w14:textId="77777777" w:rsidR="00720442" w:rsidRDefault="0080011C">
      <w:r>
        <w:rPr>
          <w:noProof/>
        </w:rPr>
        <w:lastRenderedPageBreak/>
        <w:drawing>
          <wp:inline distT="0" distB="0" distL="0" distR="0" wp14:anchorId="29F7E864" wp14:editId="269B14CE">
            <wp:extent cx="5562600" cy="5771982"/>
            <wp:effectExtent l="0" t="0" r="0" b="0"/>
            <wp:docPr id="83" name="Picture" descr="Taxonomía de estándares de interoperabilidad en salud"/>
            <wp:cNvGraphicFramePr/>
            <a:graphic xmlns:a="http://schemas.openxmlformats.org/drawingml/2006/main">
              <a:graphicData uri="http://schemas.openxmlformats.org/drawingml/2006/picture">
                <pic:pic xmlns:pic="http://schemas.openxmlformats.org/drawingml/2006/picture">
                  <pic:nvPicPr>
                    <pic:cNvPr id="84" name="Picture" descr="media/diagrama-taxonomia-estandares-interoperabilidad.png"/>
                    <pic:cNvPicPr>
                      <a:picLocks noChangeAspect="1" noChangeArrowheads="1"/>
                    </pic:cNvPicPr>
                  </pic:nvPicPr>
                  <pic:blipFill>
                    <a:blip r:embed="rId17"/>
                    <a:stretch>
                      <a:fillRect/>
                    </a:stretch>
                  </pic:blipFill>
                  <pic:spPr bwMode="auto">
                    <a:xfrm>
                      <a:off x="0" y="0"/>
                      <a:ext cx="5562600" cy="5771982"/>
                    </a:xfrm>
                    <a:prstGeom prst="rect">
                      <a:avLst/>
                    </a:prstGeom>
                    <a:noFill/>
                    <a:ln w="9525">
                      <a:noFill/>
                      <a:headEnd/>
                      <a:tailEnd/>
                    </a:ln>
                  </pic:spPr>
                </pic:pic>
              </a:graphicData>
            </a:graphic>
          </wp:inline>
        </w:drawing>
      </w:r>
    </w:p>
    <w:p w14:paraId="26BEC9CD" w14:textId="2B95E53B" w:rsidR="00720442" w:rsidRDefault="0080011C">
      <w:pPr>
        <w:jc w:val="center"/>
      </w:pPr>
      <w:bookmarkStart w:id="79" w:name="_Toc225939048"/>
      <w:r>
        <w:rPr>
          <w:i/>
          <w:sz w:val="20"/>
        </w:rPr>
        <w:t xml:space="preserve">Figura </w:t>
      </w:r>
      <w:r>
        <w:fldChar w:fldCharType="begin"/>
      </w:r>
      <w:r>
        <w:instrText xml:space="preserve"> SEQ Figure \* ARABIC </w:instrText>
      </w:r>
      <w:r>
        <w:fldChar w:fldCharType="separate"/>
      </w:r>
      <w:r w:rsidR="005314D4">
        <w:rPr>
          <w:noProof/>
        </w:rPr>
        <w:t>10</w:t>
      </w:r>
      <w:r>
        <w:fldChar w:fldCharType="end"/>
      </w:r>
      <w:r>
        <w:rPr>
          <w:i/>
          <w:sz w:val="20"/>
        </w:rPr>
        <w:t>. Taxonomía de estándares de interoperabilidad en salud</w:t>
      </w:r>
      <w:bookmarkEnd w:id="79"/>
    </w:p>
    <w:p w14:paraId="00509358" w14:textId="77777777" w:rsidR="00720442" w:rsidRDefault="0080011C">
      <w:pPr>
        <w:jc w:val="center"/>
      </w:pPr>
      <w:r>
        <w:rPr>
          <w:i/>
          <w:iCs/>
          <w:sz w:val="20"/>
        </w:rPr>
        <w:t>Nota.</w:t>
      </w:r>
      <w:r>
        <w:rPr>
          <w:sz w:val="20"/>
        </w:rPr>
        <w:t xml:space="preserve"> </w:t>
      </w:r>
      <w:r>
        <w:rPr>
          <w:sz w:val="20"/>
        </w:rPr>
        <w:t>Elaboración propia a partir de Torab-Miandoab et al. (2023), Amar et al. (2024) y Surisetty (2026).</w:t>
      </w:r>
    </w:p>
    <w:p w14:paraId="2E315097" w14:textId="77777777" w:rsidR="00720442" w:rsidRDefault="0080011C">
      <w:pPr>
        <w:pStyle w:val="Ttulo3"/>
      </w:pPr>
      <w:bookmarkStart w:id="80" w:name="fundamentación-teórica"/>
      <w:bookmarkStart w:id="81" w:name="_Toc225939022"/>
      <w:bookmarkEnd w:id="74"/>
      <w:r>
        <w:t>2.2.2. Fundamentación teórica</w:t>
      </w:r>
      <w:bookmarkEnd w:id="81"/>
    </w:p>
    <w:p w14:paraId="34ED7E7C" w14:textId="77777777" w:rsidR="00720442" w:rsidRDefault="0080011C">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w:t>
      </w:r>
      <w:r>
        <w:lastRenderedPageBreak/>
        <w:t xml:space="preserve">Datos. Cada uno de estos marcos ofrece una perspectiva complementaria. La 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w:t>
      </w:r>
      <w:r>
        <w:t>indicadores de la variable dependiente.</w:t>
      </w:r>
    </w:p>
    <w:p w14:paraId="161A23CE" w14:textId="77777777" w:rsidR="00720442" w:rsidRDefault="0080011C">
      <w:r>
        <w:rPr>
          <w:noProof/>
        </w:rPr>
        <w:drawing>
          <wp:inline distT="0" distB="0" distL="0" distR="0" wp14:anchorId="2679E4F6" wp14:editId="2D518374">
            <wp:extent cx="5562600" cy="1840763"/>
            <wp:effectExtent l="0" t="0" r="0" b="0"/>
            <wp:docPr id="87"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88" name="Picture" descr="media/diagrama-fundamentacion-teorica.png"/>
                    <pic:cNvPicPr>
                      <a:picLocks noChangeAspect="1" noChangeArrowheads="1"/>
                    </pic:cNvPicPr>
                  </pic:nvPicPr>
                  <pic:blipFill>
                    <a:blip r:embed="rId18"/>
                    <a:stretch>
                      <a:fillRect/>
                    </a:stretch>
                  </pic:blipFill>
                  <pic:spPr bwMode="auto">
                    <a:xfrm>
                      <a:off x="0" y="0"/>
                      <a:ext cx="5562600" cy="1840763"/>
                    </a:xfrm>
                    <a:prstGeom prst="rect">
                      <a:avLst/>
                    </a:prstGeom>
                    <a:noFill/>
                    <a:ln w="9525">
                      <a:noFill/>
                      <a:headEnd/>
                      <a:tailEnd/>
                    </a:ln>
                  </pic:spPr>
                </pic:pic>
              </a:graphicData>
            </a:graphic>
          </wp:inline>
        </w:drawing>
      </w:r>
    </w:p>
    <w:p w14:paraId="03DC57A1" w14:textId="1ED98562" w:rsidR="00720442" w:rsidRDefault="0080011C">
      <w:pPr>
        <w:jc w:val="center"/>
      </w:pPr>
      <w:bookmarkStart w:id="82" w:name="_Toc225939049"/>
      <w:r>
        <w:rPr>
          <w:i/>
          <w:sz w:val="20"/>
        </w:rPr>
        <w:t xml:space="preserve">Figura </w:t>
      </w:r>
      <w:r>
        <w:fldChar w:fldCharType="begin"/>
      </w:r>
      <w:r>
        <w:instrText xml:space="preserve"> SEQ Figure \* ARABIC </w:instrText>
      </w:r>
      <w:r>
        <w:fldChar w:fldCharType="separate"/>
      </w:r>
      <w:r w:rsidR="005314D4">
        <w:rPr>
          <w:noProof/>
        </w:rPr>
        <w:t>11</w:t>
      </w:r>
      <w:r>
        <w:fldChar w:fldCharType="end"/>
      </w:r>
      <w:r>
        <w:rPr>
          <w:i/>
          <w:sz w:val="20"/>
        </w:rPr>
        <w:t>. Enfoques teóricos que sustentan la investigación</w:t>
      </w:r>
      <w:bookmarkEnd w:id="82"/>
    </w:p>
    <w:p w14:paraId="371A5B09" w14:textId="77777777" w:rsidR="00720442" w:rsidRDefault="0080011C">
      <w:pPr>
        <w:jc w:val="center"/>
      </w:pPr>
      <w:r>
        <w:rPr>
          <w:i/>
          <w:iCs/>
          <w:sz w:val="20"/>
        </w:rPr>
        <w:t>Nota.</w:t>
      </w:r>
      <w:r>
        <w:rPr>
          <w:sz w:val="20"/>
        </w:rPr>
        <w:t xml:space="preserve"> Elaboración propia.</w:t>
      </w:r>
    </w:p>
    <w:p w14:paraId="09232DCF" w14:textId="77777777" w:rsidR="00720442" w:rsidRDefault="0080011C">
      <w:bookmarkStart w:id="83" w:name="teoría-general-de-sistemas"/>
      <w:r>
        <w:t>Teoría General de Sistemas</w:t>
      </w:r>
    </w:p>
    <w:p w14:paraId="25A100E5" w14:textId="77777777" w:rsidR="00720442" w:rsidRDefault="0080011C">
      <w:r>
        <w:t>La Teoría General de Sistemas (TGS), propuesta por Ludwig von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w:t>
      </w:r>
      <w:r>
        <w:t xml:space="preserve">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Castañeda (2019) documentó que la fragmentación MINSA-EsSalud impide esta articulación, lo que desde la TGS se </w:t>
      </w:r>
      <w:r>
        <w:lastRenderedPageBreak/>
        <w:t>interpreta c</w:t>
      </w:r>
      <w:r>
        <w:t>omo un sistema desarticulado cuyas partes operan como entidades aisladas. La TGS también introduce el concepto de retroalimentación: los resultados del sistema informan ajustes en los procesos y las entradas. El diseño pre-experimental O₁ → X → O₂ de esta tesis operacionaliza este principio: la medición de línea base (O₁) diagnostica el estado actual, la intervención FHIR (X) modifica los procesos de intercambio, y la medición post (O₂) evalúa si el sistema mejoró. Los cuatro niveles de interoperabilidad pr</w:t>
      </w:r>
      <w:r>
        <w:t>opuestos por HIMSS pueden interpretarse como capas sistémicas que deben funcionar coordinadamente para que la propiedad emergente del intercambio clínico efectivo se materialice.</w:t>
      </w:r>
    </w:p>
    <w:p w14:paraId="2CAC087D" w14:textId="77777777" w:rsidR="00720442" w:rsidRDefault="0080011C">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5ECE7F32" w14:textId="77777777" w:rsidR="00720442" w:rsidRDefault="0080011C">
      <w:r>
        <w:rPr>
          <w:noProof/>
        </w:rPr>
        <w:lastRenderedPageBreak/>
        <w:drawing>
          <wp:inline distT="0" distB="0" distL="0" distR="0" wp14:anchorId="2B2CBF50" wp14:editId="6EB42ACD">
            <wp:extent cx="5562600" cy="6128657"/>
            <wp:effectExtent l="0" t="0" r="0" b="0"/>
            <wp:docPr id="90"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91" name="Picture" descr="media/diagrama-niveles-interoperabilidad.png"/>
                    <pic:cNvPicPr>
                      <a:picLocks noChangeAspect="1" noChangeArrowheads="1"/>
                    </pic:cNvPicPr>
                  </pic:nvPicPr>
                  <pic:blipFill>
                    <a:blip r:embed="rId19"/>
                    <a:stretch>
                      <a:fillRect/>
                    </a:stretch>
                  </pic:blipFill>
                  <pic:spPr bwMode="auto">
                    <a:xfrm>
                      <a:off x="0" y="0"/>
                      <a:ext cx="5562600" cy="6128657"/>
                    </a:xfrm>
                    <a:prstGeom prst="rect">
                      <a:avLst/>
                    </a:prstGeom>
                    <a:noFill/>
                    <a:ln w="9525">
                      <a:noFill/>
                      <a:headEnd/>
                      <a:tailEnd/>
                    </a:ln>
                  </pic:spPr>
                </pic:pic>
              </a:graphicData>
            </a:graphic>
          </wp:inline>
        </w:drawing>
      </w:r>
    </w:p>
    <w:p w14:paraId="32F28E8F" w14:textId="51F4628A" w:rsidR="00720442" w:rsidRDefault="0080011C">
      <w:pPr>
        <w:jc w:val="center"/>
      </w:pPr>
      <w:bookmarkStart w:id="84" w:name="_Toc225939050"/>
      <w:r>
        <w:rPr>
          <w:i/>
          <w:sz w:val="20"/>
        </w:rPr>
        <w:t xml:space="preserve">Figura </w:t>
      </w:r>
      <w:r>
        <w:fldChar w:fldCharType="begin"/>
      </w:r>
      <w:r>
        <w:instrText xml:space="preserve"> SEQ Figure \* ARABIC </w:instrText>
      </w:r>
      <w:r>
        <w:fldChar w:fldCharType="separate"/>
      </w:r>
      <w:r w:rsidR="005314D4">
        <w:rPr>
          <w:noProof/>
        </w:rPr>
        <w:t>12</w:t>
      </w:r>
      <w:r>
        <w:fldChar w:fldCharType="end"/>
      </w:r>
      <w:r>
        <w:rPr>
          <w:i/>
          <w:sz w:val="20"/>
        </w:rPr>
        <w:t>. Niveles de interoperabilidad en salud según HIMSS</w:t>
      </w:r>
      <w:bookmarkEnd w:id="84"/>
    </w:p>
    <w:p w14:paraId="1E53E549" w14:textId="77777777" w:rsidR="00720442" w:rsidRDefault="0080011C">
      <w:pPr>
        <w:jc w:val="center"/>
      </w:pPr>
      <w:r>
        <w:rPr>
          <w:i/>
          <w:iCs/>
          <w:sz w:val="20"/>
        </w:rPr>
        <w:t>Nota.</w:t>
      </w:r>
      <w:r>
        <w:rPr>
          <w:sz w:val="20"/>
        </w:rPr>
        <w:t xml:space="preserve"> Elaboración propia basada en HIMSS (como se citó en Amar et al., 2024) y OPS (2024).</w:t>
      </w:r>
    </w:p>
    <w:p w14:paraId="138FD320" w14:textId="77777777" w:rsidR="00720442" w:rsidRDefault="0080011C">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mayoría de casos de uso clínico, superando la impredecibilid</w:t>
      </w:r>
      <w:r>
        <w:t>ad inherente del sector salud sin incrementar costos y complejidad progresivamente. Las APIs RESTful y los servicios web generan, gestionan y distribuyen estos recursos (Pimenta et al., 2023).</w:t>
      </w:r>
    </w:p>
    <w:p w14:paraId="0FA32F8C" w14:textId="77777777" w:rsidR="00720442" w:rsidRDefault="0080011C">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w:t>
      </w:r>
      <w:r>
        <w:t xml:space="preserve"> FHIR Interoperability Table (FHIT) para evaluar la interoperabilidad entre clientes y servidores que soportan diferentes recursos, perfiles y versiones.</w:t>
      </w:r>
    </w:p>
    <w:p w14:paraId="0263B4D4" w14:textId="77777777" w:rsidR="00720442" w:rsidRDefault="0080011C">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461CC783" w14:textId="77777777" w:rsidR="00720442" w:rsidRDefault="0080011C">
      <w:r>
        <w:rPr>
          <w:noProof/>
        </w:rPr>
        <w:lastRenderedPageBreak/>
        <w:drawing>
          <wp:inline distT="0" distB="0" distL="0" distR="0" wp14:anchorId="10DAEEA7" wp14:editId="3A023564">
            <wp:extent cx="5562600" cy="5238368"/>
            <wp:effectExtent l="0" t="0" r="0" b="0"/>
            <wp:docPr id="93"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94" name="Picture" descr="media/diagrama-recursos-fhir.png"/>
                    <pic:cNvPicPr>
                      <a:picLocks noChangeAspect="1" noChangeArrowheads="1"/>
                    </pic:cNvPicPr>
                  </pic:nvPicPr>
                  <pic:blipFill>
                    <a:blip r:embed="rId20"/>
                    <a:stretch>
                      <a:fillRect/>
                    </a:stretch>
                  </pic:blipFill>
                  <pic:spPr bwMode="auto">
                    <a:xfrm>
                      <a:off x="0" y="0"/>
                      <a:ext cx="5562600" cy="5238368"/>
                    </a:xfrm>
                    <a:prstGeom prst="rect">
                      <a:avLst/>
                    </a:prstGeom>
                    <a:noFill/>
                    <a:ln w="9525">
                      <a:noFill/>
                      <a:headEnd/>
                      <a:tailEnd/>
                    </a:ln>
                  </pic:spPr>
                </pic:pic>
              </a:graphicData>
            </a:graphic>
          </wp:inline>
        </w:drawing>
      </w:r>
    </w:p>
    <w:p w14:paraId="591EC3A8" w14:textId="213D028E" w:rsidR="00720442" w:rsidRDefault="0080011C">
      <w:pPr>
        <w:jc w:val="center"/>
      </w:pPr>
      <w:bookmarkStart w:id="85" w:name="_Toc225939051"/>
      <w:r>
        <w:rPr>
          <w:i/>
          <w:sz w:val="20"/>
        </w:rPr>
        <w:t xml:space="preserve">Figura </w:t>
      </w:r>
      <w:r>
        <w:fldChar w:fldCharType="begin"/>
      </w:r>
      <w:r>
        <w:instrText xml:space="preserve"> SEQ Figure \* ARABIC </w:instrText>
      </w:r>
      <w:r>
        <w:fldChar w:fldCharType="separate"/>
      </w:r>
      <w:r w:rsidR="005314D4">
        <w:rPr>
          <w:noProof/>
        </w:rPr>
        <w:t>13</w:t>
      </w:r>
      <w:r>
        <w:fldChar w:fldCharType="end"/>
      </w:r>
      <w:r>
        <w:rPr>
          <w:i/>
          <w:sz w:val="20"/>
        </w:rPr>
        <w:t>. Recursos FHIR principales y sus relaciones</w:t>
      </w:r>
      <w:bookmarkEnd w:id="85"/>
    </w:p>
    <w:p w14:paraId="0C44F76D" w14:textId="77777777" w:rsidR="00720442" w:rsidRDefault="0080011C">
      <w:pPr>
        <w:jc w:val="center"/>
      </w:pPr>
      <w:r>
        <w:rPr>
          <w:i/>
          <w:iCs/>
          <w:sz w:val="20"/>
        </w:rPr>
        <w:t>Nota.</w:t>
      </w:r>
      <w:r>
        <w:rPr>
          <w:sz w:val="20"/>
        </w:rPr>
        <w:t xml:space="preserve"> Elaboración propia basada en HL7 International (2019) y Pimenta et al. (2023).</w:t>
      </w:r>
    </w:p>
    <w:p w14:paraId="4CD4B995" w14:textId="77777777" w:rsidR="00720442" w:rsidRDefault="0080011C">
      <w:r>
        <w:t>La Tabla 8 sintetiza la distribución de usos de FHIR en investigación en salud y las terminologías complementarias más utilizadas, según la revisión sistemática de Vorisek et al. (2022) sobre 49 estudios.</w:t>
      </w:r>
    </w:p>
    <w:p w14:paraId="17E070AF" w14:textId="17E60DD6" w:rsidR="00720442" w:rsidRDefault="0080011C">
      <w:bookmarkStart w:id="86" w:name="tbl:usos-fhir"/>
      <w:bookmarkStart w:id="87" w:name="_Toc225939034"/>
      <w:r>
        <w:t xml:space="preserve">Tabla </w:t>
      </w:r>
      <w:r>
        <w:fldChar w:fldCharType="begin"/>
      </w:r>
      <w:r>
        <w:instrText xml:space="preserve"> SEQ Table \* ARABIC </w:instrText>
      </w:r>
      <w:r>
        <w:fldChar w:fldCharType="separate"/>
      </w:r>
      <w:r w:rsidR="005314D4">
        <w:rPr>
          <w:noProof/>
        </w:rPr>
        <w:t>8</w:t>
      </w:r>
      <w:r>
        <w:fldChar w:fldCharType="end"/>
      </w:r>
      <w:r>
        <w:t>. Distribución de usos de FHIR en investigación y terminologías complementarias</w:t>
      </w:r>
      <w:bookmarkEnd w:id="87"/>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Distribución de usos de FHIR en investigación y terminologías complementarias"/>
      </w:tblPr>
      <w:tblGrid>
        <w:gridCol w:w="4925"/>
        <w:gridCol w:w="1664"/>
      </w:tblGrid>
      <w:tr w:rsidR="00720442" w14:paraId="28D63F8D" w14:textId="77777777">
        <w:trPr>
          <w:tblHeader/>
        </w:trPr>
        <w:tc>
          <w:tcPr>
            <w:tcW w:w="0" w:type="auto"/>
          </w:tcPr>
          <w:p w14:paraId="184F9E1A" w14:textId="77777777" w:rsidR="00720442" w:rsidRDefault="0080011C">
            <w:pPr>
              <w:jc w:val="left"/>
            </w:pPr>
            <w:r>
              <w:rPr>
                <w:b/>
                <w:bCs/>
              </w:rPr>
              <w:t>Panel A: Áreas de aplicación de FHIR</w:t>
            </w:r>
          </w:p>
        </w:tc>
        <w:tc>
          <w:tcPr>
            <w:tcW w:w="0" w:type="auto"/>
          </w:tcPr>
          <w:p w14:paraId="41710B96" w14:textId="77777777" w:rsidR="00720442" w:rsidRDefault="0080011C">
            <w:pPr>
              <w:jc w:val="center"/>
            </w:pPr>
            <w:r>
              <w:rPr>
                <w:b/>
                <w:bCs/>
              </w:rPr>
              <w:t>% (n)</w:t>
            </w:r>
          </w:p>
        </w:tc>
      </w:tr>
      <w:tr w:rsidR="00720442" w14:paraId="57D38EBB" w14:textId="77777777">
        <w:tc>
          <w:tcPr>
            <w:tcW w:w="0" w:type="auto"/>
          </w:tcPr>
          <w:p w14:paraId="3E50D7B1" w14:textId="77777777" w:rsidR="00720442" w:rsidRDefault="0080011C">
            <w:pPr>
              <w:jc w:val="left"/>
            </w:pPr>
            <w:r>
              <w:t>Estandarización de datos</w:t>
            </w:r>
          </w:p>
        </w:tc>
        <w:tc>
          <w:tcPr>
            <w:tcW w:w="0" w:type="auto"/>
          </w:tcPr>
          <w:p w14:paraId="3E6F887A" w14:textId="77777777" w:rsidR="00720442" w:rsidRDefault="0080011C">
            <w:pPr>
              <w:jc w:val="center"/>
            </w:pPr>
            <w:r>
              <w:t>41 % (n = 20)</w:t>
            </w:r>
          </w:p>
        </w:tc>
      </w:tr>
      <w:tr w:rsidR="00720442" w14:paraId="663912C5" w14:textId="77777777">
        <w:tc>
          <w:tcPr>
            <w:tcW w:w="0" w:type="auto"/>
          </w:tcPr>
          <w:p w14:paraId="6A1770AD" w14:textId="77777777" w:rsidR="00720442" w:rsidRDefault="0080011C">
            <w:pPr>
              <w:jc w:val="left"/>
            </w:pPr>
            <w:r>
              <w:t>Captura de datos</w:t>
            </w:r>
          </w:p>
        </w:tc>
        <w:tc>
          <w:tcPr>
            <w:tcW w:w="0" w:type="auto"/>
          </w:tcPr>
          <w:p w14:paraId="204A8766" w14:textId="77777777" w:rsidR="00720442" w:rsidRDefault="0080011C">
            <w:pPr>
              <w:jc w:val="center"/>
            </w:pPr>
            <w:r>
              <w:t>29 % (n = 14)</w:t>
            </w:r>
          </w:p>
        </w:tc>
      </w:tr>
      <w:tr w:rsidR="00720442" w14:paraId="66FB9FAB" w14:textId="77777777">
        <w:tc>
          <w:tcPr>
            <w:tcW w:w="0" w:type="auto"/>
          </w:tcPr>
          <w:p w14:paraId="3691EAAE" w14:textId="77777777" w:rsidR="00720442" w:rsidRDefault="0080011C">
            <w:pPr>
              <w:jc w:val="left"/>
            </w:pPr>
            <w:r>
              <w:lastRenderedPageBreak/>
              <w:t>Reclutamiento de pacientes</w:t>
            </w:r>
          </w:p>
        </w:tc>
        <w:tc>
          <w:tcPr>
            <w:tcW w:w="0" w:type="auto"/>
          </w:tcPr>
          <w:p w14:paraId="16E4EA42" w14:textId="77777777" w:rsidR="00720442" w:rsidRDefault="0080011C">
            <w:pPr>
              <w:jc w:val="center"/>
            </w:pPr>
            <w:r>
              <w:t>14 % (n = 7)</w:t>
            </w:r>
          </w:p>
        </w:tc>
      </w:tr>
      <w:tr w:rsidR="00720442" w14:paraId="6553DBB2" w14:textId="77777777">
        <w:tc>
          <w:tcPr>
            <w:tcW w:w="0" w:type="auto"/>
          </w:tcPr>
          <w:p w14:paraId="5E295E14" w14:textId="77777777" w:rsidR="00720442" w:rsidRDefault="0080011C">
            <w:pPr>
              <w:jc w:val="left"/>
            </w:pPr>
            <w:r>
              <w:t>Análisis de datos</w:t>
            </w:r>
          </w:p>
        </w:tc>
        <w:tc>
          <w:tcPr>
            <w:tcW w:w="0" w:type="auto"/>
          </w:tcPr>
          <w:p w14:paraId="740B01E0" w14:textId="77777777" w:rsidR="00720442" w:rsidRDefault="0080011C">
            <w:pPr>
              <w:jc w:val="center"/>
            </w:pPr>
            <w:r>
              <w:t>12 % (n = 6)</w:t>
            </w:r>
          </w:p>
        </w:tc>
      </w:tr>
      <w:tr w:rsidR="00720442" w14:paraId="2657FB49" w14:textId="77777777">
        <w:tc>
          <w:tcPr>
            <w:tcW w:w="0" w:type="auto"/>
          </w:tcPr>
          <w:p w14:paraId="5D20161A" w14:textId="77777777" w:rsidR="00720442" w:rsidRDefault="0080011C">
            <w:pPr>
              <w:jc w:val="left"/>
            </w:pPr>
            <w:r>
              <w:t>Gestión de consentimiento</w:t>
            </w:r>
          </w:p>
        </w:tc>
        <w:tc>
          <w:tcPr>
            <w:tcW w:w="0" w:type="auto"/>
          </w:tcPr>
          <w:p w14:paraId="32FCC680" w14:textId="77777777" w:rsidR="00720442" w:rsidRDefault="0080011C">
            <w:pPr>
              <w:jc w:val="center"/>
            </w:pPr>
            <w:r>
              <w:t>4 % (n = 2)</w:t>
            </w:r>
          </w:p>
        </w:tc>
      </w:tr>
      <w:tr w:rsidR="00720442" w14:paraId="45BAB0AF" w14:textId="77777777">
        <w:tc>
          <w:tcPr>
            <w:tcW w:w="0" w:type="auto"/>
          </w:tcPr>
          <w:p w14:paraId="184FF0BF" w14:textId="77777777" w:rsidR="00720442" w:rsidRDefault="0080011C">
            <w:pPr>
              <w:jc w:val="left"/>
            </w:pPr>
            <w:r>
              <w:rPr>
                <w:b/>
                <w:bCs/>
              </w:rPr>
              <w:t>Panel B: Terminologías complementarias</w:t>
            </w:r>
          </w:p>
        </w:tc>
        <w:tc>
          <w:tcPr>
            <w:tcW w:w="0" w:type="auto"/>
          </w:tcPr>
          <w:p w14:paraId="4DD37EF7" w14:textId="77777777" w:rsidR="00720442" w:rsidRDefault="0080011C">
            <w:pPr>
              <w:jc w:val="center"/>
            </w:pPr>
            <w:r>
              <w:rPr>
                <w:b/>
                <w:bCs/>
              </w:rPr>
              <w:t>% (n)</w:t>
            </w:r>
          </w:p>
        </w:tc>
      </w:tr>
      <w:tr w:rsidR="00720442" w14:paraId="6D1D50EF" w14:textId="77777777">
        <w:tc>
          <w:tcPr>
            <w:tcW w:w="0" w:type="auto"/>
          </w:tcPr>
          <w:p w14:paraId="2618F315" w14:textId="77777777" w:rsidR="00720442" w:rsidRDefault="0080011C">
            <w:pPr>
              <w:jc w:val="left"/>
            </w:pPr>
            <w:r>
              <w:t>LOINC</w:t>
            </w:r>
          </w:p>
        </w:tc>
        <w:tc>
          <w:tcPr>
            <w:tcW w:w="0" w:type="auto"/>
          </w:tcPr>
          <w:p w14:paraId="26322760" w14:textId="77777777" w:rsidR="00720442" w:rsidRDefault="0080011C">
            <w:pPr>
              <w:jc w:val="center"/>
            </w:pPr>
            <w:r>
              <w:t>37 % (n = 18)</w:t>
            </w:r>
          </w:p>
        </w:tc>
      </w:tr>
      <w:tr w:rsidR="00720442" w14:paraId="1602BC47" w14:textId="77777777">
        <w:tc>
          <w:tcPr>
            <w:tcW w:w="0" w:type="auto"/>
          </w:tcPr>
          <w:p w14:paraId="18B6D078" w14:textId="77777777" w:rsidR="00720442" w:rsidRDefault="0080011C">
            <w:pPr>
              <w:jc w:val="left"/>
            </w:pPr>
            <w:r>
              <w:t>SNOMED-CT</w:t>
            </w:r>
          </w:p>
        </w:tc>
        <w:tc>
          <w:tcPr>
            <w:tcW w:w="0" w:type="auto"/>
          </w:tcPr>
          <w:p w14:paraId="386857F2" w14:textId="77777777" w:rsidR="00720442" w:rsidRDefault="0080011C">
            <w:pPr>
              <w:jc w:val="center"/>
            </w:pPr>
            <w:r>
              <w:t>29 % (n = 14)</w:t>
            </w:r>
          </w:p>
        </w:tc>
      </w:tr>
      <w:tr w:rsidR="00720442" w14:paraId="52A758E7" w14:textId="77777777">
        <w:tc>
          <w:tcPr>
            <w:tcW w:w="0" w:type="auto"/>
          </w:tcPr>
          <w:p w14:paraId="01FDAFB6" w14:textId="77777777" w:rsidR="00720442" w:rsidRDefault="0080011C">
            <w:pPr>
              <w:jc w:val="left"/>
            </w:pPr>
            <w:r>
              <w:t>ICD-10</w:t>
            </w:r>
          </w:p>
        </w:tc>
        <w:tc>
          <w:tcPr>
            <w:tcW w:w="0" w:type="auto"/>
          </w:tcPr>
          <w:p w14:paraId="7C4A8A44" w14:textId="77777777" w:rsidR="00720442" w:rsidRDefault="0080011C">
            <w:pPr>
              <w:jc w:val="center"/>
            </w:pPr>
            <w:r>
              <w:t>18 % (n = 9)</w:t>
            </w:r>
          </w:p>
        </w:tc>
      </w:tr>
      <w:tr w:rsidR="00720442" w14:paraId="27B926CA" w14:textId="77777777">
        <w:tc>
          <w:tcPr>
            <w:tcW w:w="0" w:type="auto"/>
          </w:tcPr>
          <w:p w14:paraId="790A6C9B" w14:textId="77777777" w:rsidR="00720442" w:rsidRDefault="0080011C">
            <w:pPr>
              <w:jc w:val="left"/>
            </w:pPr>
            <w:r>
              <w:t>OMOP CDM</w:t>
            </w:r>
          </w:p>
        </w:tc>
        <w:tc>
          <w:tcPr>
            <w:tcW w:w="0" w:type="auto"/>
          </w:tcPr>
          <w:p w14:paraId="1FF57C95" w14:textId="77777777" w:rsidR="00720442" w:rsidRDefault="0080011C">
            <w:pPr>
              <w:jc w:val="center"/>
            </w:pPr>
            <w:r>
              <w:t>12 % (n = 6)</w:t>
            </w:r>
          </w:p>
        </w:tc>
      </w:tr>
      <w:tr w:rsidR="00720442" w14:paraId="6D2CE989" w14:textId="77777777">
        <w:tc>
          <w:tcPr>
            <w:tcW w:w="0" w:type="auto"/>
          </w:tcPr>
          <w:p w14:paraId="0511D1E0" w14:textId="77777777" w:rsidR="00720442" w:rsidRDefault="0080011C">
            <w:pPr>
              <w:jc w:val="left"/>
            </w:pPr>
            <w:r>
              <w:t>Otras</w:t>
            </w:r>
          </w:p>
        </w:tc>
        <w:tc>
          <w:tcPr>
            <w:tcW w:w="0" w:type="auto"/>
          </w:tcPr>
          <w:p w14:paraId="17AD4496" w14:textId="77777777" w:rsidR="00720442" w:rsidRDefault="0080011C">
            <w:pPr>
              <w:jc w:val="center"/>
            </w:pPr>
            <w:r>
              <w:t>43 % (n = 21)</w:t>
            </w:r>
          </w:p>
        </w:tc>
      </w:tr>
    </w:tbl>
    <w:bookmarkEnd w:id="86"/>
    <w:p w14:paraId="6F080BB3" w14:textId="77777777" w:rsidR="00720442" w:rsidRDefault="0080011C">
      <w:pPr>
        <w:jc w:val="center"/>
      </w:pPr>
      <w:r>
        <w:rPr>
          <w:i/>
          <w:iCs/>
          <w:sz w:val="20"/>
        </w:rPr>
        <w:t>Nota.</w:t>
      </w:r>
      <w:r>
        <w:rPr>
          <w:sz w:val="20"/>
        </w:rPr>
        <w:t xml:space="preserve"> Adaptado de </w:t>
      </w:r>
      <w:r>
        <w:rPr>
          <w:sz w:val="20"/>
        </w:rPr>
        <w:t xml:space="preserve">“Fast Healthcare Interoperability Resources (FHIR) for Health Research”, por Vorisek et al., 2022, </w:t>
      </w:r>
      <w:r>
        <w:rPr>
          <w:i/>
          <w:iCs/>
          <w:sz w:val="20"/>
        </w:rPr>
        <w:t>JMIR Medical Informatics</w:t>
      </w:r>
      <w:r>
        <w:rPr>
          <w:sz w:val="20"/>
        </w:rPr>
        <w:t>, 10(7), e35724. La suma de terminologías supera 100 % porque un estudio puede utilizar más de una terminología.</w:t>
      </w:r>
    </w:p>
    <w:p w14:paraId="22B5D7A0" w14:textId="77777777" w:rsidR="00720442" w:rsidRDefault="0080011C">
      <w:r>
        <w:t>La Tabla 9 complementa esta información con la distribución de enfoques de interoperabilidad semántica identificados por Amar et al. (2024) en su revisión de mapeo sistemático de 70 estudios.</w:t>
      </w:r>
    </w:p>
    <w:p w14:paraId="351DE9DF" w14:textId="21F97027" w:rsidR="00720442" w:rsidRDefault="0080011C">
      <w:bookmarkStart w:id="88" w:name="tbl:enfoques-semanticos"/>
      <w:bookmarkStart w:id="89" w:name="_Toc225939035"/>
      <w:r>
        <w:t xml:space="preserve">Tabla </w:t>
      </w:r>
      <w:r>
        <w:fldChar w:fldCharType="begin"/>
      </w:r>
      <w:r>
        <w:instrText xml:space="preserve"> SEQ Table \* ARABIC </w:instrText>
      </w:r>
      <w:r>
        <w:fldChar w:fldCharType="separate"/>
      </w:r>
      <w:r w:rsidR="005314D4">
        <w:rPr>
          <w:noProof/>
        </w:rPr>
        <w:t>9</w:t>
      </w:r>
      <w:r>
        <w:fldChar w:fldCharType="end"/>
      </w:r>
      <w:r>
        <w:t>. Enfoques de interoperabilidad semántica con FHIR</w:t>
      </w:r>
      <w:bookmarkEnd w:id="89"/>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Enfoques de interoperabilidad semántica con FHIR"/>
      </w:tblPr>
      <w:tblGrid>
        <w:gridCol w:w="3699"/>
        <w:gridCol w:w="2311"/>
      </w:tblGrid>
      <w:tr w:rsidR="00720442" w14:paraId="6BC390A2" w14:textId="77777777">
        <w:trPr>
          <w:tblHeader/>
        </w:trPr>
        <w:tc>
          <w:tcPr>
            <w:tcW w:w="0" w:type="auto"/>
          </w:tcPr>
          <w:p w14:paraId="57A1D432" w14:textId="77777777" w:rsidR="00720442" w:rsidRDefault="0080011C">
            <w:pPr>
              <w:jc w:val="left"/>
            </w:pPr>
            <w:r>
              <w:t>Categoría de enfoque semántico</w:t>
            </w:r>
          </w:p>
        </w:tc>
        <w:tc>
          <w:tcPr>
            <w:tcW w:w="0" w:type="auto"/>
          </w:tcPr>
          <w:p w14:paraId="7656673D" w14:textId="77777777" w:rsidR="00720442" w:rsidRDefault="0080011C">
            <w:pPr>
              <w:jc w:val="center"/>
            </w:pPr>
            <w:r>
              <w:t>% (n/126 enfoques)</w:t>
            </w:r>
          </w:p>
        </w:tc>
      </w:tr>
      <w:tr w:rsidR="00720442" w14:paraId="76BAE3BB" w14:textId="77777777">
        <w:tc>
          <w:tcPr>
            <w:tcW w:w="0" w:type="auto"/>
          </w:tcPr>
          <w:p w14:paraId="48909242" w14:textId="77777777" w:rsidR="00720442" w:rsidRDefault="0080011C">
            <w:pPr>
              <w:jc w:val="left"/>
            </w:pPr>
            <w:r>
              <w:t>Mapeo terminológico (</w:t>
            </w:r>
            <w:r>
              <w:rPr>
                <w:i/>
                <w:iCs/>
              </w:rPr>
              <w:t>mapping</w:t>
            </w:r>
            <w:r>
              <w:t>)</w:t>
            </w:r>
          </w:p>
        </w:tc>
        <w:tc>
          <w:tcPr>
            <w:tcW w:w="0" w:type="auto"/>
          </w:tcPr>
          <w:p w14:paraId="6D47CE1B" w14:textId="77777777" w:rsidR="00720442" w:rsidRDefault="0080011C">
            <w:pPr>
              <w:jc w:val="center"/>
            </w:pPr>
            <w:r>
              <w:t>24,6 % (31)</w:t>
            </w:r>
          </w:p>
        </w:tc>
      </w:tr>
      <w:tr w:rsidR="00720442" w14:paraId="3D49E60D" w14:textId="77777777">
        <w:tc>
          <w:tcPr>
            <w:tcW w:w="0" w:type="auto"/>
          </w:tcPr>
          <w:p w14:paraId="7ABF7BEF" w14:textId="77777777" w:rsidR="00720442" w:rsidRDefault="0080011C">
            <w:pPr>
              <w:jc w:val="left"/>
            </w:pPr>
            <w:r>
              <w:t>Representación RDF/OWL</w:t>
            </w:r>
          </w:p>
        </w:tc>
        <w:tc>
          <w:tcPr>
            <w:tcW w:w="0" w:type="auto"/>
          </w:tcPr>
          <w:p w14:paraId="1F027B88" w14:textId="77777777" w:rsidR="00720442" w:rsidRDefault="0080011C">
            <w:pPr>
              <w:jc w:val="center"/>
            </w:pPr>
            <w:r>
              <w:t>19,0 % (24)</w:t>
            </w:r>
          </w:p>
        </w:tc>
      </w:tr>
      <w:tr w:rsidR="00720442" w14:paraId="14DB7B7B" w14:textId="77777777">
        <w:tc>
          <w:tcPr>
            <w:tcW w:w="0" w:type="auto"/>
          </w:tcPr>
          <w:p w14:paraId="570B4BCD" w14:textId="77777777" w:rsidR="00720442" w:rsidRDefault="0080011C">
            <w:pPr>
              <w:jc w:val="left"/>
            </w:pPr>
            <w:r>
              <w:t>Aprendizaje automático y NLP</w:t>
            </w:r>
          </w:p>
        </w:tc>
        <w:tc>
          <w:tcPr>
            <w:tcW w:w="0" w:type="auto"/>
          </w:tcPr>
          <w:p w14:paraId="6767D176" w14:textId="77777777" w:rsidR="00720442" w:rsidRDefault="0080011C">
            <w:pPr>
              <w:jc w:val="center"/>
            </w:pPr>
            <w:r>
              <w:t>15,9 % (20)</w:t>
            </w:r>
          </w:p>
        </w:tc>
      </w:tr>
      <w:tr w:rsidR="00720442" w14:paraId="308F0FC0" w14:textId="77777777">
        <w:tc>
          <w:tcPr>
            <w:tcW w:w="0" w:type="auto"/>
          </w:tcPr>
          <w:p w14:paraId="431CC878" w14:textId="77777777" w:rsidR="00720442" w:rsidRDefault="0080011C">
            <w:pPr>
              <w:jc w:val="left"/>
            </w:pPr>
            <w:r>
              <w:t>Servicios terminológicos</w:t>
            </w:r>
          </w:p>
        </w:tc>
        <w:tc>
          <w:tcPr>
            <w:tcW w:w="0" w:type="auto"/>
          </w:tcPr>
          <w:p w14:paraId="42437291" w14:textId="77777777" w:rsidR="00720442" w:rsidRDefault="0080011C">
            <w:pPr>
              <w:jc w:val="center"/>
            </w:pPr>
            <w:r>
              <w:t>14,3 % (18)</w:t>
            </w:r>
          </w:p>
        </w:tc>
      </w:tr>
      <w:tr w:rsidR="00720442" w14:paraId="6D2B62E3" w14:textId="77777777">
        <w:tc>
          <w:tcPr>
            <w:tcW w:w="0" w:type="auto"/>
          </w:tcPr>
          <w:p w14:paraId="7B5C01E0" w14:textId="77777777" w:rsidR="00720442" w:rsidRDefault="0080011C">
            <w:pPr>
              <w:jc w:val="left"/>
            </w:pPr>
            <w:r>
              <w:t>Mecanismos de anotación</w:t>
            </w:r>
          </w:p>
        </w:tc>
        <w:tc>
          <w:tcPr>
            <w:tcW w:w="0" w:type="auto"/>
          </w:tcPr>
          <w:p w14:paraId="13C0F95F" w14:textId="77777777" w:rsidR="00720442" w:rsidRDefault="0080011C">
            <w:pPr>
              <w:jc w:val="center"/>
            </w:pPr>
            <w:r>
              <w:t>14,3 % (18)</w:t>
            </w:r>
          </w:p>
        </w:tc>
      </w:tr>
      <w:tr w:rsidR="00720442" w14:paraId="1B1FD69C" w14:textId="77777777">
        <w:tc>
          <w:tcPr>
            <w:tcW w:w="0" w:type="auto"/>
          </w:tcPr>
          <w:p w14:paraId="347D9334" w14:textId="77777777" w:rsidR="00720442" w:rsidRDefault="0080011C">
            <w:pPr>
              <w:jc w:val="left"/>
            </w:pPr>
            <w:r>
              <w:t>Basados en ontologías</w:t>
            </w:r>
          </w:p>
        </w:tc>
        <w:tc>
          <w:tcPr>
            <w:tcW w:w="0" w:type="auto"/>
          </w:tcPr>
          <w:p w14:paraId="50850BBB" w14:textId="77777777" w:rsidR="00720442" w:rsidRDefault="0080011C">
            <w:pPr>
              <w:jc w:val="center"/>
            </w:pPr>
            <w:r>
              <w:t>11,9 % (15)</w:t>
            </w:r>
          </w:p>
        </w:tc>
      </w:tr>
    </w:tbl>
    <w:bookmarkEnd w:id="88"/>
    <w:p w14:paraId="2F78D1B3" w14:textId="77777777" w:rsidR="00720442" w:rsidRDefault="0080011C">
      <w:pPr>
        <w:jc w:val="center"/>
      </w:pPr>
      <w:r>
        <w:rPr>
          <w:i/>
          <w:iCs/>
          <w:sz w:val="20"/>
        </w:rPr>
        <w:t>Nota.</w:t>
      </w:r>
      <w:r>
        <w:rPr>
          <w:sz w:val="20"/>
        </w:rPr>
        <w:t xml:space="preserve"> Adaptado de “Semantic Interoperability in Health: A Mapping Study of Approaches Related to the Fast Healthcare Interoperability Resources Standard”, por Amar et al., 2024, </w:t>
      </w:r>
      <w:r>
        <w:rPr>
          <w:i/>
          <w:iCs/>
          <w:sz w:val="20"/>
        </w:rPr>
        <w:t>JMIR</w:t>
      </w:r>
      <w:r>
        <w:rPr>
          <w:sz w:val="20"/>
        </w:rPr>
        <w:t>, 26, e45209. La suma supera n = 70 estudios porque un estudio puede emplear más de un enfoque.</w:t>
      </w:r>
    </w:p>
    <w:p w14:paraId="49118E41" w14:textId="77777777" w:rsidR="00720442" w:rsidRDefault="0080011C">
      <w:r>
        <w:t>La siguiente figura visualiza la distribución de estos seis enfoques, permitiendo apreciar el predominio del mapeo terminológico y la diversidad de estrategias complementarias identificadas en la literatura.</w:t>
      </w:r>
    </w:p>
    <w:p w14:paraId="418B1F5E" w14:textId="77777777" w:rsidR="00720442" w:rsidRDefault="0080011C">
      <w:r>
        <w:rPr>
          <w:noProof/>
        </w:rPr>
        <w:lastRenderedPageBreak/>
        <w:drawing>
          <wp:inline distT="0" distB="0" distL="0" distR="0" wp14:anchorId="01C70411" wp14:editId="4AF39F45">
            <wp:extent cx="5562600" cy="6272198"/>
            <wp:effectExtent l="0" t="0" r="0" b="0"/>
            <wp:docPr id="98" name="Picture" descr="Distribución de enfoques de interoperabilidad semántica con FHIR"/>
            <wp:cNvGraphicFramePr/>
            <a:graphic xmlns:a="http://schemas.openxmlformats.org/drawingml/2006/main">
              <a:graphicData uri="http://schemas.openxmlformats.org/drawingml/2006/picture">
                <pic:pic xmlns:pic="http://schemas.openxmlformats.org/drawingml/2006/picture">
                  <pic:nvPicPr>
                    <pic:cNvPr id="99" name="Picture" descr="media/diagrama-enfoques-semanticos-fhir.png"/>
                    <pic:cNvPicPr>
                      <a:picLocks noChangeAspect="1" noChangeArrowheads="1"/>
                    </pic:cNvPicPr>
                  </pic:nvPicPr>
                  <pic:blipFill>
                    <a:blip r:embed="rId21"/>
                    <a:stretch>
                      <a:fillRect/>
                    </a:stretch>
                  </pic:blipFill>
                  <pic:spPr bwMode="auto">
                    <a:xfrm>
                      <a:off x="0" y="0"/>
                      <a:ext cx="5562600" cy="6272198"/>
                    </a:xfrm>
                    <a:prstGeom prst="rect">
                      <a:avLst/>
                    </a:prstGeom>
                    <a:noFill/>
                    <a:ln w="9525">
                      <a:noFill/>
                      <a:headEnd/>
                      <a:tailEnd/>
                    </a:ln>
                  </pic:spPr>
                </pic:pic>
              </a:graphicData>
            </a:graphic>
          </wp:inline>
        </w:drawing>
      </w:r>
    </w:p>
    <w:p w14:paraId="113F2521" w14:textId="5B2C65AD" w:rsidR="00720442" w:rsidRDefault="0080011C">
      <w:pPr>
        <w:jc w:val="center"/>
      </w:pPr>
      <w:bookmarkStart w:id="90" w:name="_Toc225939052"/>
      <w:r>
        <w:rPr>
          <w:i/>
          <w:sz w:val="20"/>
        </w:rPr>
        <w:t xml:space="preserve">Figura </w:t>
      </w:r>
      <w:r>
        <w:fldChar w:fldCharType="begin"/>
      </w:r>
      <w:r>
        <w:instrText xml:space="preserve"> SEQ Figure \* ARABIC </w:instrText>
      </w:r>
      <w:r>
        <w:fldChar w:fldCharType="separate"/>
      </w:r>
      <w:r w:rsidR="005314D4">
        <w:rPr>
          <w:noProof/>
        </w:rPr>
        <w:t>14</w:t>
      </w:r>
      <w:r>
        <w:fldChar w:fldCharType="end"/>
      </w:r>
      <w:r>
        <w:rPr>
          <w:i/>
          <w:sz w:val="20"/>
        </w:rPr>
        <w:t>. Distribución de enfoques de interoperabilidad semántica con FHIR</w:t>
      </w:r>
      <w:bookmarkEnd w:id="90"/>
    </w:p>
    <w:p w14:paraId="3E801D82" w14:textId="77777777" w:rsidR="00720442" w:rsidRDefault="0080011C">
      <w:pPr>
        <w:jc w:val="center"/>
      </w:pPr>
      <w:r>
        <w:rPr>
          <w:i/>
          <w:iCs/>
          <w:sz w:val="20"/>
        </w:rPr>
        <w:t>Nota.</w:t>
      </w:r>
      <w:r>
        <w:rPr>
          <w:sz w:val="20"/>
        </w:rPr>
        <w:t xml:space="preserve"> Elaboración propia a partir de Amar et al. (2024).</w:t>
      </w:r>
    </w:p>
    <w:p w14:paraId="53F8D8BF" w14:textId="77777777" w:rsidR="00720442" w:rsidRDefault="0080011C">
      <w:bookmarkStart w:id="91" w:name="enfoque-sociotécnico"/>
      <w:bookmarkEnd w:id="83"/>
      <w:r>
        <w:t>Enfoque Sociotécnico</w:t>
      </w:r>
    </w:p>
    <w:p w14:paraId="0C9FED09" w14:textId="77777777" w:rsidR="00720442" w:rsidRDefault="0080011C">
      <w:r>
        <w:t xml:space="preserve">El Enfoque Sociotécnico, originado en los estudios del Tavistock Institute (Emery y Trist, 1960) y aplicado a los sistemas de información por Bostrom y Heinen (1977), postula que los sistemas de información integran un componente técnico (hardware, software, estándares, redes) y un componente social (personas, </w:t>
      </w:r>
      <w:r>
        <w:lastRenderedPageBreak/>
        <w:t>procesos organizacionales, cultura institucional, estructuras de gobernanza). La optimización del sistema requiere el diseño conjunto de ambos componentes; intervenir solo el técnico o solo el social produce resultados subóptimos. Fernandez et al. (2025) identificaron que la combinación de estándares técnicos con procesos organizacionales y gobernanza sostenida es condición necesaria para el impacto de la interoperabilidad; esta triada corresponde exactamente a la integración sociotécnica. Holmgren et al. (</w:t>
      </w:r>
      <w:r>
        <w:t>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w:t>
      </w:r>
      <w:r>
        <w:t>úa no solo infraestructura técnica sino también cumplimiento normativo y capacidad operativa, y la Fase 3 mide tanto indicadores técnicos (completitud, codificación) como indicadores de proceso (tiempo de validación administrativa).</w:t>
      </w:r>
    </w:p>
    <w:p w14:paraId="6E5516FB" w14:textId="77777777" w:rsidR="00720442" w:rsidRDefault="0080011C">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 La Tabla 1</w:t>
      </w:r>
      <w:r>
        <w:t>0 presenta una comparativa de las políticas de intercambio de información de salud en cinco países con distinto grado de madurez, basada en el análisis de Holmgren et al. (2023).</w:t>
      </w:r>
    </w:p>
    <w:p w14:paraId="515F9B89" w14:textId="2E900BA0" w:rsidR="00720442" w:rsidRDefault="0080011C">
      <w:bookmarkStart w:id="92" w:name="tbl:politicas-hie"/>
      <w:bookmarkStart w:id="93" w:name="_Toc225939036"/>
      <w:r>
        <w:t xml:space="preserve">Tabla </w:t>
      </w:r>
      <w:r>
        <w:fldChar w:fldCharType="begin"/>
      </w:r>
      <w:r>
        <w:instrText xml:space="preserve"> SEQ Table \* ARABIC </w:instrText>
      </w:r>
      <w:r>
        <w:fldChar w:fldCharType="separate"/>
      </w:r>
      <w:r w:rsidR="005314D4">
        <w:rPr>
          <w:noProof/>
        </w:rPr>
        <w:t>10</w:t>
      </w:r>
      <w:r>
        <w:fldChar w:fldCharType="end"/>
      </w:r>
      <w:r>
        <w:t>. Comparativa de políticas de intercambio de información de salud en cinco países</w:t>
      </w:r>
      <w:bookmarkEnd w:id="9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políticas de intercambio de información de salud en cinco países"/>
      </w:tblPr>
      <w:tblGrid>
        <w:gridCol w:w="3180"/>
        <w:gridCol w:w="1093"/>
        <w:gridCol w:w="1093"/>
        <w:gridCol w:w="1292"/>
        <w:gridCol w:w="994"/>
        <w:gridCol w:w="1093"/>
      </w:tblGrid>
      <w:tr w:rsidR="00720442" w14:paraId="25727366" w14:textId="77777777">
        <w:trPr>
          <w:tblHeader/>
        </w:trPr>
        <w:tc>
          <w:tcPr>
            <w:tcW w:w="2880" w:type="dxa"/>
          </w:tcPr>
          <w:p w14:paraId="5BDEB674" w14:textId="77777777" w:rsidR="00720442" w:rsidRDefault="0080011C">
            <w:pPr>
              <w:jc w:val="left"/>
            </w:pPr>
            <w:r>
              <w:lastRenderedPageBreak/>
              <w:t>Dimensión</w:t>
            </w:r>
          </w:p>
        </w:tc>
        <w:tc>
          <w:tcPr>
            <w:tcW w:w="990" w:type="dxa"/>
          </w:tcPr>
          <w:p w14:paraId="0A0A5843" w14:textId="77777777" w:rsidR="00720442" w:rsidRDefault="0080011C">
            <w:pPr>
              <w:jc w:val="left"/>
            </w:pPr>
            <w:r>
              <w:t>EE. UU.</w:t>
            </w:r>
          </w:p>
        </w:tc>
        <w:tc>
          <w:tcPr>
            <w:tcW w:w="990" w:type="dxa"/>
          </w:tcPr>
          <w:p w14:paraId="49E8A6D4" w14:textId="77777777" w:rsidR="00720442" w:rsidRDefault="0080011C">
            <w:pPr>
              <w:jc w:val="left"/>
            </w:pPr>
            <w:r>
              <w:t>Alemania</w:t>
            </w:r>
          </w:p>
        </w:tc>
        <w:tc>
          <w:tcPr>
            <w:tcW w:w="1170" w:type="dxa"/>
          </w:tcPr>
          <w:p w14:paraId="7D54FE76" w14:textId="77777777" w:rsidR="00720442" w:rsidRDefault="0080011C">
            <w:pPr>
              <w:jc w:val="left"/>
            </w:pPr>
            <w:r>
              <w:t>Reino Unido</w:t>
            </w:r>
          </w:p>
        </w:tc>
        <w:tc>
          <w:tcPr>
            <w:tcW w:w="900" w:type="dxa"/>
          </w:tcPr>
          <w:p w14:paraId="40B2E0D7" w14:textId="77777777" w:rsidR="00720442" w:rsidRDefault="0080011C">
            <w:pPr>
              <w:jc w:val="left"/>
            </w:pPr>
            <w:r>
              <w:t>Israel</w:t>
            </w:r>
          </w:p>
        </w:tc>
        <w:tc>
          <w:tcPr>
            <w:tcW w:w="990" w:type="dxa"/>
          </w:tcPr>
          <w:p w14:paraId="29686835" w14:textId="77777777" w:rsidR="00720442" w:rsidRDefault="0080011C">
            <w:pPr>
              <w:jc w:val="left"/>
            </w:pPr>
            <w:r>
              <w:t>Portugal</w:t>
            </w:r>
          </w:p>
        </w:tc>
      </w:tr>
      <w:tr w:rsidR="00720442" w14:paraId="24D3EBE7" w14:textId="77777777">
        <w:tc>
          <w:tcPr>
            <w:tcW w:w="2880" w:type="dxa"/>
          </w:tcPr>
          <w:p w14:paraId="32C1E819" w14:textId="77777777" w:rsidR="00720442" w:rsidRDefault="0080011C">
            <w:pPr>
              <w:jc w:val="left"/>
            </w:pPr>
            <w:r>
              <w:t>Adopción de EHR en org. agudas</w:t>
            </w:r>
          </w:p>
        </w:tc>
        <w:tc>
          <w:tcPr>
            <w:tcW w:w="990" w:type="dxa"/>
          </w:tcPr>
          <w:p w14:paraId="53F1CAF7" w14:textId="77777777" w:rsidR="00720442" w:rsidRDefault="0080011C">
            <w:pPr>
              <w:jc w:val="left"/>
            </w:pPr>
            <w:r>
              <w:t>Alta</w:t>
            </w:r>
          </w:p>
        </w:tc>
        <w:tc>
          <w:tcPr>
            <w:tcW w:w="990" w:type="dxa"/>
          </w:tcPr>
          <w:p w14:paraId="7E04554C" w14:textId="77777777" w:rsidR="00720442" w:rsidRDefault="0080011C">
            <w:pPr>
              <w:jc w:val="left"/>
            </w:pPr>
            <w:r>
              <w:t>Moderada</w:t>
            </w:r>
          </w:p>
        </w:tc>
        <w:tc>
          <w:tcPr>
            <w:tcW w:w="1170" w:type="dxa"/>
          </w:tcPr>
          <w:p w14:paraId="07493036" w14:textId="77777777" w:rsidR="00720442" w:rsidRDefault="0080011C">
            <w:pPr>
              <w:jc w:val="left"/>
            </w:pPr>
            <w:r>
              <w:t>Alta</w:t>
            </w:r>
          </w:p>
        </w:tc>
        <w:tc>
          <w:tcPr>
            <w:tcW w:w="900" w:type="dxa"/>
          </w:tcPr>
          <w:p w14:paraId="1DCB34CD" w14:textId="77777777" w:rsidR="00720442" w:rsidRDefault="0080011C">
            <w:pPr>
              <w:jc w:val="left"/>
            </w:pPr>
            <w:r>
              <w:t>Alta</w:t>
            </w:r>
          </w:p>
        </w:tc>
        <w:tc>
          <w:tcPr>
            <w:tcW w:w="990" w:type="dxa"/>
          </w:tcPr>
          <w:p w14:paraId="17B56442" w14:textId="77777777" w:rsidR="00720442" w:rsidRDefault="0080011C">
            <w:pPr>
              <w:jc w:val="left"/>
            </w:pPr>
            <w:r>
              <w:t>Alta</w:t>
            </w:r>
          </w:p>
        </w:tc>
      </w:tr>
      <w:tr w:rsidR="00720442" w14:paraId="5BFA2ED4" w14:textId="77777777">
        <w:tc>
          <w:tcPr>
            <w:tcW w:w="2880" w:type="dxa"/>
          </w:tcPr>
          <w:p w14:paraId="710DD209" w14:textId="77777777" w:rsidR="00720442" w:rsidRDefault="0080011C">
            <w:pPr>
              <w:jc w:val="left"/>
            </w:pPr>
            <w:r>
              <w:t>Madurez general de HIE</w:t>
            </w:r>
          </w:p>
        </w:tc>
        <w:tc>
          <w:tcPr>
            <w:tcW w:w="990" w:type="dxa"/>
          </w:tcPr>
          <w:p w14:paraId="3A3F8A4C" w14:textId="77777777" w:rsidR="00720442" w:rsidRDefault="0080011C">
            <w:pPr>
              <w:jc w:val="left"/>
            </w:pPr>
            <w:r>
              <w:t>Moderada</w:t>
            </w:r>
          </w:p>
        </w:tc>
        <w:tc>
          <w:tcPr>
            <w:tcW w:w="990" w:type="dxa"/>
          </w:tcPr>
          <w:p w14:paraId="32A95629" w14:textId="77777777" w:rsidR="00720442" w:rsidRDefault="0080011C">
            <w:pPr>
              <w:jc w:val="left"/>
            </w:pPr>
            <w:r>
              <w:t>Baja</w:t>
            </w:r>
          </w:p>
        </w:tc>
        <w:tc>
          <w:tcPr>
            <w:tcW w:w="1170" w:type="dxa"/>
          </w:tcPr>
          <w:p w14:paraId="255B207D" w14:textId="77777777" w:rsidR="00720442" w:rsidRDefault="0080011C">
            <w:pPr>
              <w:jc w:val="left"/>
            </w:pPr>
            <w:r>
              <w:t>Moderada-Alta</w:t>
            </w:r>
          </w:p>
        </w:tc>
        <w:tc>
          <w:tcPr>
            <w:tcW w:w="900" w:type="dxa"/>
          </w:tcPr>
          <w:p w14:paraId="33FA1ABA" w14:textId="77777777" w:rsidR="00720442" w:rsidRDefault="0080011C">
            <w:pPr>
              <w:jc w:val="left"/>
            </w:pPr>
            <w:r>
              <w:t>Alta</w:t>
            </w:r>
          </w:p>
        </w:tc>
        <w:tc>
          <w:tcPr>
            <w:tcW w:w="990" w:type="dxa"/>
          </w:tcPr>
          <w:p w14:paraId="1CE017B5" w14:textId="77777777" w:rsidR="00720442" w:rsidRDefault="0080011C">
            <w:pPr>
              <w:jc w:val="left"/>
            </w:pPr>
            <w:r>
              <w:t>Moderada-Alta</w:t>
            </w:r>
          </w:p>
        </w:tc>
      </w:tr>
      <w:tr w:rsidR="00720442" w14:paraId="02B7ABA3" w14:textId="77777777">
        <w:tc>
          <w:tcPr>
            <w:tcW w:w="2880" w:type="dxa"/>
          </w:tcPr>
          <w:p w14:paraId="27E35E13" w14:textId="77777777" w:rsidR="00720442" w:rsidRDefault="0080011C">
            <w:pPr>
              <w:jc w:val="left"/>
            </w:pPr>
            <w:r>
              <w:t>Centralización del HIE</w:t>
            </w:r>
          </w:p>
        </w:tc>
        <w:tc>
          <w:tcPr>
            <w:tcW w:w="990" w:type="dxa"/>
          </w:tcPr>
          <w:p w14:paraId="589CB752" w14:textId="77777777" w:rsidR="00720442" w:rsidRDefault="0080011C">
            <w:pPr>
              <w:jc w:val="left"/>
            </w:pPr>
            <w:r>
              <w:t>Baja</w:t>
            </w:r>
          </w:p>
        </w:tc>
        <w:tc>
          <w:tcPr>
            <w:tcW w:w="990" w:type="dxa"/>
          </w:tcPr>
          <w:p w14:paraId="0F31BC61" w14:textId="77777777" w:rsidR="00720442" w:rsidRDefault="0080011C">
            <w:pPr>
              <w:jc w:val="left"/>
            </w:pPr>
            <w:r>
              <w:t>Alta</w:t>
            </w:r>
          </w:p>
        </w:tc>
        <w:tc>
          <w:tcPr>
            <w:tcW w:w="1170" w:type="dxa"/>
          </w:tcPr>
          <w:p w14:paraId="021484D2" w14:textId="77777777" w:rsidR="00720442" w:rsidRDefault="0080011C">
            <w:pPr>
              <w:jc w:val="left"/>
            </w:pPr>
            <w:r>
              <w:t>Alta</w:t>
            </w:r>
          </w:p>
        </w:tc>
        <w:tc>
          <w:tcPr>
            <w:tcW w:w="900" w:type="dxa"/>
          </w:tcPr>
          <w:p w14:paraId="68382CE0" w14:textId="77777777" w:rsidR="00720442" w:rsidRDefault="0080011C">
            <w:pPr>
              <w:jc w:val="left"/>
            </w:pPr>
            <w:r>
              <w:t>Moderada</w:t>
            </w:r>
          </w:p>
        </w:tc>
        <w:tc>
          <w:tcPr>
            <w:tcW w:w="990" w:type="dxa"/>
          </w:tcPr>
          <w:p w14:paraId="4E1E7D3F" w14:textId="77777777" w:rsidR="00720442" w:rsidRDefault="0080011C">
            <w:pPr>
              <w:jc w:val="left"/>
            </w:pPr>
            <w:r>
              <w:t>Moderada-Alta</w:t>
            </w:r>
          </w:p>
        </w:tc>
      </w:tr>
      <w:tr w:rsidR="00720442" w14:paraId="32BDA440" w14:textId="77777777">
        <w:tc>
          <w:tcPr>
            <w:tcW w:w="2880" w:type="dxa"/>
          </w:tcPr>
          <w:p w14:paraId="5B404635" w14:textId="77777777" w:rsidR="00720442" w:rsidRDefault="0080011C">
            <w:pPr>
              <w:jc w:val="left"/>
            </w:pPr>
            <w:r>
              <w:t>Incentivos para HIE</w:t>
            </w:r>
          </w:p>
        </w:tc>
        <w:tc>
          <w:tcPr>
            <w:tcW w:w="990" w:type="dxa"/>
          </w:tcPr>
          <w:p w14:paraId="4BD24FB9" w14:textId="77777777" w:rsidR="00720442" w:rsidRDefault="0080011C">
            <w:pPr>
              <w:jc w:val="left"/>
            </w:pPr>
            <w:r>
              <w:t>Moderados</w:t>
            </w:r>
          </w:p>
        </w:tc>
        <w:tc>
          <w:tcPr>
            <w:tcW w:w="990" w:type="dxa"/>
          </w:tcPr>
          <w:p w14:paraId="5E494F56" w14:textId="77777777" w:rsidR="00720442" w:rsidRDefault="0080011C">
            <w:pPr>
              <w:jc w:val="left"/>
            </w:pPr>
            <w:r>
              <w:t>Moderados</w:t>
            </w:r>
          </w:p>
        </w:tc>
        <w:tc>
          <w:tcPr>
            <w:tcW w:w="1170" w:type="dxa"/>
          </w:tcPr>
          <w:p w14:paraId="3D757BFF" w14:textId="77777777" w:rsidR="00720442" w:rsidRDefault="0080011C">
            <w:pPr>
              <w:jc w:val="left"/>
            </w:pPr>
            <w:r>
              <w:t>Moderados-Altos</w:t>
            </w:r>
          </w:p>
        </w:tc>
        <w:tc>
          <w:tcPr>
            <w:tcW w:w="900" w:type="dxa"/>
          </w:tcPr>
          <w:p w14:paraId="5F22B2BD" w14:textId="77777777" w:rsidR="00720442" w:rsidRDefault="0080011C">
            <w:pPr>
              <w:jc w:val="left"/>
            </w:pPr>
            <w:r>
              <w:t>Altos</w:t>
            </w:r>
          </w:p>
        </w:tc>
        <w:tc>
          <w:tcPr>
            <w:tcW w:w="990" w:type="dxa"/>
          </w:tcPr>
          <w:p w14:paraId="512FD2FA" w14:textId="77777777" w:rsidR="00720442" w:rsidRDefault="0080011C">
            <w:pPr>
              <w:jc w:val="left"/>
            </w:pPr>
            <w:r>
              <w:t>Moderados-Altos</w:t>
            </w:r>
          </w:p>
        </w:tc>
      </w:tr>
      <w:tr w:rsidR="00720442" w14:paraId="75B66198" w14:textId="77777777">
        <w:tc>
          <w:tcPr>
            <w:tcW w:w="2880" w:type="dxa"/>
          </w:tcPr>
          <w:p w14:paraId="30530684" w14:textId="77777777" w:rsidR="00720442" w:rsidRDefault="0080011C">
            <w:pPr>
              <w:jc w:val="left"/>
            </w:pPr>
            <w:r>
              <w:t>Factor de éxito clave</w:t>
            </w:r>
          </w:p>
        </w:tc>
        <w:tc>
          <w:tcPr>
            <w:tcW w:w="990" w:type="dxa"/>
          </w:tcPr>
          <w:p w14:paraId="7C2DB291" w14:textId="77777777" w:rsidR="00720442" w:rsidRDefault="0080011C">
            <w:pPr>
              <w:jc w:val="left"/>
            </w:pPr>
            <w:r>
              <w:t>Inversión federal (HITECH)</w:t>
            </w:r>
          </w:p>
        </w:tc>
        <w:tc>
          <w:tcPr>
            <w:tcW w:w="990" w:type="dxa"/>
          </w:tcPr>
          <w:p w14:paraId="002862DC" w14:textId="77777777" w:rsidR="00720442" w:rsidRDefault="0080011C">
            <w:pPr>
              <w:jc w:val="left"/>
            </w:pPr>
            <w:r>
              <w:t>Gobernanza centralizada</w:t>
            </w:r>
          </w:p>
        </w:tc>
        <w:tc>
          <w:tcPr>
            <w:tcW w:w="1170" w:type="dxa"/>
          </w:tcPr>
          <w:p w14:paraId="286540E7" w14:textId="77777777" w:rsidR="00720442" w:rsidRDefault="0080011C">
            <w:pPr>
              <w:jc w:val="left"/>
            </w:pPr>
            <w:r>
              <w:t>NHS nacional</w:t>
            </w:r>
          </w:p>
        </w:tc>
        <w:tc>
          <w:tcPr>
            <w:tcW w:w="900" w:type="dxa"/>
          </w:tcPr>
          <w:p w14:paraId="4F77B37D" w14:textId="77777777" w:rsidR="00720442" w:rsidRDefault="0080011C">
            <w:pPr>
              <w:jc w:val="left"/>
            </w:pPr>
            <w:r>
              <w:t>Identidad única (HMOs)</w:t>
            </w:r>
          </w:p>
        </w:tc>
        <w:tc>
          <w:tcPr>
            <w:tcW w:w="990" w:type="dxa"/>
          </w:tcPr>
          <w:p w14:paraId="3E2D94E8" w14:textId="77777777" w:rsidR="00720442" w:rsidRDefault="0080011C">
            <w:pPr>
              <w:jc w:val="left"/>
            </w:pPr>
            <w:r>
              <w:t>Estrategia nacional</w:t>
            </w:r>
          </w:p>
        </w:tc>
      </w:tr>
    </w:tbl>
    <w:bookmarkEnd w:id="92"/>
    <w:p w14:paraId="70CAF1D6" w14:textId="77777777" w:rsidR="00720442" w:rsidRDefault="0080011C">
      <w:pPr>
        <w:jc w:val="center"/>
      </w:pPr>
      <w:r>
        <w:rPr>
          <w:i/>
          <w:iCs/>
          <w:sz w:val="20"/>
        </w:rPr>
        <w:t>Nota.</w:t>
      </w:r>
      <w:r>
        <w:rPr>
          <w:sz w:val="20"/>
        </w:rPr>
        <w:t xml:space="preserve"> Adaptado de “Health Information Exchange Policies of Five Countries: Implications for Health Information Exchange in the United States”, por Holmgren et al., 2023, </w:t>
      </w:r>
      <w:r>
        <w:rPr>
          <w:i/>
          <w:iCs/>
          <w:sz w:val="20"/>
        </w:rPr>
        <w:t>IMIA Yearbook of Medical Informatics</w:t>
      </w:r>
      <w:r>
        <w:rPr>
          <w:sz w:val="20"/>
        </w:rPr>
        <w:t>, 32, pp. 208–215.</w:t>
      </w:r>
    </w:p>
    <w:p w14:paraId="34AC950E" w14:textId="77777777" w:rsidR="00720442" w:rsidRDefault="0080011C">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 La siguiente </w:t>
      </w:r>
      <w:r>
        <w:t>figura presenta cuatro modelos arquitectónicos para el intercambio de información en salud, desde enfoques centralizados hasta modelos completamente descentralizados.</w:t>
      </w:r>
    </w:p>
    <w:p w14:paraId="5BDF0CBB" w14:textId="77777777" w:rsidR="00720442" w:rsidRDefault="0080011C">
      <w:r>
        <w:rPr>
          <w:noProof/>
        </w:rPr>
        <w:lastRenderedPageBreak/>
        <w:drawing>
          <wp:inline distT="0" distB="0" distL="0" distR="0" wp14:anchorId="7F320284" wp14:editId="3C977ABD">
            <wp:extent cx="5562600" cy="1690005"/>
            <wp:effectExtent l="0" t="0" r="0" b="0"/>
            <wp:docPr id="103" name="Picture" descr="Modelos de arquitectura para el intercambio de información en salud (HIE)"/>
            <wp:cNvGraphicFramePr/>
            <a:graphic xmlns:a="http://schemas.openxmlformats.org/drawingml/2006/main">
              <a:graphicData uri="http://schemas.openxmlformats.org/drawingml/2006/picture">
                <pic:pic xmlns:pic="http://schemas.openxmlformats.org/drawingml/2006/picture">
                  <pic:nvPicPr>
                    <pic:cNvPr id="104" name="Picture" descr="media/diagrama-arquitecturas-hie.png"/>
                    <pic:cNvPicPr>
                      <a:picLocks noChangeAspect="1" noChangeArrowheads="1"/>
                    </pic:cNvPicPr>
                  </pic:nvPicPr>
                  <pic:blipFill>
                    <a:blip r:embed="rId22"/>
                    <a:stretch>
                      <a:fillRect/>
                    </a:stretch>
                  </pic:blipFill>
                  <pic:spPr bwMode="auto">
                    <a:xfrm>
                      <a:off x="0" y="0"/>
                      <a:ext cx="5562600" cy="1690005"/>
                    </a:xfrm>
                    <a:prstGeom prst="rect">
                      <a:avLst/>
                    </a:prstGeom>
                    <a:noFill/>
                    <a:ln w="9525">
                      <a:noFill/>
                      <a:headEnd/>
                      <a:tailEnd/>
                    </a:ln>
                  </pic:spPr>
                </pic:pic>
              </a:graphicData>
            </a:graphic>
          </wp:inline>
        </w:drawing>
      </w:r>
    </w:p>
    <w:p w14:paraId="16F84930" w14:textId="213D88AD" w:rsidR="00720442" w:rsidRDefault="0080011C">
      <w:pPr>
        <w:jc w:val="center"/>
      </w:pPr>
      <w:bookmarkStart w:id="94" w:name="_Toc225939053"/>
      <w:r>
        <w:rPr>
          <w:i/>
          <w:sz w:val="20"/>
        </w:rPr>
        <w:t xml:space="preserve">Figura </w:t>
      </w:r>
      <w:r>
        <w:fldChar w:fldCharType="begin"/>
      </w:r>
      <w:r>
        <w:instrText xml:space="preserve"> SEQ Figure \* ARABIC </w:instrText>
      </w:r>
      <w:r>
        <w:fldChar w:fldCharType="separate"/>
      </w:r>
      <w:r w:rsidR="005314D4">
        <w:rPr>
          <w:noProof/>
        </w:rPr>
        <w:t>15</w:t>
      </w:r>
      <w:r>
        <w:fldChar w:fldCharType="end"/>
      </w:r>
      <w:r>
        <w:rPr>
          <w:i/>
          <w:sz w:val="20"/>
        </w:rPr>
        <w:t>. Modelos de arquitectura para el intercambio de información en salud (HIE)</w:t>
      </w:r>
      <w:bookmarkEnd w:id="94"/>
    </w:p>
    <w:p w14:paraId="4E1C7574" w14:textId="77777777" w:rsidR="00720442" w:rsidRDefault="0080011C">
      <w:pPr>
        <w:jc w:val="center"/>
      </w:pPr>
      <w:r>
        <w:rPr>
          <w:i/>
          <w:iCs/>
          <w:sz w:val="20"/>
        </w:rPr>
        <w:t>Nota.</w:t>
      </w:r>
      <w:r>
        <w:rPr>
          <w:sz w:val="20"/>
        </w:rPr>
        <w:t xml:space="preserve"> Elaboración propia a partir de Adelusi et al. (2025) y Lee et al. (2015).</w:t>
      </w:r>
    </w:p>
    <w:p w14:paraId="34D2B3C4" w14:textId="77777777" w:rsidR="00720442" w:rsidRDefault="0080011C">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12472AC4" w14:textId="77777777" w:rsidR="00720442" w:rsidRDefault="0080011C">
      <w:bookmarkStart w:id="95" w:name="teoría-de-difusión-de-innovaciones"/>
      <w:bookmarkEnd w:id="91"/>
      <w:r>
        <w:t>Teoría de Difusión de Innovaciones</w:t>
      </w:r>
    </w:p>
    <w:p w14:paraId="4F405C65" w14:textId="77777777" w:rsidR="00720442" w:rsidRDefault="0080011C">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r>
        <w:rPr>
          <w:i/>
          <w:iCs/>
        </w:rPr>
        <w:t>trialability</w:t>
      </w:r>
      <w:r>
        <w:t>) y observabilidad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w:t>
      </w:r>
      <w:r>
        <w:t xml:space="preserve">nica y las barreras de capacitación ralentizan la adopción, lo que desde la teoría de Rogers se interpreta como un factor inhibidor que requiere estrategias de reducción de complejidad. La Fase 2 (piloto) de esta investigación operacionaliza la </w:t>
      </w:r>
      <w:r>
        <w:rPr>
          <w:i/>
          <w:iCs/>
        </w:rPr>
        <w:t>trialability</w:t>
      </w:r>
      <w:r>
        <w:t xml:space="preserve">, </w:t>
      </w:r>
      <w:r>
        <w:lastRenderedPageBreak/>
        <w:t xml:space="preserve">permitiendo evaluar resultados sin comprometer todo el sistema, estrategia coherente con la adopción incremental recomendada por Heryawan et al. (2025) y Jayathissa y Hewapathrana (2024). Vorisek et al. (2022) documentaron que la adopción científica de </w:t>
      </w:r>
      <w:r>
        <w:t>FHIR tardó cinco años desde la publicación del estándar, lo que confirma la progresividad del proceso de difusión descrito por Rogers.</w:t>
      </w:r>
    </w:p>
    <w:p w14:paraId="73257B8F" w14:textId="77777777" w:rsidR="00720442" w:rsidRDefault="0080011C">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Heryawan et al. (2025) y Jayathissa y Hewapathrana (2024) muestran que, en contextos de</w:t>
      </w:r>
      <w:r>
        <w:t xml:space="preserve"> recursos limitados, el éxito depende de combinar decisiones arquitectónicas con capacidades operativas de despliegue progresivo. La siguiente figura ilustra una arquitectura por capas para la interoperabilidad clínica de extremo a extremo, desde los sistemas fuente hasta las aplicaciones consumidoras.</w:t>
      </w:r>
    </w:p>
    <w:p w14:paraId="00021A3C" w14:textId="77777777" w:rsidR="00720442" w:rsidRDefault="0080011C">
      <w:r>
        <w:rPr>
          <w:noProof/>
        </w:rPr>
        <w:lastRenderedPageBreak/>
        <w:drawing>
          <wp:inline distT="0" distB="0" distL="0" distR="0" wp14:anchorId="1A4C7702" wp14:editId="027E531C">
            <wp:extent cx="5562600" cy="5049736"/>
            <wp:effectExtent l="0" t="0" r="0" b="0"/>
            <wp:docPr id="107" name="Picture" descr="Arquitectura por capas para interoperabilidad clínica end-to-end"/>
            <wp:cNvGraphicFramePr/>
            <a:graphic xmlns:a="http://schemas.openxmlformats.org/drawingml/2006/main">
              <a:graphicData uri="http://schemas.openxmlformats.org/drawingml/2006/picture">
                <pic:pic xmlns:pic="http://schemas.openxmlformats.org/drawingml/2006/picture">
                  <pic:nvPicPr>
                    <pic:cNvPr id="108" name="Picture" descr="media/diagrama-capas-interoperabilidad-end-to-end.png"/>
                    <pic:cNvPicPr>
                      <a:picLocks noChangeAspect="1" noChangeArrowheads="1"/>
                    </pic:cNvPicPr>
                  </pic:nvPicPr>
                  <pic:blipFill>
                    <a:blip r:embed="rId23"/>
                    <a:stretch>
                      <a:fillRect/>
                    </a:stretch>
                  </pic:blipFill>
                  <pic:spPr bwMode="auto">
                    <a:xfrm>
                      <a:off x="0" y="0"/>
                      <a:ext cx="5562600" cy="5049736"/>
                    </a:xfrm>
                    <a:prstGeom prst="rect">
                      <a:avLst/>
                    </a:prstGeom>
                    <a:noFill/>
                    <a:ln w="9525">
                      <a:noFill/>
                      <a:headEnd/>
                      <a:tailEnd/>
                    </a:ln>
                  </pic:spPr>
                </pic:pic>
              </a:graphicData>
            </a:graphic>
          </wp:inline>
        </w:drawing>
      </w:r>
    </w:p>
    <w:p w14:paraId="6BB517E2" w14:textId="63F6EB6E" w:rsidR="00720442" w:rsidRDefault="0080011C">
      <w:pPr>
        <w:jc w:val="center"/>
      </w:pPr>
      <w:bookmarkStart w:id="96" w:name="_Toc225939054"/>
      <w:r>
        <w:rPr>
          <w:i/>
          <w:sz w:val="20"/>
        </w:rPr>
        <w:t xml:space="preserve">Figura </w:t>
      </w:r>
      <w:r>
        <w:fldChar w:fldCharType="begin"/>
      </w:r>
      <w:r>
        <w:instrText xml:space="preserve"> SEQ Figure \* ARABIC </w:instrText>
      </w:r>
      <w:r>
        <w:fldChar w:fldCharType="separate"/>
      </w:r>
      <w:r w:rsidR="005314D4">
        <w:rPr>
          <w:noProof/>
        </w:rPr>
        <w:t>16</w:t>
      </w:r>
      <w:r>
        <w:fldChar w:fldCharType="end"/>
      </w:r>
      <w:r>
        <w:rPr>
          <w:i/>
          <w:sz w:val="20"/>
        </w:rPr>
        <w:t>. Arquitectura por capas para interoperabilidad clínica end-to-end</w:t>
      </w:r>
      <w:bookmarkEnd w:id="96"/>
    </w:p>
    <w:p w14:paraId="1D6219C3" w14:textId="77777777" w:rsidR="00720442" w:rsidRDefault="0080011C">
      <w:pPr>
        <w:jc w:val="center"/>
      </w:pPr>
      <w:r>
        <w:rPr>
          <w:i/>
          <w:iCs/>
          <w:sz w:val="20"/>
        </w:rPr>
        <w:t>Nota.</w:t>
      </w:r>
      <w:r>
        <w:rPr>
          <w:sz w:val="20"/>
        </w:rPr>
        <w:t xml:space="preserve"> Elaboración propia a partir de Surisetty (2026).</w:t>
      </w:r>
    </w:p>
    <w:p w14:paraId="57831B64" w14:textId="77777777" w:rsidR="00720442" w:rsidRDefault="0080011C">
      <w:bookmarkStart w:id="97" w:name="modelo-de-calidad-de-datos"/>
      <w:bookmarkEnd w:id="95"/>
      <w:r>
        <w:t>Modelo de Calidad de Datos</w:t>
      </w:r>
    </w:p>
    <w:p w14:paraId="5BBEA517" w14:textId="77777777" w:rsidR="00720442" w:rsidRDefault="0080011C">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w:t>
      </w:r>
      <w:r>
        <w:t xml:space="preserve">y planificación, reconociendo dimensiones como completitud, consistencia, oportunidad, validez, unicidad e integridad. En esta investigación, el Modelo de Calidad de Datos fundamenta directamente la variable </w:t>
      </w:r>
      <w:r>
        <w:lastRenderedPageBreak/>
        <w:t xml:space="preserve">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w:t>
      </w:r>
      <w:r>
        <w:t>al propuesta por DAMA.</w:t>
      </w:r>
    </w:p>
    <w:p w14:paraId="3BD0546C" w14:textId="77777777" w:rsidR="00720442" w:rsidRDefault="0080011C">
      <w:r>
        <w:rPr>
          <w:b/>
          <w:bCs/>
        </w:rPr>
        <w:t>Calidad de datos clínicos en entornos interoperables.</w:t>
      </w:r>
      <w:r>
        <w:t xml:space="preserve"> 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424390BF" w14:textId="77777777" w:rsidR="00720442" w:rsidRDefault="0080011C">
      <w:pPr>
        <w:numPr>
          <w:ilvl w:val="0"/>
          <w:numId w:val="58"/>
        </w:numPr>
      </w:pPr>
      <w:r>
        <w:rPr>
          <w:i/>
          <w:iCs/>
        </w:rPr>
        <w:t>Integridad (completitud):</w:t>
      </w:r>
      <w:r>
        <w:t xml:space="preserve"> Proporción de campos clínicos obligatorios efectivamente registrados respecto al total esperado según los perfiles FHIR definidos. Gaudet-Blavignac et al. (2021) advierten que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w:t>
      </w:r>
      <w:r>
        <w:t>reventivas, y Morales-Camargo y Meneses-Claudio (2023) confirmaron que la adopción desigual de registros médicos electrónicos perpetúa campos clínicos incompletos.</w:t>
      </w:r>
    </w:p>
    <w:p w14:paraId="3514BD3D" w14:textId="77777777" w:rsidR="00720442" w:rsidRDefault="0080011C">
      <w:pPr>
        <w:numPr>
          <w:ilvl w:val="0"/>
          <w:numId w:val="58"/>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Moesel (2023) refuerzan que la variabilidad de p</w:t>
      </w:r>
      <w:r>
        <w:t>erfiles FHIR y versiones de guías de implementación es la principal fuente de inconsistencia en ecosistemas multi-institucionales.</w:t>
      </w:r>
    </w:p>
    <w:p w14:paraId="77AC9C6E" w14:textId="77777777" w:rsidR="00720442" w:rsidRDefault="0080011C">
      <w:pPr>
        <w:numPr>
          <w:ilvl w:val="0"/>
          <w:numId w:val="58"/>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significatiamente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w:t>
      </w:r>
      <w:r>
        <w:t>establecimientos del MINSA, produciendo una heterogeneidad que compromete la disponibilidad continua del intercambio.</w:t>
      </w:r>
    </w:p>
    <w:p w14:paraId="33FA2EE8" w14:textId="77777777" w:rsidR="00720442" w:rsidRDefault="0080011C">
      <w:pPr>
        <w:numPr>
          <w:ilvl w:val="0"/>
          <w:numId w:val="58"/>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Adelusi et al. (2025) validaron métricas de integridad de datos en frameworks federados FHIR, confirmando que la arquitectura de intercambio debe preservar la trazabilidad transaccional para que el dato sea confiable en cada punto de consumo. Bran et al. (2024) y Fernández Infanzón y Huarac Cuizano (2021)</w:t>
      </w:r>
      <w:r>
        <w:t xml:space="preserve"> proponen complementar FHIR con blockchain para registros inmutables de acceso, aunque estas propuestas se encuentran en fase conceptual sin evaluación operativa.</w:t>
      </w:r>
    </w:p>
    <w:p w14:paraId="1FE6595E" w14:textId="77777777" w:rsidR="00720442" w:rsidRDefault="0080011C">
      <w:r>
        <w:t>Estas cuatro dimensiones convergen con los indicadores de la variable dependiente operacionalizados en el Capítulo III y con las brechas diagnósticas definidas en la formulación del problema (completitud, codificación, duplicidad, trazabilidad). La Tabla 11 integra estas dimensiones con sus indicadores operacionales, las fuentes teóricas que las sustentan y la evidencia empírica que las respalda. La presente investigación las emplea como criterios de comparación pre-post para evaluar el efecto de la capa de</w:t>
      </w:r>
      <w:r>
        <w:t xml:space="preserve"> integración FHIR.</w:t>
      </w:r>
    </w:p>
    <w:p w14:paraId="62FF31E1" w14:textId="3EA71EE8" w:rsidR="00720442" w:rsidRDefault="0080011C">
      <w:bookmarkStart w:id="98" w:name="tbl:dimensiones-calidad"/>
      <w:bookmarkStart w:id="99" w:name="_Toc225939037"/>
      <w:r>
        <w:t xml:space="preserve">Tabla </w:t>
      </w:r>
      <w:r>
        <w:fldChar w:fldCharType="begin"/>
      </w:r>
      <w:r>
        <w:instrText xml:space="preserve"> SEQ Table \* ARABIC </w:instrText>
      </w:r>
      <w:r>
        <w:fldChar w:fldCharType="separate"/>
      </w:r>
      <w:r w:rsidR="005314D4">
        <w:rPr>
          <w:noProof/>
        </w:rPr>
        <w:t>11</w:t>
      </w:r>
      <w:r>
        <w:fldChar w:fldCharType="end"/>
      </w:r>
      <w:r>
        <w:t>. Dimensiones de calidad de datos clínicos y su operacionalización en la investigación</w:t>
      </w:r>
      <w:bookmarkEnd w:id="9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Dimensiones de calidad de datos clínicos y su operacionalización en la investigación"/>
      </w:tblPr>
      <w:tblGrid>
        <w:gridCol w:w="1831"/>
        <w:gridCol w:w="1891"/>
        <w:gridCol w:w="2541"/>
        <w:gridCol w:w="2482"/>
      </w:tblGrid>
      <w:tr w:rsidR="00720442" w14:paraId="59FECDDD" w14:textId="77777777">
        <w:trPr>
          <w:tblHeader/>
        </w:trPr>
        <w:tc>
          <w:tcPr>
            <w:tcW w:w="1658" w:type="dxa"/>
          </w:tcPr>
          <w:p w14:paraId="7329708F" w14:textId="77777777" w:rsidR="00720442" w:rsidRDefault="0080011C">
            <w:pPr>
              <w:jc w:val="left"/>
            </w:pPr>
            <w:r>
              <w:lastRenderedPageBreak/>
              <w:t>Dimensión</w:t>
            </w:r>
          </w:p>
        </w:tc>
        <w:tc>
          <w:tcPr>
            <w:tcW w:w="1712" w:type="dxa"/>
          </w:tcPr>
          <w:p w14:paraId="17D00667" w14:textId="77777777" w:rsidR="00720442" w:rsidRDefault="0080011C">
            <w:pPr>
              <w:jc w:val="left"/>
            </w:pPr>
            <w:r>
              <w:t>Categoría teórica (Wang y Strong, 1996)</w:t>
            </w:r>
          </w:p>
        </w:tc>
        <w:tc>
          <w:tcPr>
            <w:tcW w:w="2301" w:type="dxa"/>
          </w:tcPr>
          <w:p w14:paraId="229258FD" w14:textId="77777777" w:rsidR="00720442" w:rsidRDefault="0080011C">
            <w:pPr>
              <w:jc w:val="left"/>
            </w:pPr>
            <w:r>
              <w:t>Indicador operacional</w:t>
            </w:r>
          </w:p>
        </w:tc>
        <w:tc>
          <w:tcPr>
            <w:tcW w:w="2247" w:type="dxa"/>
          </w:tcPr>
          <w:p w14:paraId="636CA4E5" w14:textId="77777777" w:rsidR="00720442" w:rsidRDefault="0080011C">
            <w:pPr>
              <w:jc w:val="left"/>
            </w:pPr>
            <w:r>
              <w:t>Evidencia de respaldo</w:t>
            </w:r>
          </w:p>
        </w:tc>
      </w:tr>
      <w:tr w:rsidR="00720442" w14:paraId="21046EF7" w14:textId="77777777">
        <w:tc>
          <w:tcPr>
            <w:tcW w:w="1658" w:type="dxa"/>
          </w:tcPr>
          <w:p w14:paraId="1F2C8DF9" w14:textId="77777777" w:rsidR="00720442" w:rsidRDefault="0080011C">
            <w:pPr>
              <w:jc w:val="left"/>
            </w:pPr>
            <w:r>
              <w:rPr>
                <w:b/>
                <w:bCs/>
              </w:rPr>
              <w:t>Integridad (completitud)</w:t>
            </w:r>
          </w:p>
        </w:tc>
        <w:tc>
          <w:tcPr>
            <w:tcW w:w="1712" w:type="dxa"/>
          </w:tcPr>
          <w:p w14:paraId="0B4F5883" w14:textId="77777777" w:rsidR="00720442" w:rsidRDefault="0080011C">
            <w:pPr>
              <w:jc w:val="left"/>
            </w:pPr>
            <w:r>
              <w:t>Contextual</w:t>
            </w:r>
          </w:p>
        </w:tc>
        <w:tc>
          <w:tcPr>
            <w:tcW w:w="2301" w:type="dxa"/>
          </w:tcPr>
          <w:p w14:paraId="7E033EE7" w14:textId="77777777" w:rsidR="00720442" w:rsidRDefault="0080011C">
            <w:pPr>
              <w:jc w:val="left"/>
            </w:pPr>
            <w:r>
              <w:t>% de campos obligatorios completos en recursos FHIR (must-support = true)</w:t>
            </w:r>
          </w:p>
        </w:tc>
        <w:tc>
          <w:tcPr>
            <w:tcW w:w="2247" w:type="dxa"/>
          </w:tcPr>
          <w:p w14:paraId="5D910F4A" w14:textId="77777777" w:rsidR="00720442" w:rsidRDefault="0080011C">
            <w:pPr>
              <w:jc w:val="left"/>
            </w:pPr>
            <w:r>
              <w:t>Gaudet-Blavignac et al. (2021): campos vacíos sin estrategia semántica; Arias Geronimo (2025): precisión de datos → calidad preventiva</w:t>
            </w:r>
          </w:p>
        </w:tc>
      </w:tr>
      <w:tr w:rsidR="00720442" w14:paraId="5451573D" w14:textId="77777777">
        <w:tc>
          <w:tcPr>
            <w:tcW w:w="1658" w:type="dxa"/>
          </w:tcPr>
          <w:p w14:paraId="4221AE7B" w14:textId="77777777" w:rsidR="00720442" w:rsidRDefault="0080011C">
            <w:pPr>
              <w:jc w:val="left"/>
            </w:pPr>
            <w:r>
              <w:rPr>
                <w:b/>
                <w:bCs/>
              </w:rPr>
              <w:t>Consistencia (codificación)</w:t>
            </w:r>
          </w:p>
        </w:tc>
        <w:tc>
          <w:tcPr>
            <w:tcW w:w="1712" w:type="dxa"/>
          </w:tcPr>
          <w:p w14:paraId="212F79BB" w14:textId="77777777" w:rsidR="00720442" w:rsidRDefault="0080011C">
            <w:pPr>
              <w:jc w:val="left"/>
            </w:pPr>
            <w:r>
              <w:t>Representacional</w:t>
            </w:r>
          </w:p>
        </w:tc>
        <w:tc>
          <w:tcPr>
            <w:tcW w:w="2301" w:type="dxa"/>
          </w:tcPr>
          <w:p w14:paraId="355DB4A1" w14:textId="77777777" w:rsidR="00720442" w:rsidRDefault="0080011C">
            <w:pPr>
              <w:jc w:val="left"/>
            </w:pPr>
            <w:r>
              <w:t>% de diagnósticos y procedimientos con codificación estándar (CIE-10, CPMS)</w:t>
            </w:r>
          </w:p>
        </w:tc>
        <w:tc>
          <w:tcPr>
            <w:tcW w:w="2247" w:type="dxa"/>
          </w:tcPr>
          <w:p w14:paraId="66E75915" w14:textId="77777777" w:rsidR="00720442" w:rsidRDefault="0080011C">
            <w:pPr>
              <w:jc w:val="left"/>
            </w:pPr>
            <w:r>
              <w:t>Chatterjee et al. (2022): pérdida semántica por codificación heterogénea; Torab-Miandoab et al. (2023): variabilidad de perfiles</w:t>
            </w:r>
          </w:p>
        </w:tc>
      </w:tr>
      <w:tr w:rsidR="00720442" w14:paraId="7F06F3A2" w14:textId="77777777">
        <w:tc>
          <w:tcPr>
            <w:tcW w:w="1658" w:type="dxa"/>
          </w:tcPr>
          <w:p w14:paraId="4F8CAC7B" w14:textId="77777777" w:rsidR="00720442" w:rsidRDefault="0080011C">
            <w:pPr>
              <w:jc w:val="left"/>
            </w:pPr>
            <w:r>
              <w:rPr>
                <w:b/>
                <w:bCs/>
              </w:rPr>
              <w:t>Disponibilidad (intercambio)</w:t>
            </w:r>
          </w:p>
        </w:tc>
        <w:tc>
          <w:tcPr>
            <w:tcW w:w="1712" w:type="dxa"/>
          </w:tcPr>
          <w:p w14:paraId="62C1C50C" w14:textId="77777777" w:rsidR="00720442" w:rsidRDefault="0080011C">
            <w:pPr>
              <w:jc w:val="left"/>
            </w:pPr>
            <w:r>
              <w:t>Accesibilidad</w:t>
            </w:r>
          </w:p>
        </w:tc>
        <w:tc>
          <w:tcPr>
            <w:tcW w:w="2301" w:type="dxa"/>
          </w:tcPr>
          <w:p w14:paraId="3EB13972" w14:textId="77777777" w:rsidR="00720442" w:rsidRDefault="0080011C">
            <w:pPr>
              <w:jc w:val="left"/>
            </w:pPr>
            <w:r>
              <w:t>% de transacciones FHIR exitosas / total programado</w:t>
            </w:r>
          </w:p>
        </w:tc>
        <w:tc>
          <w:tcPr>
            <w:tcW w:w="2247" w:type="dxa"/>
          </w:tcPr>
          <w:p w14:paraId="2FF5AD52" w14:textId="77777777" w:rsidR="00720442" w:rsidRDefault="0080011C">
            <w:pPr>
              <w:jc w:val="left"/>
            </w:pPr>
            <w:r>
              <w:t>Richwine et al. (2025): gobernanza y conectividad determinan disponibilidad; OPS (2024): heterogeneidad entre establecimientos</w:t>
            </w:r>
          </w:p>
        </w:tc>
      </w:tr>
      <w:tr w:rsidR="00720442" w14:paraId="457155C3" w14:textId="77777777">
        <w:tc>
          <w:tcPr>
            <w:tcW w:w="1658" w:type="dxa"/>
          </w:tcPr>
          <w:p w14:paraId="48BD8DAE" w14:textId="77777777" w:rsidR="00720442" w:rsidRDefault="0080011C">
            <w:pPr>
              <w:jc w:val="left"/>
            </w:pPr>
            <w:r>
              <w:rPr>
                <w:b/>
                <w:bCs/>
              </w:rPr>
              <w:t>Continuidad (trazabilidad)</w:t>
            </w:r>
          </w:p>
        </w:tc>
        <w:tc>
          <w:tcPr>
            <w:tcW w:w="1712" w:type="dxa"/>
          </w:tcPr>
          <w:p w14:paraId="2AF1218E" w14:textId="77777777" w:rsidR="00720442" w:rsidRDefault="0080011C">
            <w:pPr>
              <w:jc w:val="left"/>
            </w:pPr>
            <w:r>
              <w:t>Integridad referencial (DAMA, 2017)</w:t>
            </w:r>
          </w:p>
        </w:tc>
        <w:tc>
          <w:tcPr>
            <w:tcW w:w="2301" w:type="dxa"/>
          </w:tcPr>
          <w:p w14:paraId="7FA11A27" w14:textId="77777777" w:rsidR="00720442" w:rsidRDefault="0080011C">
            <w:pPr>
              <w:jc w:val="left"/>
            </w:pPr>
            <w:r>
              <w:t xml:space="preserve">% de HCE con trazabilidad verificable entre </w:t>
            </w:r>
            <w:r>
              <w:lastRenderedPageBreak/>
              <w:t>establecimientos; % de registros con log completo</w:t>
            </w:r>
          </w:p>
        </w:tc>
        <w:tc>
          <w:tcPr>
            <w:tcW w:w="2247" w:type="dxa"/>
          </w:tcPr>
          <w:p w14:paraId="627534A4" w14:textId="77777777" w:rsidR="00720442" w:rsidRDefault="0080011C">
            <w:pPr>
              <w:jc w:val="left"/>
            </w:pPr>
            <w:r>
              <w:lastRenderedPageBreak/>
              <w:t xml:space="preserve">Adelusi et al. (2025): trazabilidad transaccional en </w:t>
            </w:r>
            <w:r>
              <w:lastRenderedPageBreak/>
              <w:t>frameworks federados; Bran et al. (2024): blockchain para inmutabilidad</w:t>
            </w:r>
          </w:p>
        </w:tc>
      </w:tr>
    </w:tbl>
    <w:bookmarkEnd w:id="98"/>
    <w:p w14:paraId="27F4000B" w14:textId="77777777" w:rsidR="00720442" w:rsidRDefault="0080011C">
      <w:pPr>
        <w:jc w:val="center"/>
      </w:pPr>
      <w:r>
        <w:rPr>
          <w:i/>
          <w:iCs/>
          <w:sz w:val="20"/>
        </w:rPr>
        <w:lastRenderedPageBreak/>
        <w:t>Nota.</w:t>
      </w:r>
      <w:r>
        <w:rPr>
          <w:sz w:val="20"/>
        </w:rPr>
        <w:t xml:space="preserve"> Elaboración propia a partir de Wang y Strong (1996), DAMA International (2017) y las fuentes citadas.</w:t>
      </w:r>
    </w:p>
    <w:p w14:paraId="56B2768B" w14:textId="77777777" w:rsidR="00720442" w:rsidRDefault="0080011C">
      <w:pPr>
        <w:pStyle w:val="Ttulo3"/>
      </w:pPr>
      <w:bookmarkStart w:id="100" w:name="marco-conceptual"/>
      <w:bookmarkStart w:id="101" w:name="_Toc225939023"/>
      <w:bookmarkEnd w:id="80"/>
      <w:bookmarkEnd w:id="97"/>
      <w:r>
        <w:t>2.2.3. Marco conceptual</w:t>
      </w:r>
      <w:bookmarkEnd w:id="101"/>
    </w:p>
    <w:p w14:paraId="177A9674" w14:textId="77777777" w:rsidR="00720442" w:rsidRDefault="0080011C">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54EA9F74" w14:textId="77777777" w:rsidR="00720442" w:rsidRDefault="0080011C">
      <w:r>
        <w:rPr>
          <w:noProof/>
        </w:rPr>
        <w:drawing>
          <wp:inline distT="0" distB="0" distL="0" distR="0" wp14:anchorId="4347024F" wp14:editId="16305FD4">
            <wp:extent cx="5562600" cy="2135933"/>
            <wp:effectExtent l="0" t="0" r="0" b="0"/>
            <wp:docPr id="11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115" name="Picture" descr="media/diagrama-marco-conceptual.png"/>
                    <pic:cNvPicPr>
                      <a:picLocks noChangeAspect="1" noChangeArrowheads="1"/>
                    </pic:cNvPicPr>
                  </pic:nvPicPr>
                  <pic:blipFill>
                    <a:blip r:embed="rId24"/>
                    <a:stretch>
                      <a:fillRect/>
                    </a:stretch>
                  </pic:blipFill>
                  <pic:spPr bwMode="auto">
                    <a:xfrm>
                      <a:off x="0" y="0"/>
                      <a:ext cx="5562600" cy="2135933"/>
                    </a:xfrm>
                    <a:prstGeom prst="rect">
                      <a:avLst/>
                    </a:prstGeom>
                    <a:noFill/>
                    <a:ln w="9525">
                      <a:noFill/>
                      <a:headEnd/>
                      <a:tailEnd/>
                    </a:ln>
                  </pic:spPr>
                </pic:pic>
              </a:graphicData>
            </a:graphic>
          </wp:inline>
        </w:drawing>
      </w:r>
    </w:p>
    <w:p w14:paraId="47F411A3" w14:textId="35639390" w:rsidR="00720442" w:rsidRDefault="0080011C">
      <w:pPr>
        <w:jc w:val="center"/>
      </w:pPr>
      <w:bookmarkStart w:id="102" w:name="_Toc225939055"/>
      <w:r>
        <w:rPr>
          <w:i/>
          <w:sz w:val="20"/>
        </w:rPr>
        <w:t xml:space="preserve">Figura </w:t>
      </w:r>
      <w:r>
        <w:fldChar w:fldCharType="begin"/>
      </w:r>
      <w:r>
        <w:instrText xml:space="preserve"> SEQ Figure \* ARABIC </w:instrText>
      </w:r>
      <w:r>
        <w:fldChar w:fldCharType="separate"/>
      </w:r>
      <w:r w:rsidR="005314D4">
        <w:rPr>
          <w:noProof/>
        </w:rPr>
        <w:t>17</w:t>
      </w:r>
      <w:r>
        <w:fldChar w:fldCharType="end"/>
      </w:r>
      <w:r>
        <w:rPr>
          <w:i/>
          <w:sz w:val="20"/>
        </w:rPr>
        <w:t>. Marco conceptual de la investigación</w:t>
      </w:r>
      <w:bookmarkEnd w:id="102"/>
    </w:p>
    <w:p w14:paraId="795574A6" w14:textId="77777777" w:rsidR="00720442" w:rsidRDefault="0080011C">
      <w:pPr>
        <w:jc w:val="center"/>
      </w:pPr>
      <w:r>
        <w:rPr>
          <w:i/>
          <w:iCs/>
          <w:sz w:val="20"/>
        </w:rPr>
        <w:t>Nota.</w:t>
      </w:r>
      <w:r>
        <w:rPr>
          <w:sz w:val="20"/>
        </w:rPr>
        <w:t xml:space="preserve"> Elaboración propia.</w:t>
      </w:r>
    </w:p>
    <w:p w14:paraId="5E690DB9" w14:textId="77777777" w:rsidR="00720442" w:rsidRDefault="0080011C">
      <w:bookmarkStart w:id="103" w:name="Xb7f74529351ab50b9e564f6019f6ecfecdd287a"/>
      <w:r>
        <w:t>Definición conceptual de la variable independiente: Modelo de interoperabilidad basado en HL7 FHIR</w:t>
      </w:r>
    </w:p>
    <w:p w14:paraId="7F405123" w14:textId="77777777" w:rsidR="00720442" w:rsidRDefault="0080011C">
      <w:r>
        <w:lastRenderedPageBreak/>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w:t>
      </w:r>
      <w:r>
        <w:t>e Innovaciones, constituye la innovación tecnológica cuya adopción se evalúa; y desde el Enfoque Sociotécnico, integra componentes técnicos, organizacionales y humanos.</w:t>
      </w:r>
    </w:p>
    <w:p w14:paraId="6175B13C" w14:textId="77777777" w:rsidR="00720442" w:rsidRDefault="0080011C">
      <w:r>
        <w:rPr>
          <w:i/>
          <w:iCs/>
        </w:rPr>
        <w:t>Dimensiones de la variable independiente:</w:t>
      </w:r>
    </w:p>
    <w:p w14:paraId="7B1D3F02" w14:textId="77777777" w:rsidR="00720442" w:rsidRDefault="0080011C">
      <w:pPr>
        <w:numPr>
          <w:ilvl w:val="0"/>
          <w:numId w:val="58"/>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2C07255E" w14:textId="77777777" w:rsidR="00720442" w:rsidRDefault="0080011C">
      <w:pPr>
        <w:numPr>
          <w:ilvl w:val="0"/>
          <w:numId w:val="58"/>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29314185" w14:textId="77777777" w:rsidR="00720442" w:rsidRDefault="0080011C">
      <w:pPr>
        <w:numPr>
          <w:ilvl w:val="0"/>
          <w:numId w:val="58"/>
        </w:numPr>
      </w:pPr>
      <w:r>
        <w:rPr>
          <w:i/>
          <w:iCs/>
        </w:rPr>
        <w:t>Evaluación de impacto (Fase 3):</w:t>
      </w:r>
      <w:r>
        <w:t xml:space="preserve"> Comparación pre/post de los indicadores de calidad del intercambio de información clínica.</w:t>
      </w:r>
    </w:p>
    <w:p w14:paraId="61AB51E6" w14:textId="77777777" w:rsidR="00720442" w:rsidRDefault="0080011C">
      <w:bookmarkStart w:id="104" w:name="X01a63720d51a4090303b84a67e2a896e0bf4e25"/>
      <w:bookmarkEnd w:id="103"/>
      <w:r>
        <w:t>Definición conceptual de la variable dependiente: Calidad del intercambio de información clínica</w:t>
      </w:r>
    </w:p>
    <w:p w14:paraId="0471C272" w14:textId="77777777" w:rsidR="00720442" w:rsidRDefault="0080011C">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1B3D3362" w14:textId="77777777" w:rsidR="00720442" w:rsidRDefault="0080011C">
      <w:r>
        <w:rPr>
          <w:i/>
          <w:iCs/>
        </w:rPr>
        <w:t>Dimensiones de la variable dependiente:</w:t>
      </w:r>
    </w:p>
    <w:p w14:paraId="15E8F146" w14:textId="77777777" w:rsidR="00720442" w:rsidRDefault="0080011C">
      <w:pPr>
        <w:numPr>
          <w:ilvl w:val="0"/>
          <w:numId w:val="58"/>
        </w:numPr>
      </w:pPr>
      <w:r>
        <w:rPr>
          <w:i/>
          <w:iCs/>
        </w:rPr>
        <w:lastRenderedPageBreak/>
        <w:t>Integridad de datos:</w:t>
      </w:r>
      <w:r>
        <w:t xml:space="preserve"> </w:t>
      </w:r>
      <w:r>
        <w:t>Completitud de HCE (% campos obligatorios completos), codificación CIE-10 (% diagnósticos correctamente codificados) y codificación CPMS (% procedimientos correctamente codificados). Fundamentada en la categoría contextual de Wang y Strong (1996) y evidenciada por Gaudet-Blavignac et al. (2021), quienes advierten altas tasas de campos vacíos sin estrategia semántica coordinada; Arias Geronimo (2025), quien documenta el impacto de la precisión de datos en la prestación preventiva; y Morales-Camargo y Meneses</w:t>
      </w:r>
      <w:r>
        <w:t>-Claudio (2023), quienes confirman que la adopción desigual perpetúa campos incompletos.</w:t>
      </w:r>
    </w:p>
    <w:p w14:paraId="247CC686" w14:textId="77777777" w:rsidR="00720442" w:rsidRDefault="0080011C">
      <w:pPr>
        <w:numPr>
          <w:ilvl w:val="0"/>
          <w:numId w:val="58"/>
        </w:numPr>
      </w:pPr>
      <w:r>
        <w:rPr>
          <w:i/>
          <w:iCs/>
        </w:rPr>
        <w:t>Duplicidad:</w:t>
      </w:r>
      <w:r>
        <w:t xml:space="preserve"> Duplicidad de pacientes y de exámenes (tasas por 1 000 atenciones). Documentada como problema estructural del sistema peruano por Bayona Castañeda (2019), quien identificó la persistencia de múltiples historias clínicas por paciente en distintas instituciones.</w:t>
      </w:r>
    </w:p>
    <w:p w14:paraId="61D8D014" w14:textId="77777777" w:rsidR="00720442" w:rsidRDefault="0080011C">
      <w:pPr>
        <w:numPr>
          <w:ilvl w:val="0"/>
          <w:numId w:val="58"/>
        </w:numPr>
      </w:pPr>
      <w:r>
        <w:rPr>
          <w:i/>
          <w:iCs/>
        </w:rPr>
        <w:t>Eficiencia administrativa:</w:t>
      </w:r>
      <w:r>
        <w:t xml:space="preserve"> Tiempo promedio de validación de prestaciones SIS (horas). Respaldada por la demostración de Liu et al. (2023) de reducción significativa de tiempos y costos al sustituir gateways por servidores FHIR.</w:t>
      </w:r>
    </w:p>
    <w:p w14:paraId="55B38175" w14:textId="77777777" w:rsidR="00720442" w:rsidRDefault="0080011C">
      <w:pPr>
        <w:numPr>
          <w:ilvl w:val="0"/>
          <w:numId w:val="58"/>
        </w:numPr>
      </w:pPr>
      <w:r>
        <w:rPr>
          <w:i/>
          <w:iCs/>
        </w:rPr>
        <w:t>Continuidad y trazabilidad:</w:t>
      </w:r>
      <w:r>
        <w:t xml:space="preserve"> Continuidad de atención (% HCE con trazabilidad verificable entre establecimientos) y trazabilidad de accesos (% registros con log completo). Validada por Adelusi et al. (2025) en frameworks federados FHIR, y complementada por las propuestas de blockchain de Bran et al. (2024) y Fernández Infanzón y Huarac Cuizano (2021).</w:t>
      </w:r>
    </w:p>
    <w:p w14:paraId="627A3873" w14:textId="77777777" w:rsidR="00720442" w:rsidRDefault="0080011C">
      <w:bookmarkStart w:id="105" w:name="marco-regulatorio-peruano"/>
      <w:bookmarkEnd w:id="104"/>
      <w:r>
        <w:t>Marco regulatorio peruano</w:t>
      </w:r>
    </w:p>
    <w:p w14:paraId="05D4708B" w14:textId="77777777" w:rsidR="00720442" w:rsidRDefault="0080011C">
      <w:r>
        <w:t xml:space="preserve">El marco regulatorio que sustenta la dimensión normativa del modelo comprende la RM N° 1104-2018-MINSA (IEDS), la RM N° 464-2019-MINSA (RNIEDS), la RM N° 1193-2019-MINSA (PIDESALUD) y la Ley N°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w:t>
      </w:r>
      <w:r>
        <w:t>y validar reglas de transformación. En Perú, la brecha entre normativa vigente y operación efectiva —</w:t>
      </w:r>
      <w:r>
        <w:lastRenderedPageBreak/>
        <w:t>documentada por Bayona Castañeda (2019), Mauricio et al. (2024) y Esparza Morgan (2025)— justifica el componente diagnóstico de esta tesis. La Tabla 12 sintetiza el marco normativo peruano vigente para la interoperabilidad en salud.</w:t>
      </w:r>
    </w:p>
    <w:p w14:paraId="41EE3307" w14:textId="09BBA529" w:rsidR="00720442" w:rsidRDefault="0080011C">
      <w:bookmarkStart w:id="106" w:name="tbl:marco-normativo"/>
      <w:bookmarkStart w:id="107" w:name="_Toc225939038"/>
      <w:r>
        <w:t xml:space="preserve">Tabla </w:t>
      </w:r>
      <w:r>
        <w:fldChar w:fldCharType="begin"/>
      </w:r>
      <w:r>
        <w:instrText xml:space="preserve"> SEQ Table \* ARABIC </w:instrText>
      </w:r>
      <w:r>
        <w:fldChar w:fldCharType="separate"/>
      </w:r>
      <w:r w:rsidR="005314D4">
        <w:rPr>
          <w:noProof/>
        </w:rPr>
        <w:t>12</w:t>
      </w:r>
      <w:r>
        <w:fldChar w:fldCharType="end"/>
      </w:r>
      <w:r>
        <w:t>. Marco normativo peruano para la interoperabilidad en salud</w:t>
      </w:r>
      <w:bookmarkEnd w:id="10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Marco normativo peruano para la interoperabilidad en salud"/>
      </w:tblPr>
      <w:tblGrid>
        <w:gridCol w:w="2433"/>
        <w:gridCol w:w="456"/>
        <w:gridCol w:w="1673"/>
        <w:gridCol w:w="4183"/>
      </w:tblGrid>
      <w:tr w:rsidR="00720442" w14:paraId="71E162B2" w14:textId="77777777">
        <w:trPr>
          <w:tblHeader/>
        </w:trPr>
        <w:tc>
          <w:tcPr>
            <w:tcW w:w="2203" w:type="dxa"/>
          </w:tcPr>
          <w:p w14:paraId="6A2865AA" w14:textId="77777777" w:rsidR="00720442" w:rsidRDefault="0080011C">
            <w:pPr>
              <w:jc w:val="left"/>
            </w:pPr>
            <w:r>
              <w:t>Norma</w:t>
            </w:r>
          </w:p>
        </w:tc>
        <w:tc>
          <w:tcPr>
            <w:tcW w:w="413" w:type="dxa"/>
          </w:tcPr>
          <w:p w14:paraId="2AD10798" w14:textId="77777777" w:rsidR="00720442" w:rsidRDefault="0080011C">
            <w:pPr>
              <w:jc w:val="center"/>
            </w:pPr>
            <w:r>
              <w:t>Año</w:t>
            </w:r>
          </w:p>
        </w:tc>
        <w:tc>
          <w:tcPr>
            <w:tcW w:w="1515" w:type="dxa"/>
          </w:tcPr>
          <w:p w14:paraId="301D2E15" w14:textId="77777777" w:rsidR="00720442" w:rsidRDefault="0080011C">
            <w:pPr>
              <w:jc w:val="left"/>
            </w:pPr>
            <w:r>
              <w:t>Instrumento creado</w:t>
            </w:r>
          </w:p>
        </w:tc>
        <w:tc>
          <w:tcPr>
            <w:tcW w:w="3787" w:type="dxa"/>
          </w:tcPr>
          <w:p w14:paraId="6A7DA9A1" w14:textId="77777777" w:rsidR="00720442" w:rsidRDefault="0080011C">
            <w:pPr>
              <w:jc w:val="left"/>
            </w:pPr>
            <w:r>
              <w:t>Contenido principal</w:t>
            </w:r>
          </w:p>
        </w:tc>
      </w:tr>
      <w:tr w:rsidR="00720442" w14:paraId="17A762A8" w14:textId="77777777">
        <w:tc>
          <w:tcPr>
            <w:tcW w:w="2203" w:type="dxa"/>
          </w:tcPr>
          <w:p w14:paraId="6E94455E" w14:textId="77777777" w:rsidR="00720442" w:rsidRDefault="0080011C">
            <w:pPr>
              <w:jc w:val="left"/>
            </w:pPr>
            <w:r>
              <w:t>Ley N° 30024</w:t>
            </w:r>
          </w:p>
        </w:tc>
        <w:tc>
          <w:tcPr>
            <w:tcW w:w="413" w:type="dxa"/>
          </w:tcPr>
          <w:p w14:paraId="493606FB" w14:textId="77777777" w:rsidR="00720442" w:rsidRDefault="0080011C">
            <w:pPr>
              <w:jc w:val="center"/>
            </w:pPr>
            <w:r>
              <w:t>2013</w:t>
            </w:r>
          </w:p>
        </w:tc>
        <w:tc>
          <w:tcPr>
            <w:tcW w:w="1515" w:type="dxa"/>
          </w:tcPr>
          <w:p w14:paraId="38B6B150" w14:textId="77777777" w:rsidR="00720442" w:rsidRDefault="0080011C">
            <w:pPr>
              <w:jc w:val="left"/>
            </w:pPr>
            <w:r>
              <w:t>RENHICE</w:t>
            </w:r>
          </w:p>
        </w:tc>
        <w:tc>
          <w:tcPr>
            <w:tcW w:w="3787" w:type="dxa"/>
          </w:tcPr>
          <w:p w14:paraId="53BD13A4" w14:textId="77777777" w:rsidR="00720442" w:rsidRDefault="0080011C">
            <w:pPr>
              <w:jc w:val="left"/>
            </w:pPr>
            <w:r>
              <w:t>Crea el Registro Nacional de Historias Clínicas Electrónicas para garantizar acceso y disponibilidad a nivel nacional</w:t>
            </w:r>
          </w:p>
        </w:tc>
      </w:tr>
      <w:tr w:rsidR="00720442" w14:paraId="6CE35849" w14:textId="77777777">
        <w:tc>
          <w:tcPr>
            <w:tcW w:w="2203" w:type="dxa"/>
          </w:tcPr>
          <w:p w14:paraId="0B8085F9" w14:textId="77777777" w:rsidR="00720442" w:rsidRDefault="0080011C">
            <w:pPr>
              <w:jc w:val="left"/>
            </w:pPr>
            <w:r>
              <w:t>DL N° 1306</w:t>
            </w:r>
          </w:p>
        </w:tc>
        <w:tc>
          <w:tcPr>
            <w:tcW w:w="413" w:type="dxa"/>
          </w:tcPr>
          <w:p w14:paraId="5CA06B1C" w14:textId="77777777" w:rsidR="00720442" w:rsidRDefault="0080011C">
            <w:pPr>
              <w:jc w:val="center"/>
            </w:pPr>
            <w:r>
              <w:t>2016</w:t>
            </w:r>
          </w:p>
        </w:tc>
        <w:tc>
          <w:tcPr>
            <w:tcW w:w="1515" w:type="dxa"/>
          </w:tcPr>
          <w:p w14:paraId="113A0038" w14:textId="77777777" w:rsidR="00720442" w:rsidRDefault="0080011C">
            <w:pPr>
              <w:jc w:val="left"/>
            </w:pPr>
            <w:r>
              <w:t>—</w:t>
            </w:r>
          </w:p>
        </w:tc>
        <w:tc>
          <w:tcPr>
            <w:tcW w:w="3787" w:type="dxa"/>
          </w:tcPr>
          <w:p w14:paraId="79271F29" w14:textId="77777777" w:rsidR="00720442" w:rsidRDefault="0080011C">
            <w:pPr>
              <w:jc w:val="left"/>
            </w:pPr>
            <w:r>
              <w:t>Optimiza procesos vinculados al RENHICE</w:t>
            </w:r>
          </w:p>
        </w:tc>
      </w:tr>
      <w:tr w:rsidR="00720442" w14:paraId="1D5C9AD6" w14:textId="77777777">
        <w:tc>
          <w:tcPr>
            <w:tcW w:w="2203" w:type="dxa"/>
          </w:tcPr>
          <w:p w14:paraId="68BED40A" w14:textId="77777777" w:rsidR="00720442" w:rsidRDefault="0080011C">
            <w:pPr>
              <w:jc w:val="left"/>
            </w:pPr>
            <w:r>
              <w:t>DS N° 009-2017-SA</w:t>
            </w:r>
          </w:p>
        </w:tc>
        <w:tc>
          <w:tcPr>
            <w:tcW w:w="413" w:type="dxa"/>
          </w:tcPr>
          <w:p w14:paraId="7BD976A5" w14:textId="77777777" w:rsidR="00720442" w:rsidRDefault="0080011C">
            <w:pPr>
              <w:jc w:val="center"/>
            </w:pPr>
            <w:r>
              <w:t>2017</w:t>
            </w:r>
          </w:p>
        </w:tc>
        <w:tc>
          <w:tcPr>
            <w:tcW w:w="1515" w:type="dxa"/>
          </w:tcPr>
          <w:p w14:paraId="60A9912C" w14:textId="77777777" w:rsidR="00720442" w:rsidRDefault="0080011C">
            <w:pPr>
              <w:jc w:val="left"/>
            </w:pPr>
            <w:r>
              <w:t>Reglamento de Ley N° 30024</w:t>
            </w:r>
          </w:p>
        </w:tc>
        <w:tc>
          <w:tcPr>
            <w:tcW w:w="3787" w:type="dxa"/>
          </w:tcPr>
          <w:p w14:paraId="6433414A" w14:textId="77777777" w:rsidR="00720442" w:rsidRDefault="0080011C">
            <w:pPr>
              <w:jc w:val="left"/>
            </w:pPr>
            <w:r>
              <w:t>Establece disposiciones reglamentarias para la implementación del RENHICE</w:t>
            </w:r>
          </w:p>
        </w:tc>
      </w:tr>
      <w:tr w:rsidR="00720442" w14:paraId="4EC7A1D9" w14:textId="77777777">
        <w:tc>
          <w:tcPr>
            <w:tcW w:w="2203" w:type="dxa"/>
          </w:tcPr>
          <w:p w14:paraId="04ACCD40" w14:textId="77777777" w:rsidR="00720442" w:rsidRDefault="0080011C">
            <w:pPr>
              <w:jc w:val="left"/>
            </w:pPr>
            <w:r>
              <w:t>RM N° 1104-2018-MINSA</w:t>
            </w:r>
          </w:p>
        </w:tc>
        <w:tc>
          <w:tcPr>
            <w:tcW w:w="413" w:type="dxa"/>
          </w:tcPr>
          <w:p w14:paraId="744ACAFE" w14:textId="77777777" w:rsidR="00720442" w:rsidRDefault="0080011C">
            <w:pPr>
              <w:jc w:val="center"/>
            </w:pPr>
            <w:r>
              <w:t>2018</w:t>
            </w:r>
          </w:p>
        </w:tc>
        <w:tc>
          <w:tcPr>
            <w:tcW w:w="1515" w:type="dxa"/>
          </w:tcPr>
          <w:p w14:paraId="745A5BB2" w14:textId="77777777" w:rsidR="00720442" w:rsidRDefault="0080011C">
            <w:pPr>
              <w:jc w:val="left"/>
            </w:pPr>
            <w:r>
              <w:t>IEDS</w:t>
            </w:r>
          </w:p>
        </w:tc>
        <w:tc>
          <w:tcPr>
            <w:tcW w:w="3787" w:type="dxa"/>
          </w:tcPr>
          <w:p w14:paraId="497CAB62" w14:textId="77777777" w:rsidR="00720442" w:rsidRDefault="0080011C">
            <w:pPr>
              <w:jc w:val="left"/>
            </w:pPr>
            <w:r>
              <w:t>Define la Infraestructura de Estándares de Datos en Salud: estándares técnicos para representación, almacenamiento e intercambio</w:t>
            </w:r>
          </w:p>
        </w:tc>
      </w:tr>
      <w:tr w:rsidR="00720442" w14:paraId="368CE1DA" w14:textId="77777777">
        <w:tc>
          <w:tcPr>
            <w:tcW w:w="2203" w:type="dxa"/>
          </w:tcPr>
          <w:p w14:paraId="5B98D41A" w14:textId="77777777" w:rsidR="00720442" w:rsidRDefault="0080011C">
            <w:pPr>
              <w:jc w:val="left"/>
            </w:pPr>
            <w:r>
              <w:t>RM N° 464-2019-MINSA</w:t>
            </w:r>
          </w:p>
        </w:tc>
        <w:tc>
          <w:tcPr>
            <w:tcW w:w="413" w:type="dxa"/>
          </w:tcPr>
          <w:p w14:paraId="110DD439" w14:textId="77777777" w:rsidR="00720442" w:rsidRDefault="0080011C">
            <w:pPr>
              <w:jc w:val="center"/>
            </w:pPr>
            <w:r>
              <w:t>2019</w:t>
            </w:r>
          </w:p>
        </w:tc>
        <w:tc>
          <w:tcPr>
            <w:tcW w:w="1515" w:type="dxa"/>
          </w:tcPr>
          <w:p w14:paraId="5A933BF6" w14:textId="77777777" w:rsidR="00720442" w:rsidRDefault="0080011C">
            <w:pPr>
              <w:jc w:val="left"/>
            </w:pPr>
            <w:r>
              <w:t>RNIEDS</w:t>
            </w:r>
          </w:p>
        </w:tc>
        <w:tc>
          <w:tcPr>
            <w:tcW w:w="3787" w:type="dxa"/>
          </w:tcPr>
          <w:p w14:paraId="5D70417B" w14:textId="77777777" w:rsidR="00720442" w:rsidRDefault="0080011C">
            <w:pPr>
              <w:jc w:val="left"/>
            </w:pPr>
            <w:r>
              <w:t>Establece la Red Nacional de Interoperabilidad en Datos de Salud: arquitectura de conectividad e intercambio estandarizado</w:t>
            </w:r>
          </w:p>
        </w:tc>
      </w:tr>
      <w:tr w:rsidR="00720442" w14:paraId="01DEEB85" w14:textId="77777777">
        <w:tc>
          <w:tcPr>
            <w:tcW w:w="2203" w:type="dxa"/>
          </w:tcPr>
          <w:p w14:paraId="55C13DB0" w14:textId="77777777" w:rsidR="00720442" w:rsidRDefault="0080011C">
            <w:pPr>
              <w:jc w:val="left"/>
            </w:pPr>
            <w:r>
              <w:t>RM N° 1193-2019-MINSA</w:t>
            </w:r>
          </w:p>
        </w:tc>
        <w:tc>
          <w:tcPr>
            <w:tcW w:w="413" w:type="dxa"/>
          </w:tcPr>
          <w:p w14:paraId="71686C71" w14:textId="77777777" w:rsidR="00720442" w:rsidRDefault="0080011C">
            <w:pPr>
              <w:jc w:val="center"/>
            </w:pPr>
            <w:r>
              <w:t>20</w:t>
            </w:r>
            <w:r>
              <w:lastRenderedPageBreak/>
              <w:t>19</w:t>
            </w:r>
          </w:p>
        </w:tc>
        <w:tc>
          <w:tcPr>
            <w:tcW w:w="1515" w:type="dxa"/>
          </w:tcPr>
          <w:p w14:paraId="4E150D48" w14:textId="77777777" w:rsidR="00720442" w:rsidRDefault="0080011C">
            <w:pPr>
              <w:jc w:val="left"/>
            </w:pPr>
            <w:r>
              <w:lastRenderedPageBreak/>
              <w:t>PIDESALUD</w:t>
            </w:r>
          </w:p>
        </w:tc>
        <w:tc>
          <w:tcPr>
            <w:tcW w:w="3787" w:type="dxa"/>
          </w:tcPr>
          <w:p w14:paraId="18AB6218" w14:textId="77777777" w:rsidR="00720442" w:rsidRDefault="0080011C">
            <w:pPr>
              <w:jc w:val="left"/>
            </w:pPr>
            <w:r>
              <w:t xml:space="preserve">Regula la Plataforma de Interoperabilidad de Datos Estándares de Salud: mecanismos </w:t>
            </w:r>
            <w:r>
              <w:lastRenderedPageBreak/>
              <w:t>técnicos para el intercambio entre establecimientos</w:t>
            </w:r>
          </w:p>
        </w:tc>
      </w:tr>
      <w:tr w:rsidR="00720442" w14:paraId="448D5416" w14:textId="77777777">
        <w:tc>
          <w:tcPr>
            <w:tcW w:w="2203" w:type="dxa"/>
          </w:tcPr>
          <w:p w14:paraId="5FFDF4A7" w14:textId="77777777" w:rsidR="00720442" w:rsidRDefault="0080011C">
            <w:pPr>
              <w:jc w:val="left"/>
            </w:pPr>
            <w:r>
              <w:lastRenderedPageBreak/>
              <w:t>Ley N° 29733</w:t>
            </w:r>
          </w:p>
        </w:tc>
        <w:tc>
          <w:tcPr>
            <w:tcW w:w="413" w:type="dxa"/>
          </w:tcPr>
          <w:p w14:paraId="2C9F925F" w14:textId="77777777" w:rsidR="00720442" w:rsidRDefault="0080011C">
            <w:pPr>
              <w:jc w:val="center"/>
            </w:pPr>
            <w:r>
              <w:t>2011</w:t>
            </w:r>
          </w:p>
        </w:tc>
        <w:tc>
          <w:tcPr>
            <w:tcW w:w="1515" w:type="dxa"/>
          </w:tcPr>
          <w:p w14:paraId="00BF1FFB" w14:textId="77777777" w:rsidR="00720442" w:rsidRDefault="0080011C">
            <w:pPr>
              <w:jc w:val="left"/>
            </w:pPr>
            <w:r>
              <w:t>—</w:t>
            </w:r>
          </w:p>
        </w:tc>
        <w:tc>
          <w:tcPr>
            <w:tcW w:w="3787" w:type="dxa"/>
          </w:tcPr>
          <w:p w14:paraId="3F3A8F04" w14:textId="77777777" w:rsidR="00720442" w:rsidRDefault="0080011C">
            <w:pPr>
              <w:jc w:val="left"/>
            </w:pPr>
            <w:r>
              <w:t>Ley de Protección de Datos Personales: establece requisitos de consentimiento y seguridad para datos clínicos</w:t>
            </w:r>
          </w:p>
        </w:tc>
      </w:tr>
      <w:tr w:rsidR="00720442" w14:paraId="68B25B85" w14:textId="77777777">
        <w:tc>
          <w:tcPr>
            <w:tcW w:w="2203" w:type="dxa"/>
          </w:tcPr>
          <w:p w14:paraId="7CDFA7CE" w14:textId="77777777" w:rsidR="00720442" w:rsidRDefault="0080011C">
            <w:pPr>
              <w:jc w:val="left"/>
            </w:pPr>
            <w:r>
              <w:t>Ley N° 29344</w:t>
            </w:r>
          </w:p>
        </w:tc>
        <w:tc>
          <w:tcPr>
            <w:tcW w:w="413" w:type="dxa"/>
          </w:tcPr>
          <w:p w14:paraId="2B35858B" w14:textId="77777777" w:rsidR="00720442" w:rsidRDefault="0080011C">
            <w:pPr>
              <w:jc w:val="center"/>
            </w:pPr>
            <w:r>
              <w:t>2009</w:t>
            </w:r>
          </w:p>
        </w:tc>
        <w:tc>
          <w:tcPr>
            <w:tcW w:w="1515" w:type="dxa"/>
          </w:tcPr>
          <w:p w14:paraId="3F50FB24" w14:textId="77777777" w:rsidR="00720442" w:rsidRDefault="0080011C">
            <w:pPr>
              <w:jc w:val="left"/>
            </w:pPr>
            <w:r>
              <w:t>AUS</w:t>
            </w:r>
          </w:p>
        </w:tc>
        <w:tc>
          <w:tcPr>
            <w:tcW w:w="3787" w:type="dxa"/>
          </w:tcPr>
          <w:p w14:paraId="20BF5F29" w14:textId="77777777" w:rsidR="00720442" w:rsidRDefault="0080011C">
            <w:pPr>
              <w:jc w:val="left"/>
            </w:pPr>
            <w:r>
              <w:t>Marco de Aseguramiento Universal en Salud: articula la cobertura financiera con la prestación de servicios</w:t>
            </w:r>
          </w:p>
        </w:tc>
      </w:tr>
    </w:tbl>
    <w:bookmarkEnd w:id="106"/>
    <w:p w14:paraId="1D6DDCED" w14:textId="77777777" w:rsidR="00720442" w:rsidRDefault="0080011C">
      <w:pPr>
        <w:jc w:val="center"/>
      </w:pPr>
      <w:r>
        <w:rPr>
          <w:i/>
          <w:iCs/>
          <w:sz w:val="20"/>
        </w:rPr>
        <w:t>Nota.</w:t>
      </w:r>
      <w:r>
        <w:rPr>
          <w:sz w:val="20"/>
        </w:rPr>
        <w:t xml:space="preserve"> </w:t>
      </w:r>
      <w:r>
        <w:rPr>
          <w:sz w:val="20"/>
        </w:rPr>
        <w:t>Elaboración propia a partir de Bayona Castañeda (2019) y el marco normativo vigente del MINSA.</w:t>
      </w:r>
    </w:p>
    <w:p w14:paraId="1AC1413F" w14:textId="77777777" w:rsidR="00720442" w:rsidRDefault="0080011C">
      <w:pPr>
        <w:pStyle w:val="Ttulo2"/>
      </w:pPr>
      <w:bookmarkStart w:id="108" w:name="definición-de-términos-básicos"/>
      <w:bookmarkStart w:id="109" w:name="_Toc225939024"/>
      <w:bookmarkEnd w:id="72"/>
      <w:bookmarkEnd w:id="100"/>
      <w:bookmarkEnd w:id="105"/>
      <w:r>
        <w:t>2.3. Definición de términos básicos</w:t>
      </w:r>
      <w:bookmarkEnd w:id="109"/>
    </w:p>
    <w:p w14:paraId="02F0DCDD" w14:textId="77777777" w:rsidR="00720442" w:rsidRDefault="0080011C">
      <w:pPr>
        <w:numPr>
          <w:ilvl w:val="0"/>
          <w:numId w:val="58"/>
        </w:numPr>
      </w:pPr>
      <w:r>
        <w:rPr>
          <w:b/>
          <w:bCs/>
        </w:rPr>
        <w:t>API RESTful:</w:t>
      </w:r>
      <w:r>
        <w:t xml:space="preserve"> 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6D55CEFE" w14:textId="77777777" w:rsidR="00720442" w:rsidRDefault="0080011C">
      <w:pPr>
        <w:numPr>
          <w:ilvl w:val="0"/>
          <w:numId w:val="58"/>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0FF2D5C6" w14:textId="77777777" w:rsidR="00720442" w:rsidRDefault="0080011C">
      <w:pPr>
        <w:numPr>
          <w:ilvl w:val="0"/>
          <w:numId w:val="58"/>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w:t>
      </w:r>
      <w:r>
        <w:lastRenderedPageBreak/>
        <w:t>en historias clínicas electrónicas y constituye un indicador clave de calidad de datos (Vorisek et al., 2022).</w:t>
      </w:r>
    </w:p>
    <w:p w14:paraId="71FFBBE8" w14:textId="77777777" w:rsidR="00720442" w:rsidRDefault="0080011C">
      <w:pPr>
        <w:numPr>
          <w:ilvl w:val="0"/>
          <w:numId w:val="58"/>
        </w:numPr>
      </w:pPr>
      <w:r>
        <w:rPr>
          <w:b/>
          <w:bCs/>
        </w:rPr>
        <w:t>CPMS (Catálogo de Procedimientos Médicos y Sanitarios):</w:t>
      </w:r>
      <w:r>
        <w:t xml:space="preserve"> </w:t>
      </w:r>
      <w:r>
        <w:t>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7AD8AF36" w14:textId="77777777" w:rsidR="00720442" w:rsidRDefault="0080011C">
      <w:pPr>
        <w:numPr>
          <w:ilvl w:val="0"/>
          <w:numId w:val="58"/>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65C6953D" w14:textId="77777777" w:rsidR="00720442" w:rsidRDefault="0080011C">
      <w:pPr>
        <w:numPr>
          <w:ilvl w:val="0"/>
          <w:numId w:val="58"/>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0E583149" w14:textId="77777777" w:rsidR="00720442" w:rsidRDefault="0080011C">
      <w:pPr>
        <w:numPr>
          <w:ilvl w:val="0"/>
          <w:numId w:val="58"/>
        </w:numPr>
      </w:pPr>
      <w:r>
        <w:rPr>
          <w:b/>
          <w:bCs/>
        </w:rPr>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Para la presente investigación se utilizará la versión FHIR R4 (Release 4), por ser la versión estable con mayor</w:t>
      </w:r>
      <w:r>
        <w:t xml:space="preserve"> adopción internacional y contar con perfiles predefinidos (US Core, International Patient Summary) que facilitan la implementación en contextos de interoperabilidad clínica (Pimenta et al., 2023; Tabari et al., 2024).</w:t>
      </w:r>
    </w:p>
    <w:p w14:paraId="6867751D" w14:textId="77777777" w:rsidR="00720442" w:rsidRDefault="0080011C">
      <w:pPr>
        <w:numPr>
          <w:ilvl w:val="0"/>
          <w:numId w:val="58"/>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w:t>
      </w:r>
      <w:r>
        <w:lastRenderedPageBreak/>
        <w:t>FHIR, la especificación incluye un binding oficial GraphQL que posibilita consultas clínicas complejas (multi-recurso) con menor número de llamadas al servidor, facilitando escenarios de integración donde se requiere agregar datos de Patient, Encounter y Observation en una misma transacción.</w:t>
      </w:r>
    </w:p>
    <w:p w14:paraId="6404D132" w14:textId="77777777" w:rsidR="00720442" w:rsidRDefault="0080011C">
      <w:pPr>
        <w:numPr>
          <w:ilvl w:val="0"/>
          <w:numId w:val="58"/>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27DA4814" w14:textId="77777777" w:rsidR="00720442" w:rsidRDefault="0080011C">
      <w:pPr>
        <w:numPr>
          <w:ilvl w:val="0"/>
          <w:numId w:val="58"/>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7C0BE3BB" w14:textId="77777777" w:rsidR="00720442" w:rsidRDefault="0080011C">
      <w:pPr>
        <w:numPr>
          <w:ilvl w:val="0"/>
          <w:numId w:val="58"/>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6F2C6D2C" w14:textId="77777777" w:rsidR="00720442" w:rsidRDefault="0080011C">
      <w:pPr>
        <w:numPr>
          <w:ilvl w:val="0"/>
          <w:numId w:val="58"/>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16653516" w14:textId="77777777" w:rsidR="00720442" w:rsidRDefault="0080011C">
      <w:pPr>
        <w:numPr>
          <w:ilvl w:val="0"/>
          <w:numId w:val="58"/>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w:t>
      </w:r>
      <w:r>
        <w:lastRenderedPageBreak/>
        <w:t>nivel 7 (aplicación) del modelo OSI, donde opera la comunicación de datos clínicos (Amar et al., 2024).</w:t>
      </w:r>
    </w:p>
    <w:p w14:paraId="43B24976" w14:textId="77777777" w:rsidR="00720442" w:rsidRDefault="0080011C">
      <w:pPr>
        <w:numPr>
          <w:ilvl w:val="0"/>
          <w:numId w:val="58"/>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29B8FDC0" w14:textId="77777777" w:rsidR="00720442" w:rsidRDefault="0080011C">
      <w:pPr>
        <w:numPr>
          <w:ilvl w:val="0"/>
          <w:numId w:val="58"/>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38EB65F9" w14:textId="77777777" w:rsidR="00720442" w:rsidRDefault="0080011C">
      <w:pPr>
        <w:numPr>
          <w:ilvl w:val="0"/>
          <w:numId w:val="58"/>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39B3D647" w14:textId="77777777" w:rsidR="00720442" w:rsidRDefault="0080011C">
      <w:pPr>
        <w:numPr>
          <w:ilvl w:val="0"/>
          <w:numId w:val="58"/>
        </w:numPr>
      </w:pPr>
      <w:r>
        <w:rPr>
          <w:b/>
          <w:bCs/>
        </w:rPr>
        <w:t>LOINC (Logical Observation Identifiers Names and Codes):</w:t>
      </w:r>
      <w:r>
        <w:t xml:space="preserve"> Sistema de codificación universal desarrollado por el Regenstrief Institute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43302CF2" w14:textId="77777777" w:rsidR="00720442" w:rsidRDefault="0080011C">
      <w:pPr>
        <w:numPr>
          <w:ilvl w:val="0"/>
          <w:numId w:val="58"/>
        </w:numPr>
      </w:pPr>
      <w:r>
        <w:rPr>
          <w:b/>
          <w:bCs/>
        </w:rPr>
        <w:t>OAuth 2.0 (Open Authorization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w:t>
      </w:r>
      <w:r>
        <w:lastRenderedPageBreak/>
        <w:t>on FHIR que define flujos de autorización específicos para aplicaciones de salud.</w:t>
      </w:r>
    </w:p>
    <w:p w14:paraId="2A3920DF" w14:textId="77777777" w:rsidR="00720442" w:rsidRDefault="0080011C">
      <w:pPr>
        <w:numPr>
          <w:ilvl w:val="0"/>
          <w:numId w:val="58"/>
        </w:numPr>
      </w:pPr>
      <w:r>
        <w:rPr>
          <w:b/>
          <w:bCs/>
        </w:rPr>
        <w:t>openEHR:</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14:paraId="6CAEE67F" w14:textId="77777777" w:rsidR="00720442" w:rsidRDefault="0080011C">
      <w:pPr>
        <w:numPr>
          <w:ilvl w:val="0"/>
          <w:numId w:val="58"/>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0CCD8E07" w14:textId="77777777" w:rsidR="00720442" w:rsidRDefault="0080011C">
      <w:pPr>
        <w:numPr>
          <w:ilvl w:val="0"/>
          <w:numId w:val="58"/>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44CE47A2" w14:textId="77777777" w:rsidR="00720442" w:rsidRDefault="0080011C">
      <w:pPr>
        <w:numPr>
          <w:ilvl w:val="0"/>
          <w:numId w:val="58"/>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389EE852" w14:textId="77777777" w:rsidR="00720442" w:rsidRDefault="0080011C">
      <w:pPr>
        <w:numPr>
          <w:ilvl w:val="0"/>
          <w:numId w:val="58"/>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43435CCB" w14:textId="77777777" w:rsidR="00720442" w:rsidRDefault="0080011C">
      <w:pPr>
        <w:numPr>
          <w:ilvl w:val="0"/>
          <w:numId w:val="58"/>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0A4BAAC5" w14:textId="77777777" w:rsidR="00720442" w:rsidRDefault="0080011C">
      <w:pPr>
        <w:numPr>
          <w:ilvl w:val="0"/>
          <w:numId w:val="58"/>
        </w:numPr>
      </w:pPr>
      <w:r>
        <w:rPr>
          <w:b/>
          <w:bCs/>
        </w:rPr>
        <w:lastRenderedPageBreak/>
        <w:t>SMART on FHIR (Substitutable Medical Applications, Reusable Technologies):</w:t>
      </w:r>
      <w:r>
        <w:t xml:space="preserve"> Plataforma de estándares abiertos que define cómo las aplicaciones clínicas se autentican, autorizan y conectan a servidores FHIR de forma segura y portátil. Combina OAuth 2.0, OpenID Connect y perfiles FHIR para permitir que una misma aplicación funcione sobre cualquier EHR compatible, promoviendo un ecosistema de aplicaciones clínicas intercambiables.</w:t>
      </w:r>
    </w:p>
    <w:p w14:paraId="13E304F0" w14:textId="77777777" w:rsidR="00720442" w:rsidRDefault="0080011C">
      <w:pPr>
        <w:numPr>
          <w:ilvl w:val="0"/>
          <w:numId w:val="58"/>
        </w:numPr>
      </w:pPr>
      <w:r>
        <w:rPr>
          <w:b/>
          <w:bCs/>
        </w:rPr>
        <w:t>SNOMED-CT (Systematized Nomenclature of Medicine — Clinical Terms):</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0741159A" w14:textId="77777777" w:rsidR="00720442" w:rsidRDefault="0080011C">
      <w:pPr>
        <w:pStyle w:val="Ttulo3"/>
      </w:pPr>
      <w:bookmarkStart w:id="110" w:name="X4340cc8ce31cdaca397d35e3447146e54ba14cf"/>
      <w:bookmarkStart w:id="111" w:name="_Toc225939025"/>
      <w:r>
        <w:t>2.3.1. Definiciones operacionales de los indicadores de calidad del intercambio</w:t>
      </w:r>
      <w:bookmarkEnd w:id="111"/>
    </w:p>
    <w:p w14:paraId="66E66113" w14:textId="77777777" w:rsidR="00720442" w:rsidRDefault="0080011C">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2F271595" w14:textId="77777777" w:rsidR="00720442" w:rsidRDefault="0080011C">
      <w:pPr>
        <w:numPr>
          <w:ilvl w:val="0"/>
          <w:numId w:val="58"/>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Condition, Observation). Se calcula como el porcentaje de recursos FHIR que contienen valores válidos en los campos marcados como obligatorios (must-support = true).</w:t>
      </w:r>
    </w:p>
    <w:p w14:paraId="0973BC64" w14:textId="77777777" w:rsidR="00720442" w:rsidRDefault="0080011C">
      <w:pPr>
        <w:numPr>
          <w:ilvl w:val="0"/>
          <w:numId w:val="58"/>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380EF1D7" w14:textId="77777777" w:rsidR="00720442" w:rsidRDefault="0080011C">
      <w:pPr>
        <w:numPr>
          <w:ilvl w:val="0"/>
          <w:numId w:val="58"/>
        </w:numPr>
      </w:pPr>
      <w:r>
        <w:rPr>
          <w:b/>
          <w:bCs/>
        </w:rPr>
        <w:lastRenderedPageBreak/>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306090B6" w14:textId="77777777" w:rsidR="00720442" w:rsidRDefault="0080011C">
      <w:pPr>
        <w:numPr>
          <w:ilvl w:val="0"/>
          <w:numId w:val="58"/>
        </w:numPr>
      </w:pPr>
      <w:r>
        <w:rPr>
          <w:b/>
          <w:bCs/>
        </w:rPr>
        <w:t>Continuidad asistencial (operacional):</w:t>
      </w:r>
      <w:r>
        <w:t xml:space="preserve"> </w:t>
      </w:r>
      <w:r>
        <w:t xml:space="preserve">Capacidad de acceder al historial clínico completo de un paciente a lo largo de los diferentes niveles de atención dentro del circuito piloto, medida como el porcentaje de pacientes cuya información clínica está disponible en su totalidad en cada punto de atención visitado. </w:t>
      </w:r>
    </w:p>
    <w:p w14:paraId="039C5429" w14:textId="77777777" w:rsidR="00720442" w:rsidRDefault="0080011C">
      <w:pPr>
        <w:pStyle w:val="Ttulo1"/>
        <w:pageBreakBefore/>
      </w:pPr>
      <w:bookmarkStart w:id="112" w:name="referencias"/>
      <w:bookmarkStart w:id="113" w:name="_Toc225939026"/>
      <w:bookmarkEnd w:id="55"/>
      <w:bookmarkEnd w:id="108"/>
      <w:bookmarkEnd w:id="110"/>
      <w:r>
        <w:lastRenderedPageBreak/>
        <w:t>Referencias</w:t>
      </w:r>
      <w:bookmarkEnd w:id="113"/>
    </w:p>
    <w:p w14:paraId="1F556BA8" w14:textId="77777777" w:rsidR="00720442" w:rsidRDefault="0080011C">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2B0FDFCD" w14:textId="77777777" w:rsidR="00720442" w:rsidRDefault="0080011C">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1B099829" w14:textId="77777777" w:rsidR="00720442" w:rsidRDefault="0080011C">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5A1F2AD2" w14:textId="77777777" w:rsidR="00720442" w:rsidRDefault="0080011C">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78BA9087" w14:textId="77777777" w:rsidR="00720442" w:rsidRDefault="0080011C">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28478DDF" w14:textId="77777777" w:rsidR="00720442" w:rsidRDefault="0080011C">
      <w:r>
        <w:t xml:space="preserve">Bayona Castañeda, L. (2019). </w:t>
      </w:r>
      <w:r>
        <w:rPr>
          <w:i/>
          <w:iCs/>
        </w:rPr>
        <w:t>Radiografía de la Historia Clínica en Perú</w:t>
      </w:r>
      <w:r>
        <w:t xml:space="preserve"> [Trabajo de fin de máster, Universitat Politècnica de València]. RiuNet UPV.</w:t>
      </w:r>
    </w:p>
    <w:p w14:paraId="5C1A5D2E" w14:textId="77777777" w:rsidR="00720442" w:rsidRDefault="0080011C">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7A759E40" w14:textId="77777777" w:rsidR="00720442" w:rsidRDefault="0080011C">
      <w:r>
        <w:t xml:space="preserve">Bran, E., Alzamora, A., Castañeda-Carbajal, B., Castillo-Sequera, J. L., &amp; Wong, L. (2024). Interoperability Blockchain, InterPlanetary File System and Health Level 7 Framework for Electronic Health Records. </w:t>
      </w:r>
      <w:r>
        <w:rPr>
          <w:i/>
          <w:iCs/>
        </w:rPr>
        <w:t xml:space="preserve">International Journal of Online and </w:t>
      </w:r>
      <w:r>
        <w:rPr>
          <w:i/>
          <w:iCs/>
        </w:rPr>
        <w:lastRenderedPageBreak/>
        <w:t>Biomedical Engineering (iJOE), 20</w:t>
      </w:r>
      <w:r>
        <w:t>(15), 60–78. https://doi.org/10.3991/ijoe.v20i15.51515</w:t>
      </w:r>
    </w:p>
    <w:p w14:paraId="0D44F6B6" w14:textId="77777777" w:rsidR="00720442" w:rsidRDefault="0080011C">
      <w:r>
        <w:t xml:space="preserve">Chatterjee, A., Pahari, N., &amp; Prinz, A. (2022). HL7 FHIR with SNOMED-CT to Achieve Semantic and Structural Interoperability in Personal Health Data: A Proof-of-Concept Study. </w:t>
      </w:r>
      <w:r>
        <w:rPr>
          <w:i/>
          <w:iCs/>
        </w:rPr>
        <w:t>Sensors, 22</w:t>
      </w:r>
      <w:r>
        <w:t>(10), 3756. https://doi.org/10.3390/s22103756</w:t>
      </w:r>
    </w:p>
    <w:p w14:paraId="29B96887" w14:textId="77777777" w:rsidR="00720442" w:rsidRDefault="0080011C">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48EBD6AA" w14:textId="77777777" w:rsidR="00720442" w:rsidRDefault="0080011C">
      <w:r>
        <w:t xml:space="preserve">Fernandez, M., Pinto, H. A., Fernandes, L. M. M., Oliveira, J. A. S., Lima, A. M. F. S., Santana, J. S. S., &amp; Chioro, A. (2025). Interoperability in universal healthcare systems: Insights from Brazil’s experience integrating primary and hospital health care data. </w:t>
      </w:r>
      <w:r>
        <w:rPr>
          <w:i/>
          <w:iCs/>
        </w:rPr>
        <w:t>Frontiers in Digital Health, 7</w:t>
      </w:r>
      <w:r>
        <w:t>, 1622302. https://doi.org/10.3389/fdgth.2025.1622302</w:t>
      </w:r>
    </w:p>
    <w:p w14:paraId="1A970683" w14:textId="77777777" w:rsidR="00720442" w:rsidRDefault="0080011C">
      <w:r>
        <w:t xml:space="preserve">Fernández Infanzón, L. I., &amp; Huarac Cuizano, Y. M. (2021). </w:t>
      </w:r>
      <w:r>
        <w:rPr>
          <w:i/>
          <w:iCs/>
        </w:rPr>
        <w:t>Plan de negocio para integrar a las IPRESS con una plataforma de historia clínica electrónica (HCE) utilizando tecnología blockchain</w:t>
      </w:r>
      <w:r>
        <w:t xml:space="preserve"> [Tesis de maestría, Universidad ESAN]. Repositorio ESAN. https://hdl.handle.net/20.500.12640/2139</w:t>
      </w:r>
    </w:p>
    <w:p w14:paraId="2EE17F65" w14:textId="77777777" w:rsidR="00720442" w:rsidRDefault="0080011C">
      <w:r>
        <w:t xml:space="preserve">Gaudet-Blavignac, C., Raisaro, J. L., Touré, V., Österle, S., Crameri, K., &amp; Lovis, C. (2021). A National, Semantic-Driven, Three-Pillar Strategy to Enable Health Data Secondary Usage Interoperability for Research Within the Swiss Personalized Health Network: Methodological Study. </w:t>
      </w:r>
      <w:r>
        <w:rPr>
          <w:i/>
          <w:iCs/>
        </w:rPr>
        <w:t>JMIR Medical Informatics, 9</w:t>
      </w:r>
      <w:r>
        <w:t>(6), e27591. https://doi.org/10.2196/27591</w:t>
      </w:r>
    </w:p>
    <w:p w14:paraId="1BE11B30" w14:textId="77777777" w:rsidR="00720442" w:rsidRDefault="0080011C">
      <w:r>
        <w:t xml:space="preserve">Gazzarata, R., Almeida, J., Lindsköld, L., Cangioli, G., Gaeta, E., Fico, G., &amp; Chronaki, C. E. (2024). HL7 Fast Healthcare Interoperability Resources (HL7 FHIR) in digital healthcare ecosystems for chronic disease management: Scoping review. </w:t>
      </w:r>
      <w:r>
        <w:rPr>
          <w:i/>
          <w:iCs/>
        </w:rPr>
        <w:t>International Journal of Medical Informatics, 189</w:t>
      </w:r>
      <w:r>
        <w:t>, 105507. https://doi.org/10.1016/j.ijmedinf.2024.105507</w:t>
      </w:r>
    </w:p>
    <w:p w14:paraId="25DCBD95" w14:textId="77777777" w:rsidR="00720442" w:rsidRDefault="0080011C">
      <w:r>
        <w:t xml:space="preserve">Hernández-Sampieri, R., &amp; Mendoza, C. P. (2018). </w:t>
      </w:r>
      <w:r>
        <w:rPr>
          <w:i/>
          <w:iCs/>
        </w:rPr>
        <w:t>Metodología de la investigación: las rutas cuantitativa, cualitativa y mixta</w:t>
      </w:r>
      <w:r>
        <w:t>. McGraw-Hill Education.</w:t>
      </w:r>
    </w:p>
    <w:p w14:paraId="2061B900" w14:textId="77777777" w:rsidR="00720442" w:rsidRDefault="0080011C">
      <w:r>
        <w:lastRenderedPageBreak/>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 https://doi.org/10.2196/51270</w:t>
      </w:r>
    </w:p>
    <w:p w14:paraId="6002ED7F" w14:textId="77777777" w:rsidR="00720442" w:rsidRDefault="0080011C">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6B5DF953" w14:textId="77777777" w:rsidR="00720442" w:rsidRDefault="0080011C">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0F32DD57" w14:textId="77777777" w:rsidR="00720442" w:rsidRDefault="0080011C">
      <w:r>
        <w:t xml:space="preserve">Kramer, M. A., &amp; Moesel, C. (2023). Interoperability with multiple Fast Healthcare Interoperability Resources (FHIR) profiles and versions. </w:t>
      </w:r>
      <w:r>
        <w:rPr>
          <w:i/>
          <w:iCs/>
        </w:rPr>
        <w:t>JAMIA Open, 6</w:t>
      </w:r>
      <w:r>
        <w:t>(1). https://doi.org/10.1093/jamiaopen/ooad001</w:t>
      </w:r>
    </w:p>
    <w:p w14:paraId="2D621392" w14:textId="77777777" w:rsidR="00720442" w:rsidRDefault="0080011C">
      <w:r>
        <w:t xml:space="preserve">Liu, T., Lee, H., &amp; Wu, F. (2023). Building an Electronic Medical Record System Exchanged in FHIR Format and Its Visual Presentation. </w:t>
      </w:r>
      <w:r>
        <w:rPr>
          <w:i/>
          <w:iCs/>
        </w:rPr>
        <w:t>Healthcare, 11</w:t>
      </w:r>
      <w:r>
        <w:t>(17), 2410. https://doi.org/10.3390/healthcare11172410</w:t>
      </w:r>
    </w:p>
    <w:p w14:paraId="26958E06" w14:textId="77777777" w:rsidR="00720442" w:rsidRDefault="0080011C">
      <w:r>
        <w:t xml:space="preserve">Mauricio, D., Llanos-Colchado, P. C., Cutipa-Salazar, L. S., Castañeda, P., Chuquimbalqui-Maslucan, R., Rojas-Mezarina, L., &amp; Castillo-Sequera, J. L. (2024). Electronic Health Record Interoperability System in Peru Using Blockchain. </w:t>
      </w:r>
      <w:r>
        <w:rPr>
          <w:i/>
          <w:iCs/>
        </w:rPr>
        <w:t>International Journal of Online and Biomedical Engineering (iJOE), 20</w:t>
      </w:r>
      <w:r>
        <w:t>(03), 136-153. https://doi.org/10.3991/ijoe.v20i03.44507</w:t>
      </w:r>
    </w:p>
    <w:p w14:paraId="527648AE" w14:textId="77777777" w:rsidR="00720442" w:rsidRDefault="0080011C">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1ECF2683" w14:textId="77777777" w:rsidR="00720442" w:rsidRDefault="0080011C">
      <w:r>
        <w:t xml:space="preserve">Morales-Camargo, J., &amp; Meneses-Claudio, B. (2023). Electronic medical record and its impact on health care and management: A systematic review between the years </w:t>
      </w:r>
      <w:r>
        <w:lastRenderedPageBreak/>
        <w:t xml:space="preserve">2013 – 2023. </w:t>
      </w:r>
      <w:r>
        <w:rPr>
          <w:i/>
          <w:iCs/>
        </w:rPr>
        <w:t>Salud, Ciencia y Tecnología - Serie de Conferencias, 2</w:t>
      </w:r>
      <w:r>
        <w:t>, 455. https://doi.org/10.56294/sctconf2023455</w:t>
      </w:r>
    </w:p>
    <w:p w14:paraId="0C052744" w14:textId="77777777" w:rsidR="00720442" w:rsidRDefault="0080011C">
      <w:r>
        <w:t xml:space="preserve">Mukhiya, S. K., &amp; Lamo, Y. (2021). An HL7 FHIR and GraphQL approach for interoperability between heterogeneous Electronic Health Record systems. </w:t>
      </w:r>
      <w:r>
        <w:rPr>
          <w:i/>
          <w:iCs/>
        </w:rPr>
        <w:t>Health Informatics Journal, 27</w:t>
      </w:r>
      <w:r>
        <w:t>(3). https://doi.org/10.1177/14604582211043920</w:t>
      </w:r>
    </w:p>
    <w:p w14:paraId="3CC00D9B" w14:textId="77777777" w:rsidR="00720442" w:rsidRDefault="0080011C">
      <w:r>
        <w:t xml:space="preserve">Organización Panamericana de la Salud (OPS). (2024). </w:t>
      </w:r>
      <w:r>
        <w:rPr>
          <w:i/>
          <w:iCs/>
        </w:rPr>
        <w:t>Guía de implementación de interoperabilidad de sistemas de información en salud</w:t>
      </w:r>
      <w:r>
        <w:t>. OPS.</w:t>
      </w:r>
    </w:p>
    <w:p w14:paraId="2ED6CC1A" w14:textId="77777777" w:rsidR="00720442" w:rsidRDefault="0080011C">
      <w:r>
        <w:t xml:space="preserve">Pedrera-Jiménez, M., García-Barrio, N., Frid, S., Moner, D., Boscá-Tomás, D., Lozano-Rubí, R., Kalra, D., Beale, T., Muñoz-Carrero, A., &amp; Serrano-Balazote, P. (2023). Can OpenEHR, ISO 13606, and HL7 FHIR Work Together? An Agnostic Approach for the Selection and Application of Electronic Health Record Standards to the Next-Generation Health Data Spaces. </w:t>
      </w:r>
      <w:r>
        <w:rPr>
          <w:i/>
          <w:iCs/>
        </w:rPr>
        <w:t>Journal of Medical Internet Research, 25</w:t>
      </w:r>
      <w:r>
        <w:t>, e48702. https://doi.org/10.2196/48702</w:t>
      </w:r>
    </w:p>
    <w:p w14:paraId="0160BE4B" w14:textId="77777777" w:rsidR="00720442" w:rsidRDefault="0080011C">
      <w:r>
        <w:t xml:space="preserve">Pimenta, N., Chaves, A., Sousa, R., Abelha, A., &amp; Peixoto, H. (2023). Interoperability of Clinical Data through FHIR: A review. </w:t>
      </w:r>
      <w:r>
        <w:rPr>
          <w:i/>
          <w:iCs/>
        </w:rPr>
        <w:t>Procedia Computer Science, 220</w:t>
      </w:r>
      <w:r>
        <w:t>, 856-861. https://doi.org/10.1016/j.procs.2023.03.115</w:t>
      </w:r>
    </w:p>
    <w:p w14:paraId="7770E33D" w14:textId="77777777" w:rsidR="00720442" w:rsidRDefault="0080011C">
      <w:r>
        <w:t xml:space="preserve">Porras Gamarra, H. J. (2024). </w:t>
      </w:r>
      <w:r>
        <w:rPr>
          <w:i/>
          <w:iCs/>
        </w:rPr>
        <w:t>Implementación de un sistema de interoperabilidad de información clínica basado en los estándares internacionales HL7 FHIR y openEHR</w:t>
      </w:r>
      <w:r>
        <w:t xml:space="preserve"> [Trabajo de suficiencia profesional, Universidad Nacional Federico Villarreal]. Repositorio UNFV.</w:t>
      </w:r>
    </w:p>
    <w:p w14:paraId="40CA8A81" w14:textId="77777777" w:rsidR="00720442" w:rsidRDefault="0080011C">
      <w:r>
        <w:t xml:space="preserve">Raab, R., Kuderle, A., Zakreuskaya, A., Stern, A. D., Klucken, J., Kaissis, G., Rueckert, D., Boll, S., Eils, R., Wagener, H., &amp; Eskofier, B. M. (2023). Federated electronic health records for the European Health Data Space. </w:t>
      </w:r>
      <w:r>
        <w:rPr>
          <w:i/>
          <w:iCs/>
        </w:rPr>
        <w:t>The Lancet Digital Health, 5</w:t>
      </w:r>
      <w:r>
        <w:t>(11), e840-e847. https://doi.org/10.1016/S2589-7500(23)00156-5</w:t>
      </w:r>
    </w:p>
    <w:p w14:paraId="35305918" w14:textId="77777777" w:rsidR="00720442" w:rsidRDefault="0080011C">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1AD6CC95" w14:textId="77777777" w:rsidR="00720442" w:rsidRDefault="0080011C">
      <w:r>
        <w:t xml:space="preserve">Sánchez Calle, D. I. (2024). </w:t>
      </w:r>
      <w:r>
        <w:rPr>
          <w:i/>
          <w:iCs/>
        </w:rPr>
        <w:t>Arquitectura y requisitos de una historia clínica electrónica ocupacional según las normas ISO 18308:2011 e ISO 13606:2019</w:t>
      </w:r>
      <w:r>
        <w:t xml:space="preserve"> </w:t>
      </w:r>
      <w:r>
        <w:lastRenderedPageBreak/>
        <w:t>[Tesis de maestría, Universidad Peruana Cayetano Heredia]. Repositorio UPCH. https://hdl.handle.net/20.500.12866/17191</w:t>
      </w:r>
    </w:p>
    <w:p w14:paraId="3D7321F5" w14:textId="77777777" w:rsidR="00720442" w:rsidRDefault="0080011C">
      <w:r>
        <w:t xml:space="preserve">Surisetty, L. S. (2026). End-to-End Clinical Data Interoperability: A Practical Implementation Blueprint Using HL7, FHIR, CCD, and EHR Integration Standards. </w:t>
      </w:r>
      <w:r>
        <w:rPr>
          <w:i/>
          <w:iCs/>
        </w:rPr>
        <w:t>International Journal of Multidisciplinary and Scientific Emerging ResearcH, 14</w:t>
      </w:r>
      <w:r>
        <w:t>(1). https://doi.org/10.15662/ijmserh.2026.1401004</w:t>
      </w:r>
    </w:p>
    <w:p w14:paraId="04EA85D4" w14:textId="77777777" w:rsidR="00720442" w:rsidRDefault="0080011C">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341CD6FB" w14:textId="77777777" w:rsidR="00720442" w:rsidRDefault="0080011C">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5170212A" w14:textId="77777777" w:rsidR="00720442" w:rsidRDefault="0080011C">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bookmarkEnd w:id="112"/>
    </w:p>
    <w:sectPr w:rsidR="00720442" w:rsidSect="008D367B">
      <w:footerReference w:type="even" r:id="rId25"/>
      <w:footerReference w:type="default" r:id="rId26"/>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60F0E" w14:textId="77777777" w:rsidR="0080011C" w:rsidRDefault="0080011C">
      <w:pPr>
        <w:spacing w:after="0" w:line="240" w:lineRule="auto"/>
      </w:pPr>
      <w:r>
        <w:separator/>
      </w:r>
    </w:p>
  </w:endnote>
  <w:endnote w:type="continuationSeparator" w:id="0">
    <w:p w14:paraId="7CE19A05" w14:textId="77777777" w:rsidR="0080011C" w:rsidRDefault="00800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7F057873"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0FEAC4FF"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1BFA71B0"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1E838D6"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F8E4B" w14:textId="77777777" w:rsidR="0080011C" w:rsidRDefault="0080011C">
      <w:pPr>
        <w:spacing w:after="0" w:line="240" w:lineRule="auto"/>
      </w:pPr>
      <w:r>
        <w:separator/>
      </w:r>
    </w:p>
  </w:footnote>
  <w:footnote w:type="continuationSeparator" w:id="0">
    <w:p w14:paraId="0B88C823" w14:textId="77777777" w:rsidR="0080011C" w:rsidRDefault="00800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617C5E"/>
    <w:multiLevelType w:val="multilevel"/>
    <w:tmpl w:val="08840BA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3"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0"/>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5"/>
    <w:lvlOverride w:ilvl="0">
      <w:lvl w:ilvl="0">
        <w:numFmt w:val="decimal"/>
        <w:lvlText w:val="%1."/>
        <w:lvlJc w:val="left"/>
      </w:lvl>
    </w:lvlOverride>
  </w:num>
  <w:num w:numId="5" w16cid:durableId="696546944">
    <w:abstractNumId w:val="40"/>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8"/>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4"/>
    <w:lvlOverride w:ilvl="0">
      <w:lvl w:ilvl="0">
        <w:numFmt w:val="decimal"/>
        <w:lvlText w:val="%1."/>
        <w:lvlJc w:val="left"/>
      </w:lvl>
    </w:lvlOverride>
  </w:num>
  <w:num w:numId="19" w16cid:durableId="238248572">
    <w:abstractNumId w:val="46"/>
  </w:num>
  <w:num w:numId="20" w16cid:durableId="2010524344">
    <w:abstractNumId w:val="26"/>
  </w:num>
  <w:num w:numId="21" w16cid:durableId="694233983">
    <w:abstractNumId w:val="43"/>
  </w:num>
  <w:num w:numId="22" w16cid:durableId="1886331865">
    <w:abstractNumId w:val="2"/>
  </w:num>
  <w:num w:numId="23" w16cid:durableId="2034376111">
    <w:abstractNumId w:val="39"/>
  </w:num>
  <w:num w:numId="24" w16cid:durableId="1979064939">
    <w:abstractNumId w:val="5"/>
  </w:num>
  <w:num w:numId="25" w16cid:durableId="1094670359">
    <w:abstractNumId w:val="45"/>
  </w:num>
  <w:num w:numId="26" w16cid:durableId="399207934">
    <w:abstractNumId w:val="32"/>
  </w:num>
  <w:num w:numId="27" w16cid:durableId="1105076517">
    <w:abstractNumId w:val="44"/>
  </w:num>
  <w:num w:numId="28" w16cid:durableId="725832434">
    <w:abstractNumId w:val="37"/>
  </w:num>
  <w:num w:numId="29" w16cid:durableId="1716732114">
    <w:abstractNumId w:val="8"/>
  </w:num>
  <w:num w:numId="30" w16cid:durableId="413742449">
    <w:abstractNumId w:val="22"/>
  </w:num>
  <w:num w:numId="31" w16cid:durableId="460465327">
    <w:abstractNumId w:val="19"/>
  </w:num>
  <w:num w:numId="32" w16cid:durableId="511648548">
    <w:abstractNumId w:val="33"/>
  </w:num>
  <w:num w:numId="33" w16cid:durableId="2048723748">
    <w:abstractNumId w:val="42"/>
  </w:num>
  <w:num w:numId="34" w16cid:durableId="513686215">
    <w:abstractNumId w:val="36"/>
  </w:num>
  <w:num w:numId="35" w16cid:durableId="686564936">
    <w:abstractNumId w:val="15"/>
  </w:num>
  <w:num w:numId="36" w16cid:durableId="1136604756">
    <w:abstractNumId w:val="41"/>
  </w:num>
  <w:num w:numId="37" w16cid:durableId="813567044">
    <w:abstractNumId w:val="4"/>
  </w:num>
  <w:num w:numId="38" w16cid:durableId="715005352">
    <w:abstractNumId w:val="10"/>
  </w:num>
  <w:num w:numId="39" w16cid:durableId="1064645248">
    <w:abstractNumId w:val="38"/>
  </w:num>
  <w:num w:numId="40" w16cid:durableId="1511796036">
    <w:abstractNumId w:val="6"/>
  </w:num>
  <w:num w:numId="41" w16cid:durableId="1468427407">
    <w:abstractNumId w:val="9"/>
  </w:num>
  <w:num w:numId="42" w16cid:durableId="2122995671">
    <w:abstractNumId w:val="3"/>
  </w:num>
  <w:num w:numId="43" w16cid:durableId="2024165722">
    <w:abstractNumId w:val="31"/>
  </w:num>
  <w:num w:numId="44" w16cid:durableId="2039815615">
    <w:abstractNumId w:val="11"/>
  </w:num>
  <w:num w:numId="45" w16cid:durableId="966620593">
    <w:abstractNumId w:val="17"/>
  </w:num>
  <w:num w:numId="46" w16cid:durableId="1745487902">
    <w:abstractNumId w:val="47"/>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2954560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214546"/>
    <w:rsid w:val="00260F3B"/>
    <w:rsid w:val="002769D8"/>
    <w:rsid w:val="002803BC"/>
    <w:rsid w:val="00295BAF"/>
    <w:rsid w:val="002A1CDE"/>
    <w:rsid w:val="002C42A5"/>
    <w:rsid w:val="002D4E50"/>
    <w:rsid w:val="00317D0B"/>
    <w:rsid w:val="00353A4B"/>
    <w:rsid w:val="003C2F73"/>
    <w:rsid w:val="004003B4"/>
    <w:rsid w:val="0040097A"/>
    <w:rsid w:val="00415D80"/>
    <w:rsid w:val="00435889"/>
    <w:rsid w:val="004B1BC6"/>
    <w:rsid w:val="004B7604"/>
    <w:rsid w:val="004D34C0"/>
    <w:rsid w:val="004D4CA8"/>
    <w:rsid w:val="005314D4"/>
    <w:rsid w:val="005A2841"/>
    <w:rsid w:val="006071A8"/>
    <w:rsid w:val="0062797C"/>
    <w:rsid w:val="00643094"/>
    <w:rsid w:val="006878FB"/>
    <w:rsid w:val="006A2734"/>
    <w:rsid w:val="006A6110"/>
    <w:rsid w:val="006F33B7"/>
    <w:rsid w:val="00702477"/>
    <w:rsid w:val="00720442"/>
    <w:rsid w:val="00731B03"/>
    <w:rsid w:val="00786BA2"/>
    <w:rsid w:val="007A2F22"/>
    <w:rsid w:val="0080011C"/>
    <w:rsid w:val="00802F31"/>
    <w:rsid w:val="008152C2"/>
    <w:rsid w:val="00824F5D"/>
    <w:rsid w:val="00844F8B"/>
    <w:rsid w:val="008B5187"/>
    <w:rsid w:val="008C59AB"/>
    <w:rsid w:val="008D367B"/>
    <w:rsid w:val="008F63DF"/>
    <w:rsid w:val="00973509"/>
    <w:rsid w:val="009943B3"/>
    <w:rsid w:val="009A34F1"/>
    <w:rsid w:val="009D1B82"/>
    <w:rsid w:val="00A134DE"/>
    <w:rsid w:val="00AA0350"/>
    <w:rsid w:val="00B464E1"/>
    <w:rsid w:val="00B50B91"/>
    <w:rsid w:val="00B76F68"/>
    <w:rsid w:val="00BB0F6B"/>
    <w:rsid w:val="00BB3DDD"/>
    <w:rsid w:val="00BD3538"/>
    <w:rsid w:val="00C0476A"/>
    <w:rsid w:val="00C15E14"/>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8D67"/>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5314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91</Pages>
  <Words>24250</Words>
  <Characters>133378</Characters>
  <Application>Microsoft Office Word</Application>
  <DocSecurity>0</DocSecurity>
  <Lines>1111</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6</cp:revision>
  <dcterms:created xsi:type="dcterms:W3CDTF">2026-03-27T21:50:00Z</dcterms:created>
  <dcterms:modified xsi:type="dcterms:W3CDTF">2026-04-01T17:28:00Z</dcterms:modified>
</cp:coreProperties>
</file>