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Supplementary methods, first paragraph.</w:t>
      </w:r>
    </w:p>
    <w:p>
      <w:r>
        <w:t>Sequencing and variant calling details fill the second paragraph.</w:t>
      </w:r>
    </w:p>
    <w:p>
      <w:r>
        <w:t>The curation panel classifies KRAS G12D as oncogenic in this cohort.</w:t>
      </w:r>
    </w:p>
    <w:p>
      <w:r>
        <w:t>Fourth paragraph holds benign entries and controls.</w:t>
      </w:r>
    </w:p>
    <w:p>
      <w:r>
        <w:t>Fifth paragraph closes the document.</w:t>
      </w:r>
    </w:p>
    <w:sectPr/>
  </w:body>
</w:document>
</file>