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00" w:after="120"/>
        <w:jc w:val="center"/>
        <w:rPr/>
      </w:pPr>
      <w:r>
        <w:rPr>
          <w:rFonts w:ascii="Times New Roman" w:hAnsi="Times New Roman"/>
          <w:b/>
          <w:i w:val="false"/>
          <w:sz w:val="36"/>
        </w:rPr>
        <w:t>MAJOR PROJECT REPORT</w:t>
      </w:r>
    </w:p>
    <w:p>
      <w:pPr>
        <w:pStyle w:val="Normal"/>
        <w:spacing w:lineRule="auto" w:line="276" w:before="0" w:after="160"/>
        <w:jc w:val="center"/>
        <w:rPr/>
      </w:pPr>
      <w:r>
        <w:rPr>
          <w:rFonts w:ascii="Times New Roman" w:hAnsi="Times New Roman"/>
          <w:b/>
          <w:i w:val="false"/>
          <w:sz w:val="28"/>
        </w:rPr>
        <w:t>ON</w:t>
      </w:r>
    </w:p>
    <w:p>
      <w:pPr>
        <w:pStyle w:val="Normal"/>
        <w:spacing w:lineRule="auto" w:line="276" w:before="0" w:after="360"/>
        <w:jc w:val="center"/>
        <w:rPr/>
      </w:pPr>
      <w:r>
        <w:rPr>
          <w:rFonts w:ascii="Times New Roman" w:hAnsi="Times New Roman"/>
          <w:b/>
          <w:i w:val="false"/>
          <w:sz w:val="30"/>
        </w:rPr>
        <w:t>AEGISPATH ENTERPRISE: AN ADAPTIVE ATTACK PATH MANAGEMENT &amp; MULTI-CLOUD CYBER THREAT INTELLIGENCE ENGINE</w:t>
      </w:r>
    </w:p>
    <w:p>
      <w:pPr>
        <w:pStyle w:val="Normal"/>
        <w:spacing w:lineRule="auto" w:line="276" w:before="0" w:after="80"/>
        <w:jc w:val="center"/>
        <w:rPr/>
      </w:pPr>
      <w:r>
        <w:rPr>
          <w:rFonts w:ascii="Times New Roman" w:hAnsi="Times New Roman"/>
          <w:b w:val="false"/>
          <w:i/>
          <w:sz w:val="22"/>
        </w:rPr>
        <w:t>Submitted in partial fulfillment for the award of the degree</w:t>
      </w:r>
    </w:p>
    <w:p>
      <w:pPr>
        <w:pStyle w:val="Normal"/>
        <w:spacing w:lineRule="auto" w:line="276" w:before="0" w:after="80"/>
        <w:jc w:val="center"/>
        <w:rPr/>
      </w:pPr>
      <w:r>
        <w:rPr>
          <w:rFonts w:ascii="Times New Roman" w:hAnsi="Times New Roman"/>
          <w:b/>
          <w:i w:val="false"/>
          <w:sz w:val="28"/>
        </w:rPr>
        <w:t>BACHELOR OF TECHNOLOGY</w:t>
      </w:r>
    </w:p>
    <w:p>
      <w:pPr>
        <w:pStyle w:val="Normal"/>
        <w:spacing w:lineRule="auto" w:line="276" w:before="0" w:after="80"/>
        <w:jc w:val="center"/>
        <w:rPr/>
      </w:pPr>
      <w:r>
        <w:rPr>
          <w:rFonts w:ascii="Times New Roman" w:hAnsi="Times New Roman"/>
          <w:b/>
          <w:i w:val="false"/>
          <w:sz w:val="22"/>
        </w:rPr>
        <w:t>IN</w:t>
      </w:r>
    </w:p>
    <w:p>
      <w:pPr>
        <w:pStyle w:val="Normal"/>
        <w:spacing w:lineRule="auto" w:line="276" w:before="0" w:after="80"/>
        <w:jc w:val="center"/>
        <w:rPr/>
      </w:pPr>
      <w:r>
        <w:rPr>
          <w:rFonts w:ascii="Times New Roman" w:hAnsi="Times New Roman"/>
          <w:b/>
          <w:i w:val="false"/>
          <w:sz w:val="26"/>
        </w:rPr>
        <w:t>COMPUTER SCIENCE &amp; ENGINEERING</w:t>
      </w:r>
    </w:p>
    <w:p>
      <w:pPr>
        <w:pStyle w:val="Normal"/>
        <w:spacing w:lineRule="auto" w:line="276" w:before="0" w:after="560"/>
        <w:jc w:val="center"/>
        <w:rPr/>
      </w:pPr>
      <w:r>
        <w:rPr>
          <w:rFonts w:ascii="Times New Roman" w:hAnsi="Times New Roman"/>
          <w:b/>
          <w:i w:val="false"/>
          <w:sz w:val="24"/>
        </w:rPr>
        <w:t>VII SEMESTER</w:t>
      </w:r>
    </w:p>
    <w:tbl>
      <w:tblPr>
        <w:tblW w:w="776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888"/>
        <w:gridCol w:w="3872"/>
      </w:tblGrid>
      <w:tr>
        <w:trPr/>
        <w:tc>
          <w:tcPr>
            <w:tcW w:w="3888" w:type="dxa"/>
            <w:tcBorders/>
          </w:tcPr>
          <w:p>
            <w:pPr>
              <w:pStyle w:val="Normal"/>
              <w:widowControl/>
              <w:bidi w:val="0"/>
              <w:spacing w:lineRule="auto" w:line="276" w:before="0" w:after="200"/>
              <w:jc w:val="start"/>
              <w:rPr/>
            </w:pPr>
            <w:r>
              <w:rPr>
                <w:rFonts w:ascii="Times New Roman" w:hAnsi="Times New Roman"/>
                <w:b/>
                <w:i w:val="false"/>
                <w:sz w:val="22"/>
              </w:rPr>
              <w:t>Submitted By</w:t>
              <w:br/>
            </w:r>
            <w:r>
              <w:rPr>
                <w:rFonts w:ascii="Times New Roman" w:hAnsi="Times New Roman"/>
                <w:b w:val="false"/>
                <w:i w:val="false"/>
                <w:sz w:val="22"/>
              </w:rPr>
              <w:t>Tanishq Jain</w:t>
              <w:br/>
              <w:t>Enrollment No: 233C</w:t>
            </w:r>
            <w:r>
              <w:rPr>
                <w:rFonts w:ascii="Times New Roman" w:hAnsi="Times New Roman"/>
                <w:b w:val="false"/>
                <w:i w:val="false"/>
                <w:sz w:val="22"/>
              </w:rPr>
              <w:t>SF010</w:t>
            </w:r>
          </w:p>
        </w:tc>
        <w:tc>
          <w:tcPr>
            <w:tcW w:w="3872" w:type="dxa"/>
            <w:tcBorders/>
          </w:tcPr>
          <w:p>
            <w:pPr>
              <w:pStyle w:val="Normal"/>
              <w:spacing w:before="0" w:after="200"/>
              <w:jc w:val="start"/>
              <w:rPr/>
            </w:pPr>
            <w:r>
              <w:rPr>
                <w:rFonts w:ascii="Times New Roman" w:hAnsi="Times New Roman"/>
                <w:b/>
                <w:i w:val="false"/>
                <w:sz w:val="22"/>
              </w:rPr>
              <w:t>Guided By</w:t>
              <w:br/>
            </w:r>
            <w:r>
              <w:rPr>
                <w:rFonts w:ascii="Calibri" w:hAnsi="Calibri"/>
                <w:b/>
                <w:bCs/>
                <w:i w:val="false"/>
                <w:strike w:val="false"/>
                <w:dstrike w:val="false"/>
                <w:outline w:val="false"/>
                <w:shadow w:val="false"/>
                <w:color w:val="000000"/>
                <w:sz w:val="22"/>
                <w:u w:val="none"/>
                <w:em w:val="none"/>
              </w:rPr>
              <w:t>Mr. Dhananjay Kumar Prasad</w:t>
            </w:r>
            <w:r>
              <w:rPr>
                <w:rFonts w:ascii="Times New Roman" w:hAnsi="Times New Roman"/>
                <w:b w:val="false"/>
                <w:i w:val="false"/>
                <w:sz w:val="22"/>
              </w:rPr>
              <w:br/>
              <w:t>Professor &amp; Project Guide</w:t>
            </w:r>
          </w:p>
        </w:tc>
      </w:tr>
      <w:tr>
        <w:trPr>
          <w:trHeight w:val="95" w:hRule="atLeast"/>
        </w:trPr>
        <w:tc>
          <w:tcPr>
            <w:tcW w:w="3888" w:type="dxa"/>
            <w:tcBorders/>
          </w:tcPr>
          <w:p>
            <w:pPr>
              <w:pStyle w:val="Normal"/>
              <w:widowControl/>
              <w:bidi w:val="0"/>
              <w:spacing w:lineRule="auto" w:line="276" w:before="0" w:after="200"/>
              <w:jc w:val="start"/>
              <w:rPr/>
            </w:pPr>
            <w:r>
              <w:rPr/>
            </w:r>
          </w:p>
        </w:tc>
        <w:tc>
          <w:tcPr>
            <w:tcW w:w="3872" w:type="dxa"/>
            <w:tcBorders/>
          </w:tcPr>
          <w:p>
            <w:pPr>
              <w:pStyle w:val="Normal"/>
              <w:widowControl/>
              <w:bidi w:val="0"/>
              <w:spacing w:lineRule="auto" w:line="276" w:before="0" w:after="200"/>
              <w:jc w:val="start"/>
              <w:rPr/>
            </w:pPr>
            <w:r>
              <w:rPr/>
            </w:r>
          </w:p>
        </w:tc>
      </w:tr>
    </w:tbl>
    <w:p>
      <w:pPr>
        <w:pStyle w:val="Normal"/>
        <w:spacing w:lineRule="auto" w:line="276" w:before="720" w:after="0"/>
        <w:jc w:val="start"/>
        <w:rPr/>
      </w:pPr>
      <w:r>
        <w:rPr/>
      </w:r>
    </w:p>
    <w:p>
      <w:pPr>
        <w:pStyle w:val="Normal"/>
        <w:spacing w:lineRule="auto" w:line="276" w:before="0" w:after="60"/>
        <w:jc w:val="center"/>
        <w:rPr/>
      </w:pPr>
      <w:r>
        <w:rPr>
          <w:rFonts w:ascii="Times New Roman" w:hAnsi="Times New Roman"/>
          <w:b/>
          <w:i w:val="false"/>
          <w:sz w:val="28"/>
        </w:rPr>
        <w:t>ORIENTAL UNIVERSITY, INDORE</w:t>
      </w:r>
    </w:p>
    <w:p>
      <w:pPr>
        <w:pStyle w:val="Normal"/>
        <w:spacing w:lineRule="auto" w:line="276" w:before="0" w:after="40"/>
        <w:jc w:val="center"/>
        <w:rPr/>
      </w:pPr>
      <w:r>
        <w:rPr>
          <w:rFonts w:ascii="Times New Roman" w:hAnsi="Times New Roman"/>
          <w:b w:val="false"/>
          <w:i w:val="false"/>
          <w:sz w:val="20"/>
        </w:rPr>
        <w:t>Sanwer Road, Jakhya, Opposite Revati Range, Gate No. 1</w:t>
      </w:r>
    </w:p>
    <w:p>
      <w:pPr>
        <w:pStyle w:val="Normal"/>
        <w:spacing w:lineRule="auto" w:line="276" w:before="0" w:after="120"/>
        <w:jc w:val="center"/>
        <w:rPr/>
      </w:pPr>
      <w:r>
        <w:rPr>
          <w:rFonts w:ascii="Times New Roman" w:hAnsi="Times New Roman"/>
          <w:b w:val="false"/>
          <w:i w:val="false"/>
          <w:sz w:val="20"/>
        </w:rPr>
        <w:t>Indore, Madhya Pradesh – 452015</w:t>
      </w:r>
    </w:p>
    <w:p>
      <w:pPr>
        <w:pStyle w:val="Normal"/>
        <w:spacing w:lineRule="auto" w:line="276" w:before="0" w:after="0"/>
        <w:jc w:val="center"/>
        <w:rPr/>
      </w:pPr>
      <w:r>
        <w:rPr>
          <w:rFonts w:ascii="Times New Roman" w:hAnsi="Times New Roman"/>
          <w:b/>
          <w:i w:val="false"/>
          <w:sz w:val="22"/>
        </w:rPr>
        <w:t>Academic Session: [2025–2026]</w:t>
      </w:r>
    </w:p>
    <w:p>
      <w:pPr>
        <w:pStyle w:val="Normal"/>
        <w:rPr/>
      </w:pPr>
      <w:r>
        <w:rPr/>
      </w:r>
      <w:r>
        <w:br w:type="page"/>
      </w:r>
    </w:p>
    <w:p>
      <w:pPr>
        <w:pStyle w:val="Normal"/>
        <w:spacing w:lineRule="auto" w:line="276" w:before="0" w:after="80"/>
        <w:jc w:val="center"/>
        <w:rPr/>
      </w:pPr>
      <w:r>
        <w:rPr>
          <w:rFonts w:ascii="Times New Roman" w:hAnsi="Times New Roman"/>
          <w:b/>
          <w:i w:val="false"/>
          <w:sz w:val="32"/>
        </w:rPr>
        <w:t>PROJECT SYNOPSIS</w:t>
      </w:r>
    </w:p>
    <w:p>
      <w:pPr>
        <w:pStyle w:val="Normal"/>
        <w:spacing w:lineRule="auto" w:line="276" w:before="0" w:after="320"/>
        <w:jc w:val="center"/>
        <w:rPr/>
      </w:pPr>
      <w:r>
        <w:rPr>
          <w:rFonts w:ascii="Times New Roman" w:hAnsi="Times New Roman"/>
          <w:b/>
          <w:i w:val="false"/>
          <w:sz w:val="24"/>
        </w:rPr>
        <w:t>AEGISPATH ENTERPRISE: AN ADAPTIVE ATTACK PATH MANAGEMENT &amp; MULTI-CLOUD CYBER THREAT INTELLIGENCE ENGINE</w:t>
      </w:r>
    </w:p>
    <w:p>
      <w:pPr>
        <w:pStyle w:val="Normal"/>
        <w:keepNext w:val="true"/>
        <w:spacing w:before="280" w:after="80"/>
        <w:rPr/>
      </w:pPr>
      <w:r>
        <w:rPr>
          <w:rFonts w:ascii="Times New Roman" w:hAnsi="Times New Roman"/>
          <w:b/>
          <w:i w:val="false"/>
          <w:sz w:val="26"/>
        </w:rPr>
        <w:t>1. Introduction</w:t>
      </w:r>
    </w:p>
    <w:p>
      <w:pPr>
        <w:pStyle w:val="Normal"/>
        <w:spacing w:lineRule="auto" w:line="276" w:before="0" w:after="120"/>
        <w:jc w:val="start"/>
        <w:rPr/>
      </w:pPr>
      <w:r>
        <w:rPr>
          <w:rFonts w:ascii="Times New Roman" w:hAnsi="Times New Roman"/>
          <w:b w:val="false"/>
          <w:i w:val="false"/>
          <w:sz w:val="22"/>
        </w:rPr>
        <w:t>AegisPath Enterprise is a role-based, distributed graph-theoretic cyber defense platform engineered to quantify, visualize, and eliminate lateral movement paths across hybrid multi-cloud perimeters and on-premises directory services. Modern security architectures suffer from severe alert fatigue: traditional vulnerability scanners generate thousands of isolated alerts without operational reachability context. AegisPath Enterprise bridges this operational gap by correlating live AWS cloud infrastructure cartography (via Boto3), authentic Active Directory identity graphs (via BloodHound CE / SharpHound), and container vulnerability scans (via Trivy) into a unified, in-memory directed graph. By dynamically incorporating global threat intelligence from the CISA Known Exploited Vulnerabilities (KEV) catalog and FIRST.org Exploit Prediction Scoring System (EPSS), the platform models attack resistance mathematically as the inverse of traversability (W = 1 / Traversability). Using Dijkstra's shortest path algorithm and Betweenness Centrality, the system discovers critical breach paths to Tier-0 Crown Jewels and pinpoints minimal-cut choke points to guide security teams with measurable risk-reduction analytics.</w:t>
      </w:r>
    </w:p>
    <w:p>
      <w:pPr>
        <w:pStyle w:val="Normal"/>
        <w:keepNext w:val="true"/>
        <w:spacing w:before="280" w:after="80"/>
        <w:rPr/>
      </w:pPr>
      <w:r>
        <w:rPr>
          <w:rFonts w:ascii="Times New Roman" w:hAnsi="Times New Roman"/>
          <w:b/>
          <w:i w:val="false"/>
          <w:sz w:val="26"/>
        </w:rPr>
        <w:t>2. Problem Statement</w:t>
      </w:r>
    </w:p>
    <w:p>
      <w:pPr>
        <w:pStyle w:val="Normal"/>
        <w:spacing w:lineRule="auto" w:line="276" w:before="0" w:after="120"/>
        <w:jc w:val="start"/>
        <w:rPr/>
      </w:pPr>
      <w:r>
        <w:rPr>
          <w:rFonts w:ascii="Times New Roman" w:hAnsi="Times New Roman"/>
          <w:b w:val="false"/>
          <w:i w:val="false"/>
          <w:sz w:val="22"/>
        </w:rPr>
        <w:t>In contemporary enterprise environments, security operations teams are overwhelmed by static vulnerability assessments: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The CVSS Fallacy: A vulnerability with a high CVSS base score (e.g., 9.8) situated on an isolated host poses far less operational threat than a medium-severity vulnerability on an internet-facing gateway with an assumed IAM role. Traditional tools evaluate vulnerabilities in isolation rather than as multi-hop attack chains.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Identity Trust Blindspots: Relational SQL databases cannot efficiently represent recursive trust relationships, nested Active Directory groups, Access Control Entries (ACEs such as GenericAll, WriteDacl), or Kerberos ticket delegation attacks.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Multi-Cloud &amp; Directory Silos: AWS Cloud Security Groups, IAM trust policies, on-premises Active Directory forests, and container layers operate in fragmented management consoles, leaving lateral pivot routes hidden from defenders.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Arbitrary Remediation Prioritization: Organizations patch vulnerabilities reactively without empirical data proving which specific credential revocation or firewall rule eliminates the greatest number of potential breach paths.</w:t>
      </w:r>
    </w:p>
    <w:p>
      <w:pPr>
        <w:pStyle w:val="Normal"/>
        <w:keepNext w:val="true"/>
        <w:spacing w:before="280" w:after="80"/>
        <w:rPr/>
      </w:pPr>
      <w:r>
        <w:rPr>
          <w:rFonts w:ascii="Times New Roman" w:hAnsi="Times New Roman"/>
          <w:b/>
          <w:i w:val="false"/>
          <w:sz w:val="26"/>
        </w:rPr>
        <w:t>3. Objectives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Provide unified, automated multi-domain infrastructure cartography across AWS cloud environments (EC2, S3, RDS, IAM Roles, Security Groups) and Active Directory forests.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Ingest and defensively normalize authentic BloodHound CE / SharpHound identity graphs, automatically identifying Domain Controllers and administrative groups as Tier-0 Crown Jewels.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Dynamically calculate edge resistance using real-time FIRST.org EPSS exploit probabilities and the CISA KEV catalog of 1,754 actively exploited CVEs.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Compute least-resistance attack trajectories from the public internet perimeter to critical assets using a mathematically rigorous inverse traversability cost model (W = 1 / Traversability).</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Identify topological choke points using Betweenness Centrality and execute non-destructive 'What-If' remediation simulations to calculate quantifiable risk-reduction percentages.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Deliver a hardware-accelerated Cytoscape.js web console with sub-graph projection sustaining 60 FPS rendering under dense topologies (&gt;1,500 edges) and non-blocking in-app notification toasts.</w:t>
      </w:r>
    </w:p>
    <w:p>
      <w:pPr>
        <w:pStyle w:val="Normal"/>
        <w:keepNext w:val="true"/>
        <w:spacing w:before="280" w:after="80"/>
        <w:rPr/>
      </w:pPr>
      <w:r>
        <w:rPr>
          <w:rFonts w:ascii="Times New Roman" w:hAnsi="Times New Roman"/>
          <w:b/>
          <w:i w:val="false"/>
          <w:sz w:val="26"/>
        </w:rPr>
        <w:t>4. Proposed System and User Roles</w:t>
      </w:r>
    </w:p>
    <w:p>
      <w:pPr>
        <w:pStyle w:val="Normal"/>
        <w:spacing w:lineRule="auto" w:line="276" w:before="0" w:after="120"/>
        <w:jc w:val="start"/>
        <w:rPr/>
      </w:pPr>
      <w:r>
        <w:rPr>
          <w:rFonts w:ascii="Times New Roman" w:hAnsi="Times New Roman"/>
          <w:b w:val="false"/>
          <w:i w:val="false"/>
          <w:sz w:val="22"/>
        </w:rPr>
        <w:t>AegisPath Enterprise establishes clear functional responsibilities across enterprise security and engineering stakeholders:</w:t>
      </w:r>
    </w:p>
    <w:tbl>
      <w:tblPr>
        <w:tblW w:w="864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4320"/>
        <w:gridCol w:w="4320"/>
      </w:tblGrid>
      <w:tr>
        <w:trPr/>
        <w:tc>
          <w:tcPr>
            <w:tcW w:w="4320" w:type="dxa"/>
            <w:tcBorders/>
            <w:shd w:fill="E2E8F0" w:val="clear"/>
          </w:tcPr>
          <w:p>
            <w:pPr>
              <w:pStyle w:val="Normal"/>
              <w:spacing w:before="0" w:after="200"/>
              <w:jc w:val="start"/>
              <w:rPr/>
            </w:pPr>
            <w:r>
              <w:rPr>
                <w:rFonts w:ascii="Times New Roman" w:hAnsi="Times New Roman"/>
                <w:b/>
                <w:i w:val="false"/>
                <w:sz w:val="20"/>
              </w:rPr>
              <w:t>Role</w:t>
            </w:r>
          </w:p>
        </w:tc>
        <w:tc>
          <w:tcPr>
            <w:tcW w:w="4320" w:type="dxa"/>
            <w:tcBorders/>
            <w:shd w:fill="E2E8F0" w:val="clear"/>
          </w:tcPr>
          <w:p>
            <w:pPr>
              <w:pStyle w:val="Normal"/>
              <w:spacing w:before="0" w:after="200"/>
              <w:jc w:val="start"/>
              <w:rPr/>
            </w:pPr>
            <w:r>
              <w:rPr>
                <w:rFonts w:ascii="Times New Roman" w:hAnsi="Times New Roman"/>
                <w:b/>
                <w:i w:val="false"/>
                <w:sz w:val="20"/>
              </w:rPr>
              <w:t>Responsibilities</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Chief Information Security Officer (CISO) / Risk Committee</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Observes enterprise-wide breach probability, reviews What-If remediation simulations, tracks reduction in attack paths, and approves security budget allocation.</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Security Operations Center (SOC) Lead / Incident Responder</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Monitors real-time Server-Sent Events (SSE) telemetry alerts, examines active EDR intrusion vectors, and initiates topological choke point severance.</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Cloud Security Architect / DevSecOps Engineer</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Connects read-only AWS Boto3 cartography sessions, defines Availability Zone boundaries, inspects IAM trust boundaries, and integrates container vulnerability scan reports.</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Identity &amp; Directory Administrator</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Imports BloodHound CE / SharpHound Active Directory collections, evaluates nested group delegations, and manages Tier-0 Crown Jewel designations.</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Red Team Analyst / Penetration Tester</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Analyzes shortest attack path hop counts, reviews cumulative breach probabilities, and validates lateral movement resistance models against known adversary techniques.</w:t>
            </w:r>
          </w:p>
        </w:tc>
      </w:tr>
    </w:tbl>
    <w:p>
      <w:pPr>
        <w:pStyle w:val="Normal"/>
        <w:spacing w:lineRule="auto" w:line="276" w:before="80" w:after="80"/>
        <w:jc w:val="start"/>
        <w:rPr/>
      </w:pPr>
      <w:r>
        <w:rPr/>
      </w:r>
    </w:p>
    <w:p>
      <w:pPr>
        <w:pStyle w:val="Normal"/>
        <w:keepNext w:val="true"/>
        <w:spacing w:before="280" w:after="80"/>
        <w:rPr/>
      </w:pPr>
      <w:r>
        <w:rPr>
          <w:rFonts w:ascii="Times New Roman" w:hAnsi="Times New Roman"/>
          <w:b/>
          <w:i w:val="false"/>
          <w:sz w:val="26"/>
        </w:rPr>
        <w:t>5. Proposed Workflow</w:t>
      </w:r>
    </w:p>
    <w:p>
      <w:pPr>
        <w:pStyle w:val="Normal"/>
        <w:spacing w:lineRule="auto" w:line="276" w:before="0" w:after="120"/>
        <w:jc w:val="start"/>
        <w:rPr/>
      </w:pPr>
      <w:r>
        <w:rPr>
          <w:rFonts w:ascii="Times New Roman" w:hAnsi="Times New Roman"/>
          <w:b w:val="false"/>
          <w:i w:val="false"/>
          <w:sz w:val="22"/>
        </w:rPr>
        <w:t>The end-to-end operational lifecycle follows seven sequential stages:</w:t>
      </w:r>
    </w:p>
    <w:p>
      <w:pPr>
        <w:pStyle w:val="Normal"/>
        <w:spacing w:lineRule="auto" w:line="276" w:before="0" w:after="120"/>
        <w:jc w:val="start"/>
        <w:rPr/>
      </w:pPr>
      <w:r>
        <w:rPr>
          <w:rFonts w:ascii="Times New Roman" w:hAnsi="Times New Roman"/>
          <w:b w:val="false"/>
          <w:i w:val="false"/>
          <w:sz w:val="22"/>
        </w:rPr>
        <w:t>1. Multi-Cloud &amp; Directory Ingestion: The administrator initiates AWS Boto3 discovery or imports BloodHound CE Active Directory JSON exports.</w:t>
      </w:r>
    </w:p>
    <w:p>
      <w:pPr>
        <w:pStyle w:val="Normal"/>
        <w:spacing w:lineRule="auto" w:line="276" w:before="0" w:after="120"/>
        <w:jc w:val="start"/>
        <w:rPr/>
      </w:pPr>
      <w:r>
        <w:rPr>
          <w:rFonts w:ascii="Times New Roman" w:hAnsi="Times New Roman"/>
          <w:b w:val="false"/>
          <w:i w:val="false"/>
          <w:sz w:val="22"/>
        </w:rPr>
        <w:t>2. Defensive Schema Parsing: The engine defensively sanitizes AWS Availability Zone suffixes and parses polymorphic BloodHound sessions (supporting both dictionary and list formats).</w:t>
      </w:r>
    </w:p>
    <w:p>
      <w:pPr>
        <w:pStyle w:val="Normal"/>
        <w:spacing w:lineRule="auto" w:line="276" w:before="0" w:after="120"/>
        <w:jc w:val="start"/>
        <w:rPr/>
      </w:pPr>
      <w:r>
        <w:rPr>
          <w:rFonts w:ascii="Times New Roman" w:hAnsi="Times New Roman"/>
          <w:b w:val="false"/>
          <w:i w:val="false"/>
          <w:sz w:val="22"/>
        </w:rPr>
        <w:t>3. Dynamic Threat Intelligence Enrichment: The CTI Client queries live FIRST.org EPSS APIs and the CISA KEV catalog, updating vulnerability nodes with empirical exploit likelihoods and caching records locally in cti_cache.json.</w:t>
      </w:r>
    </w:p>
    <w:p>
      <w:pPr>
        <w:pStyle w:val="Normal"/>
        <w:spacing w:lineRule="auto" w:line="276" w:before="0" w:after="120"/>
        <w:jc w:val="start"/>
        <w:rPr/>
      </w:pPr>
      <w:r>
        <w:rPr>
          <w:rFonts w:ascii="Times New Roman" w:hAnsi="Times New Roman"/>
          <w:b w:val="false"/>
          <w:i w:val="false"/>
          <w:sz w:val="22"/>
        </w:rPr>
        <w:t>4. Dynamic Graph Construction: An in-memory directed graph is constructed using NetworkX, with edge resistance computed via the inverse traversability equation W = 1 / Traversability.</w:t>
      </w:r>
    </w:p>
    <w:p>
      <w:pPr>
        <w:pStyle w:val="Normal"/>
        <w:spacing w:lineRule="auto" w:line="276" w:before="0" w:after="120"/>
        <w:jc w:val="start"/>
        <w:rPr/>
      </w:pPr>
      <w:r>
        <w:rPr>
          <w:rFonts w:ascii="Times New Roman" w:hAnsi="Times New Roman"/>
          <w:b w:val="false"/>
          <w:i w:val="false"/>
          <w:sz w:val="22"/>
        </w:rPr>
        <w:t>5. Shortest Attack Path &amp; Choke Point Evaluation: Dijkstra's algorithm computes the highest-probability attack trajectory to designated Crown Jewels, while Betweenness Centrality identifies the minimal-cut cut-vertex.</w:t>
      </w:r>
    </w:p>
    <w:p>
      <w:pPr>
        <w:pStyle w:val="Normal"/>
        <w:spacing w:lineRule="auto" w:line="276" w:before="0" w:after="120"/>
        <w:jc w:val="start"/>
        <w:rPr/>
      </w:pPr>
      <w:r>
        <w:rPr>
          <w:rFonts w:ascii="Times New Roman" w:hAnsi="Times New Roman"/>
          <w:b w:val="false"/>
          <w:i w:val="false"/>
          <w:sz w:val="22"/>
        </w:rPr>
        <w:t>6. Live Telemetry &amp; EDR Alert Recalibration: When an external EDR alert webhook fires (e.g. credential dumping), edge friction on the breached asset drops to near-zero (W -&gt; 1.01), instantly pulling the critical path through the compromised host and broadcasting updates via Server-Sent Events (SSE).</w:t>
      </w:r>
    </w:p>
    <w:p>
      <w:pPr>
        <w:pStyle w:val="Normal"/>
        <w:spacing w:lineRule="auto" w:line="276" w:before="0" w:after="120"/>
        <w:jc w:val="start"/>
        <w:rPr/>
      </w:pPr>
      <w:r>
        <w:rPr>
          <w:rFonts w:ascii="Times New Roman" w:hAnsi="Times New Roman"/>
          <w:b w:val="false"/>
          <w:i w:val="false"/>
          <w:sz w:val="22"/>
        </w:rPr>
        <w:t>7. What-If Remediation Simulation: The operator simulates severing the identified choke point; the engine clones the graph in memory, recalculates all shortest paths, and returns the exact percentage risk reduction.</w:t>
      </w:r>
    </w:p>
    <w:p>
      <w:pPr>
        <w:pStyle w:val="Normal"/>
        <w:keepNext w:val="true"/>
        <w:spacing w:before="280" w:after="80"/>
        <w:rPr/>
      </w:pPr>
      <w:r>
        <w:rPr>
          <w:rFonts w:ascii="Times New Roman" w:hAnsi="Times New Roman"/>
          <w:b/>
          <w:i w:val="false"/>
          <w:sz w:val="26"/>
        </w:rPr>
        <w:t>6. Scope</w:t>
      </w:r>
    </w:p>
    <w:p>
      <w:pPr>
        <w:pStyle w:val="Normal"/>
        <w:spacing w:lineRule="auto" w:line="276" w:before="0" w:after="120"/>
        <w:jc w:val="start"/>
        <w:rPr/>
      </w:pPr>
      <w:r>
        <w:rPr>
          <w:rFonts w:ascii="Times New Roman" w:hAnsi="Times New Roman"/>
          <w:b w:val="false"/>
          <w:i w:val="false"/>
          <w:sz w:val="22"/>
        </w:rPr>
        <w:t>The planned academic project scope includes: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Live read-only AWS cartography via Boto3 (EC2 instances, Security Groups, IAM Roles, S3 buckets, and RDS instances).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BloodHound CE / SharpHound v4+ Active Directory parser supporting domain trusts, nested groups, and polymorphic session structures.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Real-time CTI client integrating FIRST.org EPSS and CISA KEV catalogs with local JSON disk caching.</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Dynamic Dijkstra shortest pathfinding and Betweenness Centrality choke point discovery.</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Non-blocking asynchronous batch database synchronization to Memgraph MAGE (C++ in-memory graph store).</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High-performance web presentation console built with Cytoscape.js, Dagre layout engine, sub-graph projection, and Sonner-style in-app notification toasts.</w:t>
      </w:r>
    </w:p>
    <w:p>
      <w:pPr>
        <w:pStyle w:val="Normal"/>
        <w:spacing w:lineRule="auto" w:line="276" w:before="0" w:after="120"/>
        <w:jc w:val="start"/>
        <w:rPr/>
      </w:pPr>
      <w:r>
        <w:rPr>
          <w:rFonts w:ascii="Times New Roman" w:hAnsi="Times New Roman"/>
          <w:b w:val="false"/>
          <w:i w:val="false"/>
          <w:sz w:val="22"/>
        </w:rPr>
        <w:t>Future enhancements (beyond initial scope) include Graph Neural Network (GNN) predictive modeling for zero-day paths, automated Terraform Infrastructure-as-Code pull request generation, and Azure / GCP multi-cloud identity federations.</w:t>
      </w:r>
    </w:p>
    <w:p>
      <w:pPr>
        <w:pStyle w:val="Normal"/>
        <w:keepNext w:val="true"/>
        <w:spacing w:before="280" w:after="80"/>
        <w:rPr/>
      </w:pPr>
      <w:r>
        <w:rPr>
          <w:rFonts w:ascii="Times New Roman" w:hAnsi="Times New Roman"/>
          <w:b/>
          <w:i w:val="false"/>
          <w:sz w:val="26"/>
        </w:rPr>
        <w:t>7. Requirements</w:t>
      </w:r>
    </w:p>
    <w:p>
      <w:pPr>
        <w:pStyle w:val="Normal"/>
        <w:keepNext w:val="true"/>
        <w:spacing w:before="200" w:after="60"/>
        <w:rPr/>
      </w:pPr>
      <w:r>
        <w:rPr>
          <w:rFonts w:ascii="Times New Roman" w:hAnsi="Times New Roman"/>
          <w:b/>
          <w:i w:val="false"/>
          <w:sz w:val="24"/>
        </w:rPr>
        <w:t>7.1 Functional Requirements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FR-1: Multi-Cloud Cartography — Automated AWS resource discovery and relationship mapping via read-only Boto3 sessions.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FR-2: Active Directory Parsing — BloodHound CE collection ingestion supporting polymorphic session structures and nested ACE rights.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FR-3: Vulnerability Enrichment — Automatic association of CVEs with live FIRST.org EPSS probabilities and CISA KEV status.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FR-4: Least-Resistance Pathfinding — Dynamic Dijkstra shortest path computation reporting cumulative breach probabilities and hop counts.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FR-5: Choke Point Discovery — Betweenness Centrality ranking of cut-vertices on active attack subgraphs.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FR-6: What-If Remediation Simulation — Non-destructive in-memory graph cloning to calculate exact risk-reduction metrics.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FR-7: Real-Time Event Streaming — Server-Sent Events (SSE) broadcasting graph mutations and EDR alerts to browsers.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FR-8: Dynamic Crown Jewel Designation — Interactive UI toggling of Tier-0 status on any selected node.</w:t>
      </w:r>
    </w:p>
    <w:p>
      <w:pPr>
        <w:pStyle w:val="Normal"/>
        <w:keepNext w:val="true"/>
        <w:spacing w:before="200" w:after="60"/>
        <w:rPr/>
      </w:pPr>
      <w:r>
        <w:rPr>
          <w:rFonts w:ascii="Times New Roman" w:hAnsi="Times New Roman"/>
          <w:b/>
          <w:i w:val="false"/>
          <w:sz w:val="24"/>
        </w:rPr>
        <w:t>7.2 Non-Functional Requirements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Performance: REST API endpoints must respond in under 100 milliseconds; web canvas must sustain 60 FPS rendering under viewport drag operations.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Security: Multi-cloud discovery operates exclusively with read-only permissions; zero mock data or synthetic identities in production baselines.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Scalability: Asynchronous batch database synchronization prevents thread blocking when synchronizing thousands of vectors to Memgraph MAGE.</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Reliability: Defensive JSON unpacking gracefully handles schema drift; local CTI disk caching guarantees determinism during external API downtime.</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Usability: Non-blocking in-app toasts replace native browser dialogs; typography uses Inter and JetBrains Mono for optimal telemetry scanability.</w:t>
      </w:r>
    </w:p>
    <w:p>
      <w:pPr>
        <w:pStyle w:val="Normal"/>
        <w:keepNext w:val="true"/>
        <w:spacing w:before="280" w:after="80"/>
        <w:rPr/>
      </w:pPr>
      <w:r>
        <w:rPr>
          <w:rFonts w:ascii="Times New Roman" w:hAnsi="Times New Roman"/>
          <w:b/>
          <w:i w:val="false"/>
          <w:sz w:val="26"/>
        </w:rPr>
        <w:t>8. Methodology and Design</w:t>
      </w:r>
    </w:p>
    <w:p>
      <w:pPr>
        <w:pStyle w:val="Normal"/>
        <w:spacing w:lineRule="auto" w:line="276" w:before="0" w:after="120"/>
        <w:jc w:val="start"/>
        <w:rPr/>
      </w:pPr>
      <w:r>
        <w:rPr>
          <w:rFonts w:ascii="Times New Roman" w:hAnsi="Times New Roman"/>
          <w:b w:val="false"/>
          <w:i w:val="false"/>
          <w:sz w:val="22"/>
        </w:rPr>
        <w:t>The project follows a rigorous software engineering methodology combining Agile iterative development, Clean Architecture principles, and formal Graph Theory. System components are partitioned into three decoupled architectural tiers:</w:t>
      </w:r>
    </w:p>
    <w:p>
      <w:pPr>
        <w:pStyle w:val="Normal"/>
        <w:spacing w:lineRule="auto" w:line="276" w:before="0" w:after="120"/>
        <w:jc w:val="start"/>
        <w:rPr/>
      </w:pPr>
      <w:r>
        <w:rPr>
          <w:rFonts w:ascii="Times New Roman" w:hAnsi="Times New Roman"/>
          <w:b w:val="false"/>
          <w:i w:val="false"/>
          <w:sz w:val="22"/>
        </w:rPr>
        <w:t>1. Presentation Layer: Cytoscape.js hardware-accelerated canvas, Telemetry HUD, Ingestion Hub modal, and Sonner-style in-app toast stack.</w:t>
      </w:r>
    </w:p>
    <w:p>
      <w:pPr>
        <w:pStyle w:val="Normal"/>
        <w:spacing w:lineRule="auto" w:line="276" w:before="0" w:after="120"/>
        <w:jc w:val="start"/>
        <w:rPr/>
      </w:pPr>
      <w:r>
        <w:rPr>
          <w:rFonts w:ascii="Times New Roman" w:hAnsi="Times New Roman"/>
          <w:b w:val="false"/>
          <w:i w:val="false"/>
          <w:sz w:val="22"/>
        </w:rPr>
        <w:t>2. Reasoning &amp; API Layer: Flask REST API, SSE broadcaster, NetworkX directed graph engine, and CTI client.</w:t>
      </w:r>
    </w:p>
    <w:p>
      <w:pPr>
        <w:pStyle w:val="Normal"/>
        <w:spacing w:lineRule="auto" w:line="276" w:before="0" w:after="120"/>
        <w:jc w:val="start"/>
        <w:rPr/>
      </w:pPr>
      <w:r>
        <w:rPr>
          <w:rFonts w:ascii="Times New Roman" w:hAnsi="Times New Roman"/>
          <w:b w:val="false"/>
          <w:i w:val="false"/>
          <w:sz w:val="22"/>
        </w:rPr>
        <w:t>3. Persistence &amp; Streaming Layer: Memgraph MAGE (in-memory C++ graph database on Bolt port 7687) and Redpanda (Kafka-compatible event broker on port 19092).</w:t>
      </w:r>
    </w:p>
    <w:p>
      <w:pPr>
        <w:pStyle w:val="Normal"/>
        <w:spacing w:lineRule="auto" w:line="276" w:before="0" w:after="120"/>
        <w:jc w:val="start"/>
        <w:rPr/>
      </w:pPr>
      <w:r>
        <w:rPr>
          <w:rFonts w:ascii="Times New Roman" w:hAnsi="Times New Roman"/>
          <w:b w:val="false"/>
          <w:i w:val="false"/>
          <w:sz w:val="22"/>
        </w:rPr>
        <w:t>Mathematical Formulation:</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Edge Weight (Resistance): W(u, v) = 1.0 / Traversability(u, v), where Traversability = Base × EPSS × KEV_Multiplier.</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Cumulative Breach Probability: P_breach = Product of Traversability(e_i) for all edges across the path.</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Betweenness Centrality: C_B(v) = Sum(sigma_st(v) / sigma_st), identifying assets that participate in the greatest volume of shortest breach paths.</w:t>
      </w:r>
    </w:p>
    <w:p>
      <w:pPr>
        <w:pStyle w:val="Normal"/>
        <w:keepNext w:val="true"/>
        <w:spacing w:before="280" w:after="80"/>
        <w:rPr/>
      </w:pPr>
      <w:r>
        <w:rPr>
          <w:rFonts w:ascii="Times New Roman" w:hAnsi="Times New Roman"/>
          <w:b/>
          <w:i w:val="false"/>
          <w:sz w:val="26"/>
        </w:rPr>
        <w:t>9. Database Entities &amp; Graph Schema</w:t>
      </w:r>
    </w:p>
    <w:p>
      <w:pPr>
        <w:pStyle w:val="Normal"/>
        <w:spacing w:lineRule="auto" w:line="276" w:before="0" w:after="120"/>
        <w:jc w:val="start"/>
        <w:rPr/>
      </w:pPr>
      <w:r>
        <w:rPr>
          <w:rFonts w:ascii="Times New Roman" w:hAnsi="Times New Roman"/>
          <w:b w:val="false"/>
          <w:i w:val="false"/>
          <w:sz w:val="22"/>
        </w:rPr>
        <w:t>The graph schema represents diverse hybrid cloud and on-premises directory infrastructure:</w:t>
      </w:r>
    </w:p>
    <w:tbl>
      <w:tblPr>
        <w:tblW w:w="864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4320"/>
        <w:gridCol w:w="4320"/>
      </w:tblGrid>
      <w:tr>
        <w:trPr/>
        <w:tc>
          <w:tcPr>
            <w:tcW w:w="4320" w:type="dxa"/>
            <w:tcBorders/>
            <w:shd w:fill="E2E8F0" w:val="clear"/>
          </w:tcPr>
          <w:p>
            <w:pPr>
              <w:pStyle w:val="Normal"/>
              <w:widowControl/>
              <w:bidi w:val="0"/>
              <w:spacing w:lineRule="auto" w:line="276" w:before="0" w:after="200"/>
              <w:jc w:val="start"/>
              <w:rPr/>
            </w:pPr>
            <w:r>
              <w:rPr>
                <w:rFonts w:ascii="Times New Roman" w:hAnsi="Times New Roman"/>
                <w:b/>
                <w:i w:val="false"/>
                <w:sz w:val="20"/>
              </w:rPr>
              <w:t>Entity / Label</w:t>
            </w:r>
          </w:p>
        </w:tc>
        <w:tc>
          <w:tcPr>
            <w:tcW w:w="4320" w:type="dxa"/>
            <w:tcBorders/>
            <w:shd w:fill="E2E8F0" w:val="clear"/>
          </w:tcPr>
          <w:p>
            <w:pPr>
              <w:pStyle w:val="Normal"/>
              <w:widowControl/>
              <w:bidi w:val="0"/>
              <w:spacing w:lineRule="auto" w:line="276" w:before="0" w:after="200"/>
              <w:jc w:val="start"/>
              <w:rPr/>
            </w:pPr>
            <w:r>
              <w:rPr>
                <w:rFonts w:ascii="Times New Roman" w:hAnsi="Times New Roman"/>
                <w:b/>
                <w:i w:val="false"/>
                <w:sz w:val="20"/>
              </w:rPr>
              <w:t>Key Attributes &amp; Relationships</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Perimeter</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Node ID ('internet'), label, is_entry_point (boolean). Vector: EXPOSES.</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Host / Compute</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Node ID (Instance ID / Hostname), label, type ('Host'), IP address, OS, domain. Vectors: PROTECTED_BY, ASSUMES_ROLE, HAS_VULNERABILITY.</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Security Group</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Node ID ('sg-xxxx'), label, inbound_rules (ports, CIDR), vpc_id. Vectors: ATTACHED_TO, ALLOWS_PORT.</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IAM Role / Identity</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Node ID (ARN), label, policy_type ('Admin'/'ReadOnly'), trust_policy. Vectors: ASSUMES_ROLE, HAS_ACCESS.</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Active Directory Identity</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Node ID (Object SID), label, type ('User'/'Group'/'Computer'), domain, is_admin. Vectors: MEMBER_OF, GENERIC_ALL, WRITE_DACL, DCSYNC, ADMIN_TO, HAS_SESSION.</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Vulnerability (CVE)</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Node ID ('CVE-YYYY-XXXXX'), CVSS score, EPSS probability, in_cisa_kev (boolean). Vectors: HAS_VULNERABILITY, EXPLOITED_BY.</w:t>
            </w:r>
          </w:p>
        </w:tc>
      </w:tr>
      <w:tr>
        <w:trPr/>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i w:val="false"/>
                <w:sz w:val="19"/>
              </w:rPr>
              <w:t>Crown Jewel (Tier-0)</w:t>
            </w:r>
          </w:p>
        </w:tc>
        <w:tc>
          <w:tcPr>
            <w:tcW w:w="4320" w:type="dxa"/>
            <w:tcBorders/>
            <w:tcMar>
              <w:top w:w="80" w:type="dxa"/>
              <w:bottom w:w="80" w:type="dxa"/>
            </w:tcMar>
          </w:tcPr>
          <w:p>
            <w:pPr>
              <w:pStyle w:val="Normal"/>
              <w:widowControl/>
              <w:bidi w:val="0"/>
              <w:spacing w:lineRule="auto" w:line="276" w:before="0" w:after="200"/>
              <w:jc w:val="start"/>
              <w:rPr/>
            </w:pPr>
            <w:r>
              <w:rPr>
                <w:rFonts w:ascii="Times New Roman" w:hAnsi="Times New Roman"/>
                <w:b w:val="false"/>
                <w:i w:val="false"/>
                <w:sz w:val="19"/>
              </w:rPr>
              <w:t>Node ID, label, tier ('Tier-0'), is_crown_jewel (boolean). Target node for Dijkstra shortest path calculation.</w:t>
            </w:r>
          </w:p>
        </w:tc>
      </w:tr>
    </w:tbl>
    <w:p>
      <w:pPr>
        <w:pStyle w:val="Normal"/>
        <w:spacing w:lineRule="auto" w:line="276" w:before="80" w:after="80"/>
        <w:jc w:val="start"/>
        <w:rPr/>
      </w:pPr>
      <w:r>
        <w:rPr/>
      </w:r>
    </w:p>
    <w:p>
      <w:pPr>
        <w:pStyle w:val="Normal"/>
        <w:keepNext w:val="true"/>
        <w:spacing w:before="280" w:after="80"/>
        <w:rPr/>
      </w:pPr>
      <w:r>
        <w:rPr>
          <w:rFonts w:ascii="Times New Roman" w:hAnsi="Times New Roman"/>
          <w:b/>
          <w:i w:val="false"/>
          <w:sz w:val="26"/>
        </w:rPr>
        <w:t>10. Testing Plan</w:t>
      </w:r>
    </w:p>
    <w:p>
      <w:pPr>
        <w:pStyle w:val="Normal"/>
        <w:spacing w:lineRule="auto" w:line="276" w:before="0" w:after="120"/>
        <w:jc w:val="start"/>
        <w:rPr/>
      </w:pPr>
      <w:r>
        <w:rPr>
          <w:rFonts w:ascii="Times New Roman" w:hAnsi="Times New Roman"/>
          <w:b w:val="false"/>
          <w:i w:val="false"/>
          <w:sz w:val="22"/>
        </w:rPr>
        <w:t>The testing strategy validates algorithmic accuracy, defensive schema resilience, and UI performance against verified enterprise datasets:</w:t>
      </w:r>
    </w:p>
    <w:tbl>
      <w:tblPr>
        <w:tblW w:w="8640" w:type="dxa"/>
        <w:jc w:val="center"/>
        <w:tblInd w:w="0" w:type="dxa"/>
        <w:tblLayout w:type="fixed"/>
        <w:tblCellMar>
          <w:top w:w="120" w:type="dxa"/>
          <w:start w:w="150" w:type="dxa"/>
          <w:bottom w:w="120" w:type="dxa"/>
          <w:end w:w="150" w:type="dxa"/>
        </w:tblCellMar>
        <w:tblLook w:val="04a0" w:firstRow="1" w:noVBand="1" w:lastRow="0" w:firstColumn="1" w:lastColumn="0" w:noHBand="0"/>
      </w:tblPr>
      <w:tblGrid>
        <w:gridCol w:w="4320"/>
        <w:gridCol w:w="4320"/>
      </w:tblGrid>
      <w:tr>
        <w:trPr/>
        <w:tc>
          <w:tcPr>
            <w:tcW w:w="4320" w:type="dxa"/>
            <w:tcBorders/>
            <w:shd w:fill="E2E8F0" w:val="clear"/>
          </w:tcPr>
          <w:p>
            <w:pPr>
              <w:pStyle w:val="Normal"/>
              <w:widowControl/>
              <w:bidi w:val="0"/>
              <w:spacing w:lineRule="auto" w:line="276" w:before="0" w:after="200"/>
              <w:jc w:val="start"/>
              <w:rPr/>
            </w:pPr>
            <w:r>
              <w:rPr>
                <w:rFonts w:ascii="Times New Roman" w:hAnsi="Times New Roman"/>
                <w:b/>
                <w:i w:val="false"/>
                <w:sz w:val="20"/>
              </w:rPr>
              <w:t>Test Module</w:t>
            </w:r>
          </w:p>
        </w:tc>
        <w:tc>
          <w:tcPr>
            <w:tcW w:w="4320" w:type="dxa"/>
            <w:tcBorders/>
            <w:shd w:fill="E2E8F0" w:val="clear"/>
          </w:tcPr>
          <w:p>
            <w:pPr>
              <w:pStyle w:val="Normal"/>
              <w:widowControl/>
              <w:bidi w:val="0"/>
              <w:spacing w:lineRule="auto" w:line="276" w:before="0" w:after="200"/>
              <w:jc w:val="start"/>
              <w:rPr/>
            </w:pPr>
            <w:r>
              <w:rPr>
                <w:rFonts w:ascii="Times New Roman" w:hAnsi="Times New Roman"/>
                <w:b/>
                <w:i w:val="false"/>
                <w:sz w:val="20"/>
              </w:rPr>
              <w:t>Expected Test Behavior</w:t>
            </w:r>
          </w:p>
        </w:tc>
      </w:tr>
      <w:tr>
        <w:trPr/>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i w:val="false"/>
                <w:sz w:val="19"/>
              </w:rPr>
              <w:t>AWS Cartography Ingestion</w:t>
            </w:r>
          </w:p>
        </w:tc>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val="false"/>
                <w:i w:val="false"/>
                <w:sz w:val="19"/>
              </w:rPr>
              <w:t>Boto3 session discovers EC2, SGs, IAM, S3, RDS; strips AZ suffixes cleanly; returns node/edge counts.</w:t>
            </w:r>
          </w:p>
        </w:tc>
      </w:tr>
      <w:tr>
        <w:trPr/>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i w:val="false"/>
                <w:sz w:val="19"/>
              </w:rPr>
              <w:t>BloodHound Session Parsing</w:t>
            </w:r>
          </w:p>
        </w:tc>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val="false"/>
                <w:i w:val="false"/>
                <w:sz w:val="19"/>
              </w:rPr>
              <w:t>Handles both dictionary ({'Results': []}) and list formats without throwing schema drift exceptions.</w:t>
            </w:r>
          </w:p>
        </w:tc>
      </w:tr>
      <w:tr>
        <w:trPr/>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i w:val="false"/>
                <w:sz w:val="19"/>
              </w:rPr>
              <w:t>Tier-0 Auto-Discovery</w:t>
            </w:r>
          </w:p>
        </w:tc>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val="false"/>
                <w:i w:val="false"/>
                <w:sz w:val="19"/>
              </w:rPr>
              <w:t>Automatically designates Domain Controllers (IsDC=true) and Domain Admins as Crown Jewels.</w:t>
            </w:r>
          </w:p>
        </w:tc>
      </w:tr>
      <w:tr>
        <w:trPr/>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i w:val="false"/>
                <w:sz w:val="19"/>
              </w:rPr>
              <w:t>Dynamic CTI Enrichment</w:t>
            </w:r>
          </w:p>
        </w:tc>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val="false"/>
                <w:i w:val="false"/>
                <w:sz w:val="19"/>
              </w:rPr>
              <w:t>Enriches CVE nodes with live FIRST.org EPSS scores and flags CISA KEV entries with 1.5x traversability.</w:t>
            </w:r>
          </w:p>
        </w:tc>
      </w:tr>
      <w:tr>
        <w:trPr/>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i w:val="false"/>
                <w:sz w:val="19"/>
              </w:rPr>
              <w:t>Dijkstra Shortest Path</w:t>
            </w:r>
          </w:p>
        </w:tc>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val="false"/>
                <w:i w:val="false"/>
                <w:sz w:val="19"/>
              </w:rPr>
              <w:t>Identifies least-resistance path; calculates cumulative breach probability and step hop counts accurately.</w:t>
            </w:r>
          </w:p>
        </w:tc>
      </w:tr>
      <w:tr>
        <w:trPr/>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i w:val="false"/>
                <w:sz w:val="19"/>
              </w:rPr>
              <w:t>Choke Point Identification</w:t>
            </w:r>
          </w:p>
        </w:tc>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val="false"/>
                <w:i w:val="false"/>
                <w:sz w:val="19"/>
              </w:rPr>
              <w:t>Computes Betweenness Centrality; correctly isolates cut-vertices on active attack subgraphs.</w:t>
            </w:r>
          </w:p>
        </w:tc>
      </w:tr>
      <w:tr>
        <w:trPr/>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i w:val="false"/>
                <w:sz w:val="19"/>
              </w:rPr>
              <w:t>What-If Remediation Simulation</w:t>
            </w:r>
          </w:p>
        </w:tc>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val="false"/>
                <w:i w:val="false"/>
                <w:sz w:val="19"/>
              </w:rPr>
              <w:t>Clones in-memory graph; severs target node; recalculates paths; reports exact risk reduction percentage.</w:t>
            </w:r>
          </w:p>
        </w:tc>
      </w:tr>
      <w:tr>
        <w:trPr/>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i w:val="false"/>
                <w:sz w:val="19"/>
              </w:rPr>
              <w:t>Real-Time EDR Telemetry</w:t>
            </w:r>
          </w:p>
        </w:tc>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val="false"/>
                <w:i w:val="false"/>
                <w:sz w:val="19"/>
              </w:rPr>
              <w:t>Incoming alert webhook collapses edge weight (W -&gt; 1.01); reroutes critical path; broadcasts SSE to browser.</w:t>
            </w:r>
          </w:p>
        </w:tc>
      </w:tr>
      <w:tr>
        <w:trPr/>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i w:val="false"/>
                <w:sz w:val="19"/>
              </w:rPr>
              <w:t>Async Batch Persistence Latency</w:t>
            </w:r>
          </w:p>
        </w:tc>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val="false"/>
                <w:i w:val="false"/>
                <w:sz w:val="19"/>
              </w:rPr>
              <w:t>Pipes atomic Cypher batch to Memgraph MAGE inside daemon thread; REST endpoint responds in &lt;100ms.</w:t>
            </w:r>
          </w:p>
        </w:tc>
      </w:tr>
      <w:tr>
        <w:trPr/>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i w:val="false"/>
                <w:sz w:val="19"/>
              </w:rPr>
              <w:t>Sub-Graph Canvas Benchmark</w:t>
            </w:r>
          </w:p>
        </w:tc>
        <w:tc>
          <w:tcPr>
            <w:tcW w:w="4320" w:type="dxa"/>
            <w:tcBorders/>
            <w:tcMar>
              <w:top w:w="70" w:type="dxa"/>
              <w:bottom w:w="70" w:type="dxa"/>
            </w:tcMar>
          </w:tcPr>
          <w:p>
            <w:pPr>
              <w:pStyle w:val="Normal"/>
              <w:widowControl/>
              <w:bidi w:val="0"/>
              <w:spacing w:lineRule="auto" w:line="276" w:before="0" w:after="200"/>
              <w:jc w:val="start"/>
              <w:rPr/>
            </w:pPr>
            <w:r>
              <w:rPr>
                <w:rFonts w:ascii="Times New Roman" w:hAnsi="Times New Roman"/>
                <w:b w:val="false"/>
                <w:i w:val="false"/>
                <w:sz w:val="19"/>
              </w:rPr>
              <w:t>Filters 485 nodes / 1,459 edges to active 20-44 node subgraphs; maintains 60 FPS under viewport drag.</w:t>
            </w:r>
          </w:p>
        </w:tc>
      </w:tr>
    </w:tbl>
    <w:p>
      <w:pPr>
        <w:pStyle w:val="Normal"/>
        <w:spacing w:lineRule="auto" w:line="276" w:before="80" w:after="80"/>
        <w:jc w:val="start"/>
        <w:rPr/>
      </w:pPr>
      <w:r>
        <w:rPr/>
      </w:r>
    </w:p>
    <w:p>
      <w:pPr>
        <w:pStyle w:val="Normal"/>
        <w:keepNext w:val="true"/>
        <w:spacing w:before="280" w:after="80"/>
        <w:rPr/>
      </w:pPr>
      <w:r>
        <w:rPr>
          <w:rFonts w:ascii="Times New Roman" w:hAnsi="Times New Roman"/>
          <w:b/>
          <w:i w:val="false"/>
          <w:sz w:val="26"/>
        </w:rPr>
        <w:t>11. Expected Outcomes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Elimination of CVSS alert fatigue through operational reachability context.</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Automated identification of multi-hop attack vectors that bypass traditional perimeter defenses.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Empirically verified 19.0% reduction in attack surface exposure on authentic enterprise Active Directory data (PHANTOM.CORP).</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Sub-second REST API response times (&lt;100ms) and 60 FPS web canvas stability on dense graphs.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A maintainable, production-ready, open-source foundation for enterprise cyber intelligence.</w:t>
      </w:r>
    </w:p>
    <w:p>
      <w:pPr>
        <w:pStyle w:val="Normal"/>
        <w:keepNext w:val="true"/>
        <w:spacing w:before="280" w:after="80"/>
        <w:rPr/>
      </w:pPr>
      <w:r>
        <w:rPr>
          <w:rFonts w:ascii="Times New Roman" w:hAnsi="Times New Roman"/>
          <w:b/>
          <w:i w:val="false"/>
          <w:sz w:val="26"/>
        </w:rPr>
        <w:t>12. Tools and Technology</w:t>
      </w:r>
    </w:p>
    <w:p>
      <w:pPr>
        <w:pStyle w:val="Normal"/>
        <w:spacing w:lineRule="auto" w:line="276" w:before="0" w:after="120"/>
        <w:jc w:val="start"/>
        <w:rPr/>
      </w:pPr>
      <w:r>
        <w:rPr>
          <w:rFonts w:ascii="Times New Roman" w:hAnsi="Times New Roman"/>
          <w:b w:val="false"/>
          <w:i w:val="false"/>
          <w:sz w:val="22"/>
        </w:rPr>
        <w:t>The project is fully implemented using the following technology stack:</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Programming Language: Python 3.11+</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Graph Analytics Core: NetworkX (Directed Graph Engine)</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In-Memory Graph Database: Memgraph MAGE (C++ Graph Engine, Bolt protocol on port 7687)</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Real-Time Event Streaming: Redpanda (Kafka-compatible Event Broker on port 19092)</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Web API Framework: Flask RESTful &amp; Server-Sent Events (SSE)</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Cloud Infrastructure SDK: AWS Boto3 (EC2, IAM, Security Groups, S3, RDS)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Active Directory Parsing: BloodHound CE / SharpHound v4+ JSON directory ingestors</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Threat Intelligence: FIRST.org EPSS API &amp; CISA Known Exploited Vulnerabilities Catalog</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Frontend Web Console: Cytoscape.js, Dagre Layout Engine, Inter UI, and JetBrains Mono</w:t>
      </w:r>
    </w:p>
    <w:p>
      <w:pPr>
        <w:pStyle w:val="Normal"/>
        <w:spacing w:lineRule="auto" w:line="276" w:before="0" w:after="120"/>
        <w:jc w:val="start"/>
        <w:rPr/>
      </w:pPr>
      <w:r>
        <w:rPr>
          <w:rFonts w:ascii="Times New Roman" w:hAnsi="Times New Roman"/>
          <w:b w:val="false"/>
          <w:i w:val="false"/>
          <w:sz w:val="22"/>
        </w:rPr>
        <w:t xml:space="preserve">• </w:t>
      </w:r>
      <w:r>
        <w:rPr>
          <w:rFonts w:ascii="Times New Roman" w:hAnsi="Times New Roman"/>
          <w:b w:val="false"/>
          <w:i w:val="false"/>
          <w:sz w:val="22"/>
        </w:rPr>
        <w:t>Container Orchestration: Docker Desktop &amp; Docker Compose v2+</w:t>
      </w:r>
    </w:p>
    <w:p>
      <w:pPr>
        <w:pStyle w:val="Normal"/>
        <w:keepNext w:val="true"/>
        <w:spacing w:before="280" w:after="80"/>
        <w:rPr/>
      </w:pPr>
      <w:r>
        <w:rPr>
          <w:rFonts w:ascii="Times New Roman" w:hAnsi="Times New Roman"/>
          <w:b/>
          <w:i w:val="false"/>
          <w:sz w:val="26"/>
        </w:rPr>
        <w:t>13. Limitations and Future Enhancements</w:t>
      </w:r>
    </w:p>
    <w:p>
      <w:pPr>
        <w:pStyle w:val="Normal"/>
        <w:spacing w:lineRule="auto" w:line="276" w:before="0" w:after="120"/>
        <w:jc w:val="start"/>
        <w:rPr/>
      </w:pPr>
      <w:r>
        <w:rPr>
          <w:rFonts w:ascii="Times New Roman" w:hAnsi="Times New Roman"/>
          <w:b w:val="false"/>
          <w:i w:val="false"/>
          <w:sz w:val="22"/>
        </w:rPr>
        <w:t>Current Limitations: Academic prototype focuses on AWS cloud cartography and BloodHound Active Directory; container vulnerability scanning requires pre-generated Trivy JSON; automated remediation currently operates in simulation mode rather than executing live firewall changes.</w:t>
      </w:r>
    </w:p>
    <w:p>
      <w:pPr>
        <w:pStyle w:val="Normal"/>
        <w:spacing w:lineRule="auto" w:line="276" w:before="0" w:after="120"/>
        <w:jc w:val="start"/>
        <w:rPr/>
      </w:pPr>
      <w:r>
        <w:rPr>
          <w:rFonts w:ascii="Times New Roman" w:hAnsi="Times New Roman"/>
          <w:b w:val="false"/>
          <w:i w:val="false"/>
          <w:sz w:val="22"/>
        </w:rPr>
        <w:t>Future Enhancements: Graph Neural Networks (GNNs) for predictive zero-day trajectory modeling; automated Terraform Infrastructure-as-Code pull request generation for choke point elimination; multi-cloud identity federations across Microsoft Entra ID and Google Cloud IAM; and Kubernetes RBAC cluster role binding cartography.</w:t>
      </w:r>
    </w:p>
    <w:p>
      <w:pPr>
        <w:pStyle w:val="Normal"/>
        <w:keepNext w:val="true"/>
        <w:spacing w:before="280" w:after="80"/>
        <w:rPr/>
      </w:pPr>
      <w:r>
        <w:rPr>
          <w:rFonts w:ascii="Times New Roman" w:hAnsi="Times New Roman"/>
          <w:b/>
          <w:i w:val="false"/>
          <w:sz w:val="26"/>
        </w:rPr>
        <w:t>14. Conclusion</w:t>
      </w:r>
    </w:p>
    <w:p>
      <w:pPr>
        <w:pStyle w:val="Normal"/>
        <w:spacing w:lineRule="auto" w:line="276" w:before="0" w:after="120"/>
        <w:jc w:val="start"/>
        <w:rPr/>
      </w:pPr>
      <w:r>
        <w:rPr>
          <w:rFonts w:ascii="Times New Roman" w:hAnsi="Times New Roman"/>
          <w:b w:val="false"/>
          <w:i w:val="false"/>
          <w:sz w:val="22"/>
        </w:rPr>
        <w:t>AegisPath Enterprise demonstrates a decisive paradigm shift from static, list-based vulnerability management to dynamic, graph-theoretic breach analysis. By synthesizing AWS cloud infrastructure, Active Directory identity hierarchies, and live threat intelligence into an in-memory graph, the platform models adversarial lateral movement with mathematical precision. The platform's ability to isolate topological choke points and quantify remediation impact provides security leaders with actionable operational clarity. The project successfully meets all academic and engineering criteria, verified through real-world forest data and published under the Apache 2.0 open-source license.</w:t>
      </w:r>
    </w:p>
    <w:p>
      <w:pPr>
        <w:pStyle w:val="Normal"/>
        <w:keepNext w:val="true"/>
        <w:spacing w:before="280" w:after="80"/>
        <w:rPr/>
      </w:pPr>
      <w:r>
        <w:rPr>
          <w:rFonts w:ascii="Times New Roman" w:hAnsi="Times New Roman"/>
          <w:b/>
          <w:i w:val="false"/>
          <w:sz w:val="26"/>
        </w:rPr>
        <w:t>15. References</w:t>
      </w:r>
    </w:p>
    <w:p>
      <w:pPr>
        <w:pStyle w:val="Normal"/>
        <w:spacing w:lineRule="auto" w:line="276" w:before="0" w:after="120"/>
        <w:jc w:val="start"/>
        <w:rPr/>
      </w:pPr>
      <w:r>
        <w:rPr>
          <w:rFonts w:ascii="Times New Roman" w:hAnsi="Times New Roman"/>
          <w:b w:val="false"/>
          <w:i w:val="false"/>
          <w:sz w:val="22"/>
        </w:rPr>
        <w:t>[</w:t>
      </w:r>
      <w:r>
        <w:rPr>
          <w:rFonts w:ascii="Times New Roman" w:hAnsi="Times New Roman"/>
          <w:b w:val="false"/>
          <w:i w:val="false"/>
          <w:sz w:val="22"/>
        </w:rPr>
        <w:t>1</w:t>
      </w:r>
      <w:r>
        <w:rPr>
          <w:rFonts w:ascii="Times New Roman" w:hAnsi="Times New Roman"/>
          <w:b w:val="false"/>
          <w:i w:val="false"/>
          <w:sz w:val="22"/>
        </w:rPr>
        <w:t>] Cybersecurity &amp; Infrastructure Security Agency (CISA), 'Known Exploited Vulnerabilities (KEV) Catalog,' US Department of Homeland Security, 2024.</w:t>
      </w:r>
    </w:p>
    <w:p>
      <w:pPr>
        <w:pStyle w:val="Normal"/>
        <w:spacing w:lineRule="auto" w:line="276" w:before="0" w:after="120"/>
        <w:jc w:val="start"/>
        <w:rPr/>
      </w:pPr>
      <w:r>
        <w:rPr>
          <w:rFonts w:ascii="Times New Roman" w:hAnsi="Times New Roman"/>
          <w:b w:val="false"/>
          <w:i w:val="false"/>
          <w:sz w:val="22"/>
        </w:rPr>
        <w:t>[</w:t>
      </w:r>
      <w:r>
        <w:rPr>
          <w:rFonts w:ascii="Times New Roman" w:hAnsi="Times New Roman"/>
          <w:b w:val="false"/>
          <w:i w:val="false"/>
          <w:sz w:val="22"/>
        </w:rPr>
        <w:t>2</w:t>
      </w:r>
      <w:r>
        <w:rPr>
          <w:rFonts w:ascii="Times New Roman" w:hAnsi="Times New Roman"/>
          <w:b w:val="false"/>
          <w:i w:val="false"/>
          <w:sz w:val="22"/>
        </w:rPr>
        <w:t>] FIRST.org, 'Exploit Prediction Scoring System (EPSS): Specification and User Guide,' Forum of Incident Response and Security Teams, 2024.</w:t>
      </w:r>
    </w:p>
    <w:p>
      <w:pPr>
        <w:pStyle w:val="Normal"/>
        <w:spacing w:lineRule="auto" w:line="276" w:before="0" w:after="120"/>
        <w:jc w:val="start"/>
        <w:rPr/>
      </w:pPr>
      <w:r>
        <w:rPr>
          <w:rFonts w:ascii="Times New Roman" w:hAnsi="Times New Roman"/>
          <w:b w:val="false"/>
          <w:i w:val="false"/>
          <w:sz w:val="22"/>
        </w:rPr>
        <w:t>[</w:t>
      </w:r>
      <w:r>
        <w:rPr>
          <w:rFonts w:ascii="Times New Roman" w:hAnsi="Times New Roman"/>
          <w:b w:val="false"/>
          <w:i w:val="false"/>
          <w:sz w:val="22"/>
        </w:rPr>
        <w:t>3</w:t>
      </w:r>
      <w:r>
        <w:rPr>
          <w:rFonts w:ascii="Times New Roman" w:hAnsi="Times New Roman"/>
          <w:b w:val="false"/>
          <w:i w:val="false"/>
          <w:sz w:val="22"/>
        </w:rPr>
        <w:t>] E. W. Dijkstra, 'A Note on Two Problems in Connexion with Graphs,' Numerische Mathematik, vol. 1, pp. 269–271, 1959.</w:t>
      </w:r>
    </w:p>
    <w:p>
      <w:pPr>
        <w:pStyle w:val="Normal"/>
        <w:spacing w:lineRule="auto" w:line="276" w:before="0" w:after="120"/>
        <w:jc w:val="start"/>
        <w:rPr/>
      </w:pPr>
      <w:r>
        <w:rPr>
          <w:rFonts w:ascii="Times New Roman" w:hAnsi="Times New Roman"/>
          <w:b w:val="false"/>
          <w:i w:val="false"/>
          <w:sz w:val="22"/>
        </w:rPr>
        <w:t>[</w:t>
      </w:r>
      <w:r>
        <w:rPr>
          <w:rFonts w:ascii="Times New Roman" w:hAnsi="Times New Roman"/>
          <w:b w:val="false"/>
          <w:i w:val="false"/>
          <w:sz w:val="22"/>
        </w:rPr>
        <w:t>4</w:t>
      </w:r>
      <w:r>
        <w:rPr>
          <w:rFonts w:ascii="Times New Roman" w:hAnsi="Times New Roman"/>
          <w:b w:val="false"/>
          <w:i w:val="false"/>
          <w:sz w:val="22"/>
        </w:rPr>
        <w:t>] L. C. Freeman, 'A Set of Measures of Centrality Based on Betweenness,' Sociometry, vol. 40, no. 1, pp. 35–41, 1977.</w:t>
      </w:r>
    </w:p>
    <w:p>
      <w:pPr>
        <w:pStyle w:val="Normal"/>
        <w:spacing w:lineRule="auto" w:line="276" w:before="0" w:after="120"/>
        <w:jc w:val="start"/>
        <w:rPr/>
      </w:pPr>
      <w:r>
        <w:rPr>
          <w:rFonts w:ascii="Times New Roman" w:hAnsi="Times New Roman"/>
          <w:b w:val="false"/>
          <w:i w:val="false"/>
          <w:sz w:val="22"/>
        </w:rPr>
        <w:t>[</w:t>
      </w:r>
      <w:r>
        <w:rPr>
          <w:rFonts w:ascii="Times New Roman" w:hAnsi="Times New Roman"/>
          <w:b w:val="false"/>
          <w:i w:val="false"/>
          <w:sz w:val="22"/>
        </w:rPr>
        <w:t>5</w:t>
      </w:r>
      <w:r>
        <w:rPr>
          <w:rFonts w:ascii="Times New Roman" w:hAnsi="Times New Roman"/>
          <w:b w:val="false"/>
          <w:i w:val="false"/>
          <w:sz w:val="22"/>
        </w:rPr>
        <w:t>] BloodHound Enterprise Documentation, 'Active Directory Attack Path Management,' SpecterOps, 2024.</w:t>
      </w:r>
    </w:p>
    <w:p>
      <w:pPr>
        <w:pStyle w:val="Normal"/>
        <w:spacing w:lineRule="auto" w:line="276" w:before="0" w:after="120"/>
        <w:jc w:val="start"/>
        <w:rPr/>
      </w:pPr>
      <w:r>
        <w:rPr>
          <w:rFonts w:ascii="Times New Roman" w:hAnsi="Times New Roman"/>
          <w:b w:val="false"/>
          <w:i w:val="false"/>
          <w:sz w:val="22"/>
        </w:rPr>
        <w:t>[</w:t>
      </w:r>
      <w:r>
        <w:rPr>
          <w:rFonts w:ascii="Times New Roman" w:hAnsi="Times New Roman"/>
          <w:b w:val="false"/>
          <w:i w:val="false"/>
          <w:sz w:val="22"/>
        </w:rPr>
        <w:t>6</w:t>
      </w:r>
      <w:r>
        <w:rPr>
          <w:rFonts w:ascii="Times New Roman" w:hAnsi="Times New Roman"/>
          <w:b w:val="false"/>
          <w:i w:val="false"/>
          <w:sz w:val="22"/>
        </w:rPr>
        <w:t>] Memgraph Documentation, 'In-Memory Graph Database and MAGE Graph Analytics Engine,' Memgraph Ltd., 2024.</w:t>
      </w:r>
    </w:p>
    <w:p>
      <w:pPr>
        <w:pStyle w:val="Normal"/>
        <w:spacing w:lineRule="auto" w:line="276" w:before="0" w:after="120"/>
        <w:jc w:val="start"/>
        <w:rPr/>
      </w:pPr>
      <w:r>
        <w:rPr>
          <w:rFonts w:ascii="Times New Roman" w:hAnsi="Times New Roman"/>
          <w:b w:val="false"/>
          <w:i w:val="false"/>
          <w:sz w:val="22"/>
        </w:rPr>
        <w:t>[</w:t>
      </w:r>
      <w:r>
        <w:rPr>
          <w:rFonts w:ascii="Times New Roman" w:hAnsi="Times New Roman"/>
          <w:b w:val="false"/>
          <w:i w:val="false"/>
          <w:sz w:val="22"/>
        </w:rPr>
        <w:t>7</w:t>
      </w:r>
      <w:r>
        <w:rPr>
          <w:rFonts w:ascii="Times New Roman" w:hAnsi="Times New Roman"/>
          <w:b w:val="false"/>
          <w:i w:val="false"/>
          <w:sz w:val="22"/>
        </w:rPr>
        <w:t>] R. S. Pressman and B. R. Maxim, 'Software Engineering: A Practitioner’s Approach,' 9th ed., McGraw-Hill Education, 2020.</w:t>
      </w:r>
    </w:p>
    <w:sectPr>
      <w:type w:val="nextPage"/>
      <w:pgSz w:w="12240" w:h="15840"/>
      <w:pgMar w:left="216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75"/>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LibreOffice/26.2.6.3$Windows_X86_64 LibreOffice_project/8221e31b3ac356a1623c672912a3d2b492f7e3d1</Application>
  <AppVersion>15.0000</AppVersion>
  <Pages>9</Pages>
  <Words>2189</Words>
  <Characters>14716</Characters>
  <CharactersWithSpaces>16750</CharactersWithSpaces>
  <Paragraphs>161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2026-10-23T00:57:12Z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