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76" w:lineRule="auto"/>
        <w:jc w:val="center"/>
      </w:pPr>
      <w:r>
        <w:rPr>
          <w:rFonts w:ascii="Times New Roman" w:hAnsi="Times New Roman"/>
          <w:b/>
          <w:i w:val="0"/>
          <w:sz w:val="36"/>
        </w:rPr>
        <w:t>MAJOR PROJECT REPORT</w:t>
      </w:r>
    </w:p>
    <w:p>
      <w:pPr>
        <w:spacing w:before="0" w:after="160" w:line="276" w:lineRule="auto"/>
        <w:jc w:val="center"/>
      </w:pPr>
      <w:r>
        <w:rPr>
          <w:rFonts w:ascii="Times New Roman" w:hAnsi="Times New Roman"/>
          <w:b/>
          <w:i w:val="0"/>
          <w:sz w:val="28"/>
        </w:rPr>
        <w:t>ON</w:t>
      </w:r>
    </w:p>
    <w:p>
      <w:pPr>
        <w:spacing w:before="0" w:after="360" w:line="276" w:lineRule="auto"/>
        <w:jc w:val="center"/>
      </w:pPr>
      <w:r>
        <w:rPr>
          <w:rFonts w:ascii="Times New Roman" w:hAnsi="Times New Roman"/>
          <w:b/>
          <w:i w:val="0"/>
          <w:sz w:val="30"/>
        </w:rPr>
        <w:t>AEGISPATH ENTERPRISE: AN ADAPTIVE ATTACK PATH MANAGEMENT &amp; MULTI-CLOUD CYBER THREAT INTELLIGENCE ENGINE</w:t>
      </w:r>
    </w:p>
    <w:p>
      <w:pPr>
        <w:spacing w:before="0" w:after="80" w:line="276" w:lineRule="auto"/>
        <w:jc w:val="center"/>
      </w:pPr>
      <w:r>
        <w:rPr>
          <w:rFonts w:ascii="Times New Roman" w:hAnsi="Times New Roman"/>
          <w:b w:val="0"/>
          <w:i/>
          <w:sz w:val="22"/>
        </w:rPr>
        <w:t>Submitted in partial fulfillment for the award of the degree</w:t>
      </w:r>
    </w:p>
    <w:p>
      <w:pPr>
        <w:spacing w:before="0" w:after="80" w:line="276" w:lineRule="auto"/>
        <w:jc w:val="center"/>
      </w:pPr>
      <w:r>
        <w:rPr>
          <w:rFonts w:ascii="Times New Roman" w:hAnsi="Times New Roman"/>
          <w:b/>
          <w:i w:val="0"/>
          <w:sz w:val="28"/>
        </w:rPr>
        <w:t>BACHELOR OF TECHNOLOGY</w:t>
      </w:r>
    </w:p>
    <w:p>
      <w:pPr>
        <w:spacing w:before="0" w:after="80" w:line="276" w:lineRule="auto"/>
        <w:jc w:val="center"/>
      </w:pPr>
      <w:r>
        <w:rPr>
          <w:rFonts w:ascii="Times New Roman" w:hAnsi="Times New Roman"/>
          <w:b/>
          <w:i w:val="0"/>
          <w:sz w:val="22"/>
        </w:rPr>
        <w:t>IN</w:t>
      </w:r>
    </w:p>
    <w:p>
      <w:pPr>
        <w:spacing w:before="0" w:after="80" w:line="276" w:lineRule="auto"/>
        <w:jc w:val="center"/>
      </w:pPr>
      <w:r>
        <w:rPr>
          <w:rFonts w:ascii="Times New Roman" w:hAnsi="Times New Roman"/>
          <w:b/>
          <w:i w:val="0"/>
          <w:sz w:val="26"/>
        </w:rPr>
        <w:t>COMPUTER SCIENCE &amp; ENGINEERING</w:t>
      </w:r>
    </w:p>
    <w:p>
      <w:pPr>
        <w:spacing w:before="0" w:after="560" w:line="276" w:lineRule="auto"/>
        <w:jc w:val="center"/>
      </w:pPr>
      <w:r>
        <w:rPr>
          <w:rFonts w:ascii="Times New Roman" w:hAnsi="Times New Roman"/>
          <w:b/>
          <w:i w:val="0"/>
          <w:sz w:val="24"/>
        </w:rPr>
        <w:t>VII SEMESTER</w:t>
      </w:r>
    </w:p>
    <w:tbl>
      <w:tblPr>
        <w:tblW w:type="auto" w:w="0"/>
        <w:jc w:val="center"/>
        <w:tblLayout w:type="fixed"/>
        <w:tblLook w:firstColumn="1" w:firstRow="1" w:lastColumn="0" w:lastRow="0" w:noHBand="0" w:noVBand="1" w:val="04A0"/>
      </w:tblPr>
      <w:tblGrid>
        <w:gridCol w:w="4320"/>
        <w:gridCol w:w="4320"/>
      </w:tblGrid>
      <w:tr>
        <w:tc>
          <w:tcPr>
            <w:tcW w:type="dxa" w:w="4320"/>
          </w:tcPr>
          <w:p>
            <w:r>
              <w:rPr>
                <w:rFonts w:ascii="Times New Roman" w:hAnsi="Times New Roman"/>
                <w:b/>
                <w:i w:val="0"/>
                <w:sz w:val="22"/>
              </w:rPr>
              <w:t>Submitted By</w:t>
              <w:br/>
            </w:r>
            <w:r>
              <w:rPr>
                <w:rFonts w:ascii="Times New Roman" w:hAnsi="Times New Roman"/>
                <w:b w:val="0"/>
                <w:i w:val="0"/>
                <w:sz w:val="22"/>
              </w:rPr>
              <w:t>Tanishq Jain</w:t>
              <w:br/>
              <w:t>Enrollment No: 233CS0188</w:t>
            </w:r>
          </w:p>
        </w:tc>
        <w:tc>
          <w:tcPr>
            <w:tcW w:type="dxa" w:w="4320"/>
          </w:tcPr>
          <w:p>
            <w:pPr>
              <w:jc w:val="right"/>
            </w:pPr>
            <w:r>
              <w:rPr>
                <w:rFonts w:ascii="Times New Roman" w:hAnsi="Times New Roman"/>
                <w:b/>
                <w:i w:val="0"/>
                <w:sz w:val="22"/>
              </w:rPr>
              <w:t>Guided By</w:t>
              <w:br/>
            </w:r>
            <w:r>
              <w:rPr>
                <w:rFonts w:ascii="Times New Roman" w:hAnsi="Times New Roman"/>
                <w:b w:val="0"/>
                <w:i w:val="0"/>
                <w:sz w:val="22"/>
              </w:rPr>
              <w:t>Dr. Bharat Pahadiya</w:t>
              <w:br/>
              <w:t>Professor &amp; Project Guide</w:t>
            </w:r>
          </w:p>
        </w:tc>
      </w:tr>
      <w:tr>
        <w:tc>
          <w:tcPr>
            <w:tcW w:type="dxa" w:w="4320"/>
          </w:tcPr>
          <w:p/>
        </w:tc>
        <w:tc>
          <w:tcPr>
            <w:tcW w:type="dxa" w:w="4320"/>
          </w:tcPr>
          <w:p/>
        </w:tc>
      </w:tr>
    </w:tbl>
    <w:p>
      <w:pPr>
        <w:spacing w:before="720" w:after="0" w:line="276" w:lineRule="auto"/>
        <w:jc w:val="left"/>
      </w:pPr>
    </w:p>
    <w:p>
      <w:pPr>
        <w:spacing w:before="0" w:after="60" w:line="276" w:lineRule="auto"/>
        <w:jc w:val="center"/>
      </w:pPr>
      <w:r>
        <w:rPr>
          <w:rFonts w:ascii="Times New Roman" w:hAnsi="Times New Roman"/>
          <w:b/>
          <w:i w:val="0"/>
          <w:sz w:val="28"/>
        </w:rPr>
        <w:t>ORIENTAL UNIVERSITY, INDORE</w:t>
      </w:r>
    </w:p>
    <w:p>
      <w:pPr>
        <w:spacing w:before="0" w:after="40" w:line="276" w:lineRule="auto"/>
        <w:jc w:val="center"/>
      </w:pPr>
      <w:r>
        <w:rPr>
          <w:rFonts w:ascii="Times New Roman" w:hAnsi="Times New Roman"/>
          <w:b w:val="0"/>
          <w:i w:val="0"/>
          <w:sz w:val="20"/>
        </w:rPr>
        <w:t>Sanwer Road, Jakhya, Opposite Revati Range, Gate No. 1</w:t>
      </w:r>
    </w:p>
    <w:p>
      <w:pPr>
        <w:spacing w:before="0" w:after="120" w:line="276" w:lineRule="auto"/>
        <w:jc w:val="center"/>
      </w:pPr>
      <w:r>
        <w:rPr>
          <w:rFonts w:ascii="Times New Roman" w:hAnsi="Times New Roman"/>
          <w:b w:val="0"/>
          <w:i w:val="0"/>
          <w:sz w:val="20"/>
        </w:rPr>
        <w:t>Indore, Madhya Pradesh – 452015</w:t>
      </w:r>
    </w:p>
    <w:p>
      <w:pPr>
        <w:spacing w:before="0" w:after="0" w:line="276" w:lineRule="auto"/>
        <w:jc w:val="center"/>
      </w:pPr>
      <w:r>
        <w:rPr>
          <w:rFonts w:ascii="Times New Roman" w:hAnsi="Times New Roman"/>
          <w:b/>
          <w:i w:val="0"/>
          <w:sz w:val="22"/>
        </w:rPr>
        <w:t>Academic Session: [2025–2026]</w:t>
      </w:r>
    </w:p>
    <w:p>
      <w:r>
        <w:br w:type="page"/>
      </w:r>
    </w:p>
    <w:p>
      <w:pPr>
        <w:spacing w:before="120" w:after="80" w:line="276" w:lineRule="auto"/>
        <w:jc w:val="center"/>
      </w:pPr>
      <w:r>
        <w:rPr>
          <w:rFonts w:ascii="Times New Roman" w:hAnsi="Times New Roman"/>
          <w:b/>
          <w:i w:val="0"/>
          <w:sz w:val="32"/>
        </w:rPr>
        <w:t>PROJECT SYNOPSIS</w:t>
      </w:r>
    </w:p>
    <w:p>
      <w:pPr>
        <w:spacing w:before="0" w:after="320" w:line="276" w:lineRule="auto"/>
        <w:jc w:val="center"/>
      </w:pPr>
      <w:r>
        <w:rPr>
          <w:rFonts w:ascii="Times New Roman" w:hAnsi="Times New Roman"/>
          <w:b/>
          <w:i w:val="0"/>
          <w:sz w:val="24"/>
        </w:rPr>
        <w:t>AEGISPATH ENTERPRISE: AN ADAPTIVE ATTACK PATH MANAGEMENT &amp; MULTI-CLOUD CYBER THREAT INTELLIGENCE ENGINE</w:t>
      </w:r>
    </w:p>
    <w:p>
      <w:pPr>
        <w:keepNext/>
        <w:spacing w:before="280" w:after="80"/>
      </w:pPr>
      <w:r>
        <w:rPr>
          <w:rFonts w:ascii="Times New Roman" w:hAnsi="Times New Roman"/>
          <w:b/>
          <w:i w:val="0"/>
          <w:sz w:val="26"/>
        </w:rPr>
        <w:t>1. Introduction</w:t>
      </w:r>
    </w:p>
    <w:p>
      <w:pPr>
        <w:spacing w:before="0" w:after="120" w:line="276" w:lineRule="auto"/>
        <w:jc w:val="left"/>
      </w:pPr>
      <w:r>
        <w:rPr>
          <w:rFonts w:ascii="Times New Roman" w:hAnsi="Times New Roman"/>
          <w:b w:val="0"/>
          <w:i w:val="0"/>
          <w:sz w:val="22"/>
        </w:rPr>
        <w:t>AegisPath Enterprise is a role-based, distributed graph-theoretic cyber defense platform engineered to quantify, visualize, and eliminate lateral movement paths across hybrid multi-cloud perimeters and on-premises directory services. Modern security architectures suffer from severe alert fatigue: traditional vulnerability scanners generate thousands of isolated alerts without operational reachability context. AegisPath Enterprise bridges this operational gap by correlating live AWS cloud infrastructure cartography (via Boto3), authentic Active Directory identity graphs (via BloodHound CE / SharpHound), and container vulnerability scans (via Trivy) into a unified, in-memory directed graph. By dynamically incorporating global threat intelligence from the CISA Known Exploited Vulnerabilities (KEV) catalog and FIRST.org Exploit Prediction Scoring System (EPSS), the platform models attack resistance mathematically as the inverse of traversability (W = 1 / Traversability). Using Dijkstra's shortest path algorithm and Betweenness Centrality, the system discovers critical breach paths to Tier-0 Crown Jewels and pinpoints minimal-cut choke points to guide security teams with measurable risk-reduction analytics.</w:t>
      </w:r>
    </w:p>
    <w:p>
      <w:pPr>
        <w:keepNext/>
        <w:spacing w:before="280" w:after="80"/>
      </w:pPr>
      <w:r>
        <w:rPr>
          <w:rFonts w:ascii="Times New Roman" w:hAnsi="Times New Roman"/>
          <w:b/>
          <w:i w:val="0"/>
          <w:sz w:val="26"/>
        </w:rPr>
        <w:t>2. Problem Statement</w:t>
      </w:r>
    </w:p>
    <w:p>
      <w:pPr>
        <w:spacing w:before="0" w:after="120" w:line="276" w:lineRule="auto"/>
        <w:jc w:val="left"/>
      </w:pPr>
      <w:r>
        <w:rPr>
          <w:rFonts w:ascii="Times New Roman" w:hAnsi="Times New Roman"/>
          <w:b w:val="0"/>
          <w:i w:val="0"/>
          <w:sz w:val="22"/>
        </w:rPr>
        <w:t>In contemporary enterprise environments, security operations teams are overwhelmed by static vulnerability assessments:</w:t>
      </w:r>
    </w:p>
    <w:p>
      <w:pPr>
        <w:spacing w:before="0" w:after="120" w:line="276" w:lineRule="auto"/>
        <w:jc w:val="left"/>
      </w:pPr>
      <w:r>
        <w:rPr>
          <w:rFonts w:ascii="Times New Roman" w:hAnsi="Times New Roman"/>
          <w:b w:val="0"/>
          <w:i w:val="0"/>
          <w:sz w:val="22"/>
        </w:rPr>
        <w:t>• The CVSS Fallacy: A vulnerability with a high CVSS base score (e.g., 9.8) situated on an isolated host poses far less operational threat than a medium-severity vulnerability on an internet-facing gateway with an assumed IAM role. Traditional tools evaluate vulnerabilities in isolation rather than as multi-hop attack chains.</w:t>
      </w:r>
    </w:p>
    <w:p>
      <w:pPr>
        <w:spacing w:before="0" w:after="120" w:line="276" w:lineRule="auto"/>
        <w:jc w:val="left"/>
      </w:pPr>
      <w:r>
        <w:rPr>
          <w:rFonts w:ascii="Times New Roman" w:hAnsi="Times New Roman"/>
          <w:b w:val="0"/>
          <w:i w:val="0"/>
          <w:sz w:val="22"/>
        </w:rPr>
        <w:t>• Identity Trust Blindspots: Relational SQL databases cannot efficiently represent recursive trust relationships, nested Active Directory groups, Access Control Entries (ACEs such as GenericAll, WriteDacl), or Kerberos ticket delegation attacks.</w:t>
      </w:r>
    </w:p>
    <w:p>
      <w:pPr>
        <w:spacing w:before="0" w:after="120" w:line="276" w:lineRule="auto"/>
        <w:jc w:val="left"/>
      </w:pPr>
      <w:r>
        <w:rPr>
          <w:rFonts w:ascii="Times New Roman" w:hAnsi="Times New Roman"/>
          <w:b w:val="0"/>
          <w:i w:val="0"/>
          <w:sz w:val="22"/>
        </w:rPr>
        <w:t>• Multi-Cloud &amp; Directory Silos: AWS Cloud Security Groups, IAM trust policies, on-premises Active Directory forests, and container layers operate in fragmented management consoles, leaving lateral pivot routes hidden from defenders.</w:t>
      </w:r>
    </w:p>
    <w:p>
      <w:pPr>
        <w:spacing w:before="0" w:after="120" w:line="276" w:lineRule="auto"/>
        <w:jc w:val="left"/>
      </w:pPr>
      <w:r>
        <w:rPr>
          <w:rFonts w:ascii="Times New Roman" w:hAnsi="Times New Roman"/>
          <w:b w:val="0"/>
          <w:i w:val="0"/>
          <w:sz w:val="22"/>
        </w:rPr>
        <w:t>• Arbitrary Remediation Prioritization: Organizations patch vulnerabilities reactively without empirical data proving which specific credential revocation or firewall rule eliminates the greatest number of potential breach paths.</w:t>
      </w:r>
    </w:p>
    <w:p>
      <w:pPr>
        <w:keepNext/>
        <w:spacing w:before="280" w:after="80"/>
      </w:pPr>
      <w:r>
        <w:rPr>
          <w:rFonts w:ascii="Times New Roman" w:hAnsi="Times New Roman"/>
          <w:b/>
          <w:i w:val="0"/>
          <w:sz w:val="26"/>
        </w:rPr>
        <w:t>3. Objectives</w:t>
      </w:r>
    </w:p>
    <w:p>
      <w:pPr>
        <w:spacing w:before="0" w:after="120" w:line="276" w:lineRule="auto"/>
        <w:jc w:val="left"/>
      </w:pPr>
      <w:r>
        <w:rPr>
          <w:rFonts w:ascii="Times New Roman" w:hAnsi="Times New Roman"/>
          <w:b w:val="0"/>
          <w:i w:val="0"/>
          <w:sz w:val="22"/>
        </w:rPr>
        <w:t>• Provide unified, automated multi-domain infrastructure cartography across AWS cloud environments (EC2, S3, RDS, IAM Roles, Security Groups) and Active Directory forests.</w:t>
      </w:r>
    </w:p>
    <w:p>
      <w:pPr>
        <w:spacing w:before="0" w:after="120" w:line="276" w:lineRule="auto"/>
        <w:jc w:val="left"/>
      </w:pPr>
      <w:r>
        <w:rPr>
          <w:rFonts w:ascii="Times New Roman" w:hAnsi="Times New Roman"/>
          <w:b w:val="0"/>
          <w:i w:val="0"/>
          <w:sz w:val="22"/>
        </w:rPr>
        <w:t>• Ingest and defensively normalize authentic BloodHound CE / SharpHound identity graphs, automatically identifying Domain Controllers and administrative groups as Tier-0 Crown Jewels.</w:t>
      </w:r>
    </w:p>
    <w:p>
      <w:pPr>
        <w:spacing w:before="0" w:after="120" w:line="276" w:lineRule="auto"/>
        <w:jc w:val="left"/>
      </w:pPr>
      <w:r>
        <w:rPr>
          <w:rFonts w:ascii="Times New Roman" w:hAnsi="Times New Roman"/>
          <w:b w:val="0"/>
          <w:i w:val="0"/>
          <w:sz w:val="22"/>
        </w:rPr>
        <w:t>• Dynamically calculate edge resistance using real-time FIRST.org EPSS exploit probabilities and the CISA KEV catalog of 1,754 actively exploited CVEs.</w:t>
      </w:r>
    </w:p>
    <w:p>
      <w:pPr>
        <w:spacing w:before="0" w:after="120" w:line="276" w:lineRule="auto"/>
        <w:jc w:val="left"/>
      </w:pPr>
      <w:r>
        <w:rPr>
          <w:rFonts w:ascii="Times New Roman" w:hAnsi="Times New Roman"/>
          <w:b w:val="0"/>
          <w:i w:val="0"/>
          <w:sz w:val="22"/>
        </w:rPr>
        <w:t>• Compute least-resistance attack trajectories from the public internet perimeter to critical assets using a mathematically rigorous inverse traversability cost model (W = 1 / Traversability).</w:t>
      </w:r>
    </w:p>
    <w:p>
      <w:pPr>
        <w:spacing w:before="0" w:after="120" w:line="276" w:lineRule="auto"/>
        <w:jc w:val="left"/>
      </w:pPr>
      <w:r>
        <w:rPr>
          <w:rFonts w:ascii="Times New Roman" w:hAnsi="Times New Roman"/>
          <w:b w:val="0"/>
          <w:i w:val="0"/>
          <w:sz w:val="22"/>
        </w:rPr>
        <w:t>• Identify topological choke points using Betweenness Centrality and execute non-destructive 'What-If' remediation simulations to calculate quantifiable risk-reduction percentages.</w:t>
      </w:r>
    </w:p>
    <w:p>
      <w:pPr>
        <w:spacing w:before="0" w:after="120" w:line="276" w:lineRule="auto"/>
        <w:jc w:val="left"/>
      </w:pPr>
      <w:r>
        <w:rPr>
          <w:rFonts w:ascii="Times New Roman" w:hAnsi="Times New Roman"/>
          <w:b w:val="0"/>
          <w:i w:val="0"/>
          <w:sz w:val="22"/>
        </w:rPr>
        <w:t>• Deliver a hardware-accelerated Cytoscape.js web console with sub-graph projection sustaining 60 FPS rendering under dense topologies (&gt;1,500 edges) and non-blocking in-app notification toasts.</w:t>
      </w:r>
    </w:p>
    <w:p>
      <w:pPr>
        <w:keepNext/>
        <w:spacing w:before="280" w:after="80"/>
      </w:pPr>
      <w:r>
        <w:rPr>
          <w:rFonts w:ascii="Times New Roman" w:hAnsi="Times New Roman"/>
          <w:b/>
          <w:i w:val="0"/>
          <w:sz w:val="26"/>
        </w:rPr>
        <w:t>4. Proposed System and User Roles</w:t>
      </w:r>
    </w:p>
    <w:p>
      <w:pPr>
        <w:spacing w:before="0" w:after="120" w:line="276" w:lineRule="auto"/>
        <w:jc w:val="left"/>
      </w:pPr>
      <w:r>
        <w:rPr>
          <w:rFonts w:ascii="Times New Roman" w:hAnsi="Times New Roman"/>
          <w:b w:val="0"/>
          <w:i w:val="0"/>
          <w:sz w:val="22"/>
        </w:rPr>
        <w:t>AegisPath Enterprise establishes clear functional responsibilities across enterprise security and engineering stakeholders:</w:t>
      </w:r>
    </w:p>
    <w:tbl>
      <w:tblPr>
        <w:tblW w:type="auto" w:w="0"/>
        <w:jc w:val="center"/>
        <w:tblLayout w:type="fixed"/>
        <w:tblLook w:firstColumn="1" w:firstRow="1" w:lastColumn="0" w:lastRow="0" w:noHBand="0" w:noVBand="1" w:val="04A0"/>
      </w:tblPr>
      <w:tblGrid>
        <w:gridCol w:w="4320"/>
        <w:gridCol w:w="4320"/>
      </w:tblGrid>
      <w:tr>
        <w:tc>
          <w:tcPr>
            <w:tcW w:type="dxa" w:w="4320"/>
            <w:shd w:fill="E2E8F0"/>
            <w:tcMar>
              <w:top w:w="120" w:type="dxa"/>
              <w:bottom w:w="120" w:type="dxa"/>
              <w:left w:w="150" w:type="dxa"/>
              <w:right w:w="150" w:type="dxa"/>
            </w:tcMar>
          </w:tcPr>
          <w:p>
            <w:pPr>
              <w:jc w:val="left"/>
            </w:pPr>
            <w:r>
              <w:rPr>
                <w:rFonts w:ascii="Times New Roman" w:hAnsi="Times New Roman"/>
                <w:b/>
                <w:i w:val="0"/>
                <w:sz w:val="20"/>
              </w:rPr>
              <w:t>Role</w:t>
            </w:r>
          </w:p>
        </w:tc>
        <w:tc>
          <w:tcPr>
            <w:tcW w:type="dxa" w:w="4320"/>
            <w:shd w:fill="E2E8F0"/>
            <w:tcMar>
              <w:top w:w="120" w:type="dxa"/>
              <w:bottom w:w="120" w:type="dxa"/>
              <w:left w:w="150" w:type="dxa"/>
              <w:right w:w="150" w:type="dxa"/>
            </w:tcMar>
          </w:tcPr>
          <w:p>
            <w:pPr>
              <w:jc w:val="left"/>
            </w:pPr>
            <w:r>
              <w:rPr>
                <w:rFonts w:ascii="Times New Roman" w:hAnsi="Times New Roman"/>
                <w:b/>
                <w:i w:val="0"/>
                <w:sz w:val="20"/>
              </w:rPr>
              <w:t>Responsibilities</w:t>
            </w:r>
          </w:p>
        </w:tc>
      </w:tr>
      <w:tr>
        <w:tc>
          <w:tcPr>
            <w:tcW w:type="dxa" w:w="4320"/>
            <w:tcMar>
              <w:top w:w="80" w:type="dxa"/>
              <w:bottom w:w="80" w:type="dxa"/>
              <w:left w:w="150" w:type="dxa"/>
              <w:right w:w="150" w:type="dxa"/>
            </w:tcMar>
          </w:tcPr>
          <w:p>
            <w:r>
              <w:rPr>
                <w:rFonts w:ascii="Times New Roman" w:hAnsi="Times New Roman"/>
                <w:b/>
                <w:i w:val="0"/>
                <w:sz w:val="19"/>
              </w:rPr>
              <w:t>Chief Information Security Officer (CISO) / Risk Committee</w:t>
            </w:r>
          </w:p>
        </w:tc>
        <w:tc>
          <w:tcPr>
            <w:tcW w:type="dxa" w:w="4320"/>
            <w:tcMar>
              <w:top w:w="80" w:type="dxa"/>
              <w:bottom w:w="80" w:type="dxa"/>
              <w:left w:w="150" w:type="dxa"/>
              <w:right w:w="150" w:type="dxa"/>
            </w:tcMar>
          </w:tcPr>
          <w:p>
            <w:r>
              <w:rPr>
                <w:rFonts w:ascii="Times New Roman" w:hAnsi="Times New Roman"/>
                <w:b w:val="0"/>
                <w:i w:val="0"/>
                <w:sz w:val="19"/>
              </w:rPr>
              <w:t>Observes enterprise-wide breach probability, reviews What-If remediation simulations, tracks reduction in attack paths, and approves security budget allocation.</w:t>
            </w:r>
          </w:p>
        </w:tc>
      </w:tr>
      <w:tr>
        <w:tc>
          <w:tcPr>
            <w:tcW w:type="dxa" w:w="4320"/>
            <w:tcMar>
              <w:top w:w="80" w:type="dxa"/>
              <w:bottom w:w="80" w:type="dxa"/>
              <w:left w:w="150" w:type="dxa"/>
              <w:right w:w="150" w:type="dxa"/>
            </w:tcMar>
          </w:tcPr>
          <w:p>
            <w:r>
              <w:rPr>
                <w:rFonts w:ascii="Times New Roman" w:hAnsi="Times New Roman"/>
                <w:b/>
                <w:i w:val="0"/>
                <w:sz w:val="19"/>
              </w:rPr>
              <w:t>Security Operations Center (SOC) Lead / Incident Responder</w:t>
            </w:r>
          </w:p>
        </w:tc>
        <w:tc>
          <w:tcPr>
            <w:tcW w:type="dxa" w:w="4320"/>
            <w:tcMar>
              <w:top w:w="80" w:type="dxa"/>
              <w:bottom w:w="80" w:type="dxa"/>
              <w:left w:w="150" w:type="dxa"/>
              <w:right w:w="150" w:type="dxa"/>
            </w:tcMar>
          </w:tcPr>
          <w:p>
            <w:r>
              <w:rPr>
                <w:rFonts w:ascii="Times New Roman" w:hAnsi="Times New Roman"/>
                <w:b w:val="0"/>
                <w:i w:val="0"/>
                <w:sz w:val="19"/>
              </w:rPr>
              <w:t>Monitors real-time Server-Sent Events (SSE) telemetry alerts, examines active EDR intrusion vectors, and initiates topological choke point severance.</w:t>
            </w:r>
          </w:p>
        </w:tc>
      </w:tr>
      <w:tr>
        <w:tc>
          <w:tcPr>
            <w:tcW w:type="dxa" w:w="4320"/>
            <w:tcMar>
              <w:top w:w="80" w:type="dxa"/>
              <w:bottom w:w="80" w:type="dxa"/>
              <w:left w:w="150" w:type="dxa"/>
              <w:right w:w="150" w:type="dxa"/>
            </w:tcMar>
          </w:tcPr>
          <w:p>
            <w:r>
              <w:rPr>
                <w:rFonts w:ascii="Times New Roman" w:hAnsi="Times New Roman"/>
                <w:b/>
                <w:i w:val="0"/>
                <w:sz w:val="19"/>
              </w:rPr>
              <w:t>Cloud Security Architect / DevSecOps Engineer</w:t>
            </w:r>
          </w:p>
        </w:tc>
        <w:tc>
          <w:tcPr>
            <w:tcW w:type="dxa" w:w="4320"/>
            <w:tcMar>
              <w:top w:w="80" w:type="dxa"/>
              <w:bottom w:w="80" w:type="dxa"/>
              <w:left w:w="150" w:type="dxa"/>
              <w:right w:w="150" w:type="dxa"/>
            </w:tcMar>
          </w:tcPr>
          <w:p>
            <w:r>
              <w:rPr>
                <w:rFonts w:ascii="Times New Roman" w:hAnsi="Times New Roman"/>
                <w:b w:val="0"/>
                <w:i w:val="0"/>
                <w:sz w:val="19"/>
              </w:rPr>
              <w:t>Connects read-only AWS Boto3 cartography sessions, defines Availability Zone boundaries, inspects IAM trust boundaries, and integrates container vulnerability scan reports.</w:t>
            </w:r>
          </w:p>
        </w:tc>
      </w:tr>
      <w:tr>
        <w:tc>
          <w:tcPr>
            <w:tcW w:type="dxa" w:w="4320"/>
            <w:tcMar>
              <w:top w:w="80" w:type="dxa"/>
              <w:bottom w:w="80" w:type="dxa"/>
              <w:left w:w="150" w:type="dxa"/>
              <w:right w:w="150" w:type="dxa"/>
            </w:tcMar>
          </w:tcPr>
          <w:p>
            <w:r>
              <w:rPr>
                <w:rFonts w:ascii="Times New Roman" w:hAnsi="Times New Roman"/>
                <w:b/>
                <w:i w:val="0"/>
                <w:sz w:val="19"/>
              </w:rPr>
              <w:t>Identity &amp; Directory Administrator</w:t>
            </w:r>
          </w:p>
        </w:tc>
        <w:tc>
          <w:tcPr>
            <w:tcW w:type="dxa" w:w="4320"/>
            <w:tcMar>
              <w:top w:w="80" w:type="dxa"/>
              <w:bottom w:w="80" w:type="dxa"/>
              <w:left w:w="150" w:type="dxa"/>
              <w:right w:w="150" w:type="dxa"/>
            </w:tcMar>
          </w:tcPr>
          <w:p>
            <w:r>
              <w:rPr>
                <w:rFonts w:ascii="Times New Roman" w:hAnsi="Times New Roman"/>
                <w:b w:val="0"/>
                <w:i w:val="0"/>
                <w:sz w:val="19"/>
              </w:rPr>
              <w:t>Imports BloodHound CE / SharpHound Active Directory collections, evaluates nested group delegations, and manages Tier-0 Crown Jewel designations.</w:t>
            </w:r>
          </w:p>
        </w:tc>
      </w:tr>
      <w:tr>
        <w:tc>
          <w:tcPr>
            <w:tcW w:type="dxa" w:w="4320"/>
            <w:tcMar>
              <w:top w:w="80" w:type="dxa"/>
              <w:bottom w:w="80" w:type="dxa"/>
              <w:left w:w="150" w:type="dxa"/>
              <w:right w:w="150" w:type="dxa"/>
            </w:tcMar>
          </w:tcPr>
          <w:p>
            <w:r>
              <w:rPr>
                <w:rFonts w:ascii="Times New Roman" w:hAnsi="Times New Roman"/>
                <w:b/>
                <w:i w:val="0"/>
                <w:sz w:val="19"/>
              </w:rPr>
              <w:t>Red Team Analyst / Penetration Tester</w:t>
            </w:r>
          </w:p>
        </w:tc>
        <w:tc>
          <w:tcPr>
            <w:tcW w:type="dxa" w:w="4320"/>
            <w:tcMar>
              <w:top w:w="80" w:type="dxa"/>
              <w:bottom w:w="80" w:type="dxa"/>
              <w:left w:w="150" w:type="dxa"/>
              <w:right w:w="150" w:type="dxa"/>
            </w:tcMar>
          </w:tcPr>
          <w:p>
            <w:r>
              <w:rPr>
                <w:rFonts w:ascii="Times New Roman" w:hAnsi="Times New Roman"/>
                <w:b w:val="0"/>
                <w:i w:val="0"/>
                <w:sz w:val="19"/>
              </w:rPr>
              <w:t>Analyzes shortest attack path hop counts, reviews cumulative breach probabilities, and validates lateral movement resistance models against known adversary techniques.</w:t>
            </w:r>
          </w:p>
        </w:tc>
      </w:tr>
    </w:tbl>
    <w:p>
      <w:pPr>
        <w:spacing w:before="80" w:after="80" w:line="276" w:lineRule="auto"/>
        <w:jc w:val="left"/>
      </w:pPr>
    </w:p>
    <w:p>
      <w:pPr>
        <w:keepNext/>
        <w:spacing w:before="280" w:after="80"/>
      </w:pPr>
      <w:r>
        <w:rPr>
          <w:rFonts w:ascii="Times New Roman" w:hAnsi="Times New Roman"/>
          <w:b/>
          <w:i w:val="0"/>
          <w:sz w:val="26"/>
        </w:rPr>
        <w:t>5. Proposed Workflow</w:t>
      </w:r>
    </w:p>
    <w:p>
      <w:pPr>
        <w:spacing w:before="0" w:after="120" w:line="276" w:lineRule="auto"/>
        <w:jc w:val="left"/>
      </w:pPr>
      <w:r>
        <w:rPr>
          <w:rFonts w:ascii="Times New Roman" w:hAnsi="Times New Roman"/>
          <w:b w:val="0"/>
          <w:i w:val="0"/>
          <w:sz w:val="22"/>
        </w:rPr>
        <w:t>The end-to-end operational lifecycle follows seven sequential stages:</w:t>
      </w:r>
    </w:p>
    <w:p>
      <w:pPr>
        <w:spacing w:before="0" w:after="120" w:line="276" w:lineRule="auto"/>
        <w:jc w:val="left"/>
      </w:pPr>
      <w:r>
        <w:rPr>
          <w:rFonts w:ascii="Times New Roman" w:hAnsi="Times New Roman"/>
          <w:b w:val="0"/>
          <w:i w:val="0"/>
          <w:sz w:val="22"/>
        </w:rPr>
        <w:t>1. Multi-Cloud &amp; Directory Ingestion: The administrator initiates AWS Boto3 discovery or imports BloodHound CE Active Directory JSON exports.</w:t>
      </w:r>
    </w:p>
    <w:p>
      <w:pPr>
        <w:spacing w:before="0" w:after="120" w:line="276" w:lineRule="auto"/>
        <w:jc w:val="left"/>
      </w:pPr>
      <w:r>
        <w:rPr>
          <w:rFonts w:ascii="Times New Roman" w:hAnsi="Times New Roman"/>
          <w:b w:val="0"/>
          <w:i w:val="0"/>
          <w:sz w:val="22"/>
        </w:rPr>
        <w:t>2. Defensive Schema Parsing: The engine defensively sanitizes AWS Availability Zone suffixes and parses polymorphic BloodHound sessions (supporting both dictionary and list formats).</w:t>
      </w:r>
    </w:p>
    <w:p>
      <w:pPr>
        <w:spacing w:before="0" w:after="120" w:line="276" w:lineRule="auto"/>
        <w:jc w:val="left"/>
      </w:pPr>
      <w:r>
        <w:rPr>
          <w:rFonts w:ascii="Times New Roman" w:hAnsi="Times New Roman"/>
          <w:b w:val="0"/>
          <w:i w:val="0"/>
          <w:sz w:val="22"/>
        </w:rPr>
        <w:t>3. Dynamic Threat Intelligence Enrichment: The CTI Client queries live FIRST.org EPSS APIs and the CISA KEV catalog, updating vulnerability nodes with empirical exploit likelihoods and caching records locally in cti_cache.json.</w:t>
      </w:r>
    </w:p>
    <w:p>
      <w:pPr>
        <w:spacing w:before="0" w:after="120" w:line="276" w:lineRule="auto"/>
        <w:jc w:val="left"/>
      </w:pPr>
      <w:r>
        <w:rPr>
          <w:rFonts w:ascii="Times New Roman" w:hAnsi="Times New Roman"/>
          <w:b w:val="0"/>
          <w:i w:val="0"/>
          <w:sz w:val="22"/>
        </w:rPr>
        <w:t>4. Dynamic Graph Construction: An in-memory directed graph is constructed using NetworkX, with edge resistance computed via the inverse traversability equation W = 1 / Traversability.</w:t>
      </w:r>
    </w:p>
    <w:p>
      <w:pPr>
        <w:spacing w:before="0" w:after="120" w:line="276" w:lineRule="auto"/>
        <w:jc w:val="left"/>
      </w:pPr>
      <w:r>
        <w:rPr>
          <w:rFonts w:ascii="Times New Roman" w:hAnsi="Times New Roman"/>
          <w:b w:val="0"/>
          <w:i w:val="0"/>
          <w:sz w:val="22"/>
        </w:rPr>
        <w:t>5. Shortest Attack Path &amp; Choke Point Evaluation: Dijkstra's algorithm computes the highest-probability attack trajectory to designated Crown Jewels, while Betweenness Centrality identifies the minimal-cut cut-vertex.</w:t>
      </w:r>
    </w:p>
    <w:p>
      <w:pPr>
        <w:spacing w:before="0" w:after="120" w:line="276" w:lineRule="auto"/>
        <w:jc w:val="left"/>
      </w:pPr>
      <w:r>
        <w:rPr>
          <w:rFonts w:ascii="Times New Roman" w:hAnsi="Times New Roman"/>
          <w:b w:val="0"/>
          <w:i w:val="0"/>
          <w:sz w:val="22"/>
        </w:rPr>
        <w:t>6. Live Telemetry &amp; EDR Alert Recalibration: When an external EDR alert webhook fires (e.g. credential dumping), edge friction on the breached asset drops to near-zero (W -&gt; 1.01), instantly pulling the critical path through the compromised host and broadcasting updates via Server-Sent Events (SSE).</w:t>
      </w:r>
    </w:p>
    <w:p>
      <w:pPr>
        <w:spacing w:before="0" w:after="120" w:line="276" w:lineRule="auto"/>
        <w:jc w:val="left"/>
      </w:pPr>
      <w:r>
        <w:rPr>
          <w:rFonts w:ascii="Times New Roman" w:hAnsi="Times New Roman"/>
          <w:b w:val="0"/>
          <w:i w:val="0"/>
          <w:sz w:val="22"/>
        </w:rPr>
        <w:t>7. What-If Remediation Simulation: The operator simulates severing the identified choke point; the engine clones the graph in memory, recalculates all shortest paths, and returns the exact percentage risk reduction.</w:t>
      </w:r>
    </w:p>
    <w:p>
      <w:pPr>
        <w:keepNext/>
        <w:spacing w:before="280" w:after="80"/>
      </w:pPr>
      <w:r>
        <w:rPr>
          <w:rFonts w:ascii="Times New Roman" w:hAnsi="Times New Roman"/>
          <w:b/>
          <w:i w:val="0"/>
          <w:sz w:val="26"/>
        </w:rPr>
        <w:t>6. Scope</w:t>
      </w:r>
    </w:p>
    <w:p>
      <w:pPr>
        <w:spacing w:before="0" w:after="120" w:line="276" w:lineRule="auto"/>
        <w:jc w:val="left"/>
      </w:pPr>
      <w:r>
        <w:rPr>
          <w:rFonts w:ascii="Times New Roman" w:hAnsi="Times New Roman"/>
          <w:b w:val="0"/>
          <w:i w:val="0"/>
          <w:sz w:val="22"/>
        </w:rPr>
        <w:t>The planned academic project scope includes:</w:t>
      </w:r>
    </w:p>
    <w:p>
      <w:pPr>
        <w:spacing w:before="0" w:after="120" w:line="276" w:lineRule="auto"/>
        <w:jc w:val="left"/>
      </w:pPr>
      <w:r>
        <w:rPr>
          <w:rFonts w:ascii="Times New Roman" w:hAnsi="Times New Roman"/>
          <w:b w:val="0"/>
          <w:i w:val="0"/>
          <w:sz w:val="22"/>
        </w:rPr>
        <w:t>• Live read-only AWS cartography via Boto3 (EC2 instances, Security Groups, IAM Roles, S3 buckets, and RDS instances).</w:t>
      </w:r>
    </w:p>
    <w:p>
      <w:pPr>
        <w:spacing w:before="0" w:after="120" w:line="276" w:lineRule="auto"/>
        <w:jc w:val="left"/>
      </w:pPr>
      <w:r>
        <w:rPr>
          <w:rFonts w:ascii="Times New Roman" w:hAnsi="Times New Roman"/>
          <w:b w:val="0"/>
          <w:i w:val="0"/>
          <w:sz w:val="22"/>
        </w:rPr>
        <w:t>• BloodHound CE / SharpHound v4+ Active Directory parser supporting domain trusts, nested groups, and polymorphic session structures.</w:t>
      </w:r>
    </w:p>
    <w:p>
      <w:pPr>
        <w:spacing w:before="0" w:after="120" w:line="276" w:lineRule="auto"/>
        <w:jc w:val="left"/>
      </w:pPr>
      <w:r>
        <w:rPr>
          <w:rFonts w:ascii="Times New Roman" w:hAnsi="Times New Roman"/>
          <w:b w:val="0"/>
          <w:i w:val="0"/>
          <w:sz w:val="22"/>
        </w:rPr>
        <w:t>• Real-time CTI client integrating FIRST.org EPSS and CISA KEV catalogs with local JSON disk caching.</w:t>
      </w:r>
    </w:p>
    <w:p>
      <w:pPr>
        <w:spacing w:before="0" w:after="120" w:line="276" w:lineRule="auto"/>
        <w:jc w:val="left"/>
      </w:pPr>
      <w:r>
        <w:rPr>
          <w:rFonts w:ascii="Times New Roman" w:hAnsi="Times New Roman"/>
          <w:b w:val="0"/>
          <w:i w:val="0"/>
          <w:sz w:val="22"/>
        </w:rPr>
        <w:t>• Dynamic Dijkstra shortest pathfinding and Betweenness Centrality choke point discovery.</w:t>
      </w:r>
    </w:p>
    <w:p>
      <w:pPr>
        <w:spacing w:before="0" w:after="120" w:line="276" w:lineRule="auto"/>
        <w:jc w:val="left"/>
      </w:pPr>
      <w:r>
        <w:rPr>
          <w:rFonts w:ascii="Times New Roman" w:hAnsi="Times New Roman"/>
          <w:b w:val="0"/>
          <w:i w:val="0"/>
          <w:sz w:val="22"/>
        </w:rPr>
        <w:t>• Non-blocking asynchronous batch database synchronization to Memgraph MAGE (C++ in-memory graph store).</w:t>
      </w:r>
    </w:p>
    <w:p>
      <w:pPr>
        <w:spacing w:before="0" w:after="120" w:line="276" w:lineRule="auto"/>
        <w:jc w:val="left"/>
      </w:pPr>
      <w:r>
        <w:rPr>
          <w:rFonts w:ascii="Times New Roman" w:hAnsi="Times New Roman"/>
          <w:b w:val="0"/>
          <w:i w:val="0"/>
          <w:sz w:val="22"/>
        </w:rPr>
        <w:t>• High-performance web presentation console built with Cytoscape.js, Dagre layout engine, sub-graph projection, and Sonner-style in-app notification toasts.</w:t>
      </w:r>
    </w:p>
    <w:p>
      <w:pPr>
        <w:spacing w:before="0" w:after="120" w:line="276" w:lineRule="auto"/>
        <w:jc w:val="left"/>
      </w:pPr>
      <w:r>
        <w:rPr>
          <w:rFonts w:ascii="Times New Roman" w:hAnsi="Times New Roman"/>
          <w:b w:val="0"/>
          <w:i w:val="0"/>
          <w:sz w:val="22"/>
        </w:rPr>
        <w:t>Future enhancements (beyond initial scope) include Graph Neural Network (GNN) predictive modeling for zero-day paths, automated Terraform Infrastructure-as-Code pull request generation, and Azure / GCP multi-cloud identity federations.</w:t>
      </w:r>
    </w:p>
    <w:p>
      <w:pPr>
        <w:keepNext/>
        <w:spacing w:before="280" w:after="80"/>
      </w:pPr>
      <w:r>
        <w:rPr>
          <w:rFonts w:ascii="Times New Roman" w:hAnsi="Times New Roman"/>
          <w:b/>
          <w:i w:val="0"/>
          <w:sz w:val="26"/>
        </w:rPr>
        <w:t>7. Requirements</w:t>
      </w:r>
    </w:p>
    <w:p>
      <w:pPr>
        <w:keepNext/>
        <w:spacing w:before="200" w:after="60"/>
      </w:pPr>
      <w:r>
        <w:rPr>
          <w:rFonts w:ascii="Times New Roman" w:hAnsi="Times New Roman"/>
          <w:b/>
          <w:i w:val="0"/>
          <w:sz w:val="24"/>
        </w:rPr>
        <w:t>7.1 Functional Requirements</w:t>
      </w:r>
    </w:p>
    <w:p>
      <w:pPr>
        <w:spacing w:before="0" w:after="120" w:line="276" w:lineRule="auto"/>
        <w:jc w:val="left"/>
      </w:pPr>
      <w:r>
        <w:rPr>
          <w:rFonts w:ascii="Times New Roman" w:hAnsi="Times New Roman"/>
          <w:b w:val="0"/>
          <w:i w:val="0"/>
          <w:sz w:val="22"/>
        </w:rPr>
        <w:t>• FR-1: Multi-Cloud Cartography — Automated AWS resource discovery and relationship mapping via read-only Boto3 sessions.</w:t>
      </w:r>
    </w:p>
    <w:p>
      <w:pPr>
        <w:spacing w:before="0" w:after="120" w:line="276" w:lineRule="auto"/>
        <w:jc w:val="left"/>
      </w:pPr>
      <w:r>
        <w:rPr>
          <w:rFonts w:ascii="Times New Roman" w:hAnsi="Times New Roman"/>
          <w:b w:val="0"/>
          <w:i w:val="0"/>
          <w:sz w:val="22"/>
        </w:rPr>
        <w:t>• FR-2: Active Directory Parsing — BloodHound CE collection ingestion supporting polymorphic session structures and nested ACE rights.</w:t>
      </w:r>
    </w:p>
    <w:p>
      <w:pPr>
        <w:spacing w:before="0" w:after="120" w:line="276" w:lineRule="auto"/>
        <w:jc w:val="left"/>
      </w:pPr>
      <w:r>
        <w:rPr>
          <w:rFonts w:ascii="Times New Roman" w:hAnsi="Times New Roman"/>
          <w:b w:val="0"/>
          <w:i w:val="0"/>
          <w:sz w:val="22"/>
        </w:rPr>
        <w:t>• FR-3: Vulnerability Enrichment — Automatic association of CVEs with live FIRST.org EPSS probabilities and CISA KEV status.</w:t>
      </w:r>
    </w:p>
    <w:p>
      <w:pPr>
        <w:spacing w:before="0" w:after="120" w:line="276" w:lineRule="auto"/>
        <w:jc w:val="left"/>
      </w:pPr>
      <w:r>
        <w:rPr>
          <w:rFonts w:ascii="Times New Roman" w:hAnsi="Times New Roman"/>
          <w:b w:val="0"/>
          <w:i w:val="0"/>
          <w:sz w:val="22"/>
        </w:rPr>
        <w:t>• FR-4: Least-Resistance Pathfinding — Dynamic Dijkstra shortest path computation reporting cumulative breach probabilities and hop counts.</w:t>
      </w:r>
    </w:p>
    <w:p>
      <w:pPr>
        <w:spacing w:before="0" w:after="120" w:line="276" w:lineRule="auto"/>
        <w:jc w:val="left"/>
      </w:pPr>
      <w:r>
        <w:rPr>
          <w:rFonts w:ascii="Times New Roman" w:hAnsi="Times New Roman"/>
          <w:b w:val="0"/>
          <w:i w:val="0"/>
          <w:sz w:val="22"/>
        </w:rPr>
        <w:t>• FR-5: Choke Point Discovery — Betweenness Centrality ranking of cut-vertices on active attack subgraphs.</w:t>
      </w:r>
    </w:p>
    <w:p>
      <w:pPr>
        <w:spacing w:before="0" w:after="120" w:line="276" w:lineRule="auto"/>
        <w:jc w:val="left"/>
      </w:pPr>
      <w:r>
        <w:rPr>
          <w:rFonts w:ascii="Times New Roman" w:hAnsi="Times New Roman"/>
          <w:b w:val="0"/>
          <w:i w:val="0"/>
          <w:sz w:val="22"/>
        </w:rPr>
        <w:t>• FR-6: What-If Remediation Simulation — Non-destructive in-memory graph cloning to calculate exact risk-reduction metrics.</w:t>
      </w:r>
    </w:p>
    <w:p>
      <w:pPr>
        <w:spacing w:before="0" w:after="120" w:line="276" w:lineRule="auto"/>
        <w:jc w:val="left"/>
      </w:pPr>
      <w:r>
        <w:rPr>
          <w:rFonts w:ascii="Times New Roman" w:hAnsi="Times New Roman"/>
          <w:b w:val="0"/>
          <w:i w:val="0"/>
          <w:sz w:val="22"/>
        </w:rPr>
        <w:t>• FR-7: Real-Time Event Streaming — Server-Sent Events (SSE) broadcasting graph mutations and EDR alerts to browsers.</w:t>
      </w:r>
    </w:p>
    <w:p>
      <w:pPr>
        <w:spacing w:before="0" w:after="120" w:line="276" w:lineRule="auto"/>
        <w:jc w:val="left"/>
      </w:pPr>
      <w:r>
        <w:rPr>
          <w:rFonts w:ascii="Times New Roman" w:hAnsi="Times New Roman"/>
          <w:b w:val="0"/>
          <w:i w:val="0"/>
          <w:sz w:val="22"/>
        </w:rPr>
        <w:t>• FR-8: Dynamic Crown Jewel Designation — Interactive UI toggling of Tier-0 status on any selected node.</w:t>
      </w:r>
    </w:p>
    <w:p>
      <w:pPr>
        <w:keepNext/>
        <w:spacing w:before="200" w:after="60"/>
      </w:pPr>
      <w:r>
        <w:rPr>
          <w:rFonts w:ascii="Times New Roman" w:hAnsi="Times New Roman"/>
          <w:b/>
          <w:i w:val="0"/>
          <w:sz w:val="24"/>
        </w:rPr>
        <w:t>7.2 Non-Functional Requirements</w:t>
      </w:r>
    </w:p>
    <w:p>
      <w:pPr>
        <w:spacing w:before="0" w:after="120" w:line="276" w:lineRule="auto"/>
        <w:jc w:val="left"/>
      </w:pPr>
      <w:r>
        <w:rPr>
          <w:rFonts w:ascii="Times New Roman" w:hAnsi="Times New Roman"/>
          <w:b w:val="0"/>
          <w:i w:val="0"/>
          <w:sz w:val="22"/>
        </w:rPr>
        <w:t>• Performance: REST API endpoints must respond in under 100 milliseconds; web canvas must sustain 60 FPS rendering under viewport drag operations.</w:t>
      </w:r>
    </w:p>
    <w:p>
      <w:pPr>
        <w:spacing w:before="0" w:after="120" w:line="276" w:lineRule="auto"/>
        <w:jc w:val="left"/>
      </w:pPr>
      <w:r>
        <w:rPr>
          <w:rFonts w:ascii="Times New Roman" w:hAnsi="Times New Roman"/>
          <w:b w:val="0"/>
          <w:i w:val="0"/>
          <w:sz w:val="22"/>
        </w:rPr>
        <w:t>• Security: Multi-cloud discovery operates exclusively with read-only permissions; zero mock data or synthetic identities in production baselines.</w:t>
      </w:r>
    </w:p>
    <w:p>
      <w:pPr>
        <w:spacing w:before="0" w:after="120" w:line="276" w:lineRule="auto"/>
        <w:jc w:val="left"/>
      </w:pPr>
      <w:r>
        <w:rPr>
          <w:rFonts w:ascii="Times New Roman" w:hAnsi="Times New Roman"/>
          <w:b w:val="0"/>
          <w:i w:val="0"/>
          <w:sz w:val="22"/>
        </w:rPr>
        <w:t>• Scalability: Asynchronous batch database synchronization prevents thread blocking when synchronizing thousands of vectors to Memgraph MAGE.</w:t>
      </w:r>
    </w:p>
    <w:p>
      <w:pPr>
        <w:spacing w:before="0" w:after="120" w:line="276" w:lineRule="auto"/>
        <w:jc w:val="left"/>
      </w:pPr>
      <w:r>
        <w:rPr>
          <w:rFonts w:ascii="Times New Roman" w:hAnsi="Times New Roman"/>
          <w:b w:val="0"/>
          <w:i w:val="0"/>
          <w:sz w:val="22"/>
        </w:rPr>
        <w:t>• Reliability: Defensive JSON unpacking gracefully handles schema drift; local CTI disk caching guarantees determinism during external API downtime.</w:t>
      </w:r>
    </w:p>
    <w:p>
      <w:pPr>
        <w:spacing w:before="0" w:after="120" w:line="276" w:lineRule="auto"/>
        <w:jc w:val="left"/>
      </w:pPr>
      <w:r>
        <w:rPr>
          <w:rFonts w:ascii="Times New Roman" w:hAnsi="Times New Roman"/>
          <w:b w:val="0"/>
          <w:i w:val="0"/>
          <w:sz w:val="22"/>
        </w:rPr>
        <w:t>• Usability: Non-blocking in-app toasts replace native browser dialogs; typography uses Inter and JetBrains Mono for optimal telemetry scanability.</w:t>
      </w:r>
    </w:p>
    <w:p>
      <w:pPr>
        <w:keepNext/>
        <w:spacing w:before="280" w:after="80"/>
      </w:pPr>
      <w:r>
        <w:rPr>
          <w:rFonts w:ascii="Times New Roman" w:hAnsi="Times New Roman"/>
          <w:b/>
          <w:i w:val="0"/>
          <w:sz w:val="26"/>
        </w:rPr>
        <w:t>8. Methodology and Design</w:t>
      </w:r>
    </w:p>
    <w:p>
      <w:pPr>
        <w:spacing w:before="0" w:after="120" w:line="276" w:lineRule="auto"/>
        <w:jc w:val="left"/>
      </w:pPr>
      <w:r>
        <w:rPr>
          <w:rFonts w:ascii="Times New Roman" w:hAnsi="Times New Roman"/>
          <w:b w:val="0"/>
          <w:i w:val="0"/>
          <w:sz w:val="22"/>
        </w:rPr>
        <w:t>The project follows a rigorous software engineering methodology combining Agile iterative development, Clean Architecture principles, and formal Graph Theory. System components are partitioned into three decoupled architectural tiers:</w:t>
      </w:r>
    </w:p>
    <w:p>
      <w:pPr>
        <w:spacing w:before="0" w:after="120" w:line="276" w:lineRule="auto"/>
        <w:jc w:val="left"/>
      </w:pPr>
      <w:r>
        <w:rPr>
          <w:rFonts w:ascii="Times New Roman" w:hAnsi="Times New Roman"/>
          <w:b w:val="0"/>
          <w:i w:val="0"/>
          <w:sz w:val="22"/>
        </w:rPr>
        <w:t>1. Presentation Layer: Cytoscape.js hardware-accelerated canvas, Telemetry HUD, Ingestion Hub modal, and Sonner-style in-app toast stack.</w:t>
      </w:r>
    </w:p>
    <w:p>
      <w:pPr>
        <w:spacing w:before="0" w:after="120" w:line="276" w:lineRule="auto"/>
        <w:jc w:val="left"/>
      </w:pPr>
      <w:r>
        <w:rPr>
          <w:rFonts w:ascii="Times New Roman" w:hAnsi="Times New Roman"/>
          <w:b w:val="0"/>
          <w:i w:val="0"/>
          <w:sz w:val="22"/>
        </w:rPr>
        <w:t>2. Reasoning &amp; API Layer: Flask REST API, SSE broadcaster, NetworkX directed graph engine, and CTI client.</w:t>
      </w:r>
    </w:p>
    <w:p>
      <w:pPr>
        <w:spacing w:before="0" w:after="120" w:line="276" w:lineRule="auto"/>
        <w:jc w:val="left"/>
      </w:pPr>
      <w:r>
        <w:rPr>
          <w:rFonts w:ascii="Times New Roman" w:hAnsi="Times New Roman"/>
          <w:b w:val="0"/>
          <w:i w:val="0"/>
          <w:sz w:val="22"/>
        </w:rPr>
        <w:t>3. Persistence &amp; Streaming Layer: Memgraph MAGE (in-memory C++ graph database on Bolt port 7687) and Redpanda (Kafka-compatible event broker on port 19092).</w:t>
      </w:r>
    </w:p>
    <w:p>
      <w:pPr>
        <w:spacing w:before="0" w:after="120" w:line="276" w:lineRule="auto"/>
        <w:jc w:val="left"/>
      </w:pPr>
      <w:r>
        <w:rPr>
          <w:rFonts w:ascii="Times New Roman" w:hAnsi="Times New Roman"/>
          <w:b w:val="0"/>
          <w:i w:val="0"/>
          <w:sz w:val="22"/>
        </w:rPr>
        <w:t>Mathematical Formulation:</w:t>
      </w:r>
    </w:p>
    <w:p>
      <w:pPr>
        <w:spacing w:before="0" w:after="120" w:line="276" w:lineRule="auto"/>
        <w:jc w:val="left"/>
      </w:pPr>
      <w:r>
        <w:rPr>
          <w:rFonts w:ascii="Times New Roman" w:hAnsi="Times New Roman"/>
          <w:b w:val="0"/>
          <w:i w:val="0"/>
          <w:sz w:val="22"/>
        </w:rPr>
        <w:t>• Edge Weight (Resistance): W(u, v) = 1.0 / Traversability(u, v), where Traversability = Base × EPSS × KEV_Multiplier.</w:t>
      </w:r>
    </w:p>
    <w:p>
      <w:pPr>
        <w:spacing w:before="0" w:after="120" w:line="276" w:lineRule="auto"/>
        <w:jc w:val="left"/>
      </w:pPr>
      <w:r>
        <w:rPr>
          <w:rFonts w:ascii="Times New Roman" w:hAnsi="Times New Roman"/>
          <w:b w:val="0"/>
          <w:i w:val="0"/>
          <w:sz w:val="22"/>
        </w:rPr>
        <w:t>• Cumulative Breach Probability: P_breach = Product of Traversability(e_i) for all edges across the path.</w:t>
      </w:r>
    </w:p>
    <w:p>
      <w:pPr>
        <w:spacing w:before="0" w:after="120" w:line="276" w:lineRule="auto"/>
        <w:jc w:val="left"/>
      </w:pPr>
      <w:r>
        <w:rPr>
          <w:rFonts w:ascii="Times New Roman" w:hAnsi="Times New Roman"/>
          <w:b w:val="0"/>
          <w:i w:val="0"/>
          <w:sz w:val="22"/>
        </w:rPr>
        <w:t>• Betweenness Centrality: C_B(v) = Sum(sigma_st(v) / sigma_st), identifying assets that participate in the greatest volume of shortest breach paths.</w:t>
      </w:r>
    </w:p>
    <w:p>
      <w:pPr>
        <w:keepNext/>
        <w:spacing w:before="280" w:after="80"/>
      </w:pPr>
      <w:r>
        <w:rPr>
          <w:rFonts w:ascii="Times New Roman" w:hAnsi="Times New Roman"/>
          <w:b/>
          <w:i w:val="0"/>
          <w:sz w:val="26"/>
        </w:rPr>
        <w:t>9. Database Entities &amp; Graph Schema</w:t>
      </w:r>
    </w:p>
    <w:p>
      <w:pPr>
        <w:spacing w:before="0" w:after="120" w:line="276" w:lineRule="auto"/>
        <w:jc w:val="left"/>
      </w:pPr>
      <w:r>
        <w:rPr>
          <w:rFonts w:ascii="Times New Roman" w:hAnsi="Times New Roman"/>
          <w:b w:val="0"/>
          <w:i w:val="0"/>
          <w:sz w:val="22"/>
        </w:rPr>
        <w:t>The graph schema represents diverse hybrid cloud and on-premises directory infrastructure:</w:t>
      </w:r>
    </w:p>
    <w:tbl>
      <w:tblPr>
        <w:tblW w:type="auto" w:w="0"/>
        <w:jc w:val="center"/>
        <w:tblLayout w:type="fixed"/>
        <w:tblLook w:firstColumn="1" w:firstRow="1" w:lastColumn="0" w:lastRow="0" w:noHBand="0" w:noVBand="1" w:val="04A0"/>
      </w:tblPr>
      <w:tblGrid>
        <w:gridCol w:w="4320"/>
        <w:gridCol w:w="4320"/>
      </w:tblGrid>
      <w:tr>
        <w:tc>
          <w:tcPr>
            <w:tcW w:type="dxa" w:w="4320"/>
            <w:shd w:fill="E2E8F0"/>
            <w:tcMar>
              <w:top w:w="120" w:type="dxa"/>
              <w:bottom w:w="120" w:type="dxa"/>
              <w:left w:w="150" w:type="dxa"/>
              <w:right w:w="150" w:type="dxa"/>
            </w:tcMar>
          </w:tcPr>
          <w:p>
            <w:r>
              <w:rPr>
                <w:rFonts w:ascii="Times New Roman" w:hAnsi="Times New Roman"/>
                <w:b/>
                <w:i w:val="0"/>
                <w:sz w:val="20"/>
              </w:rPr>
              <w:t>Entity / Label</w:t>
            </w:r>
          </w:p>
        </w:tc>
        <w:tc>
          <w:tcPr>
            <w:tcW w:type="dxa" w:w="4320"/>
            <w:shd w:fill="E2E8F0"/>
            <w:tcMar>
              <w:top w:w="120" w:type="dxa"/>
              <w:bottom w:w="120" w:type="dxa"/>
              <w:left w:w="150" w:type="dxa"/>
              <w:right w:w="150" w:type="dxa"/>
            </w:tcMar>
          </w:tcPr>
          <w:p>
            <w:r>
              <w:rPr>
                <w:rFonts w:ascii="Times New Roman" w:hAnsi="Times New Roman"/>
                <w:b/>
                <w:i w:val="0"/>
                <w:sz w:val="20"/>
              </w:rPr>
              <w:t>Key Attributes &amp; Relationships</w:t>
            </w:r>
          </w:p>
        </w:tc>
      </w:tr>
      <w:tr>
        <w:tc>
          <w:tcPr>
            <w:tcW w:type="dxa" w:w="4320"/>
            <w:tcMar>
              <w:top w:w="80" w:type="dxa"/>
              <w:bottom w:w="80" w:type="dxa"/>
              <w:left w:w="150" w:type="dxa"/>
              <w:right w:w="150" w:type="dxa"/>
            </w:tcMar>
          </w:tcPr>
          <w:p>
            <w:r>
              <w:rPr>
                <w:rFonts w:ascii="Times New Roman" w:hAnsi="Times New Roman"/>
                <w:b/>
                <w:i w:val="0"/>
                <w:sz w:val="19"/>
              </w:rPr>
              <w:t>Perimeter</w:t>
            </w:r>
          </w:p>
        </w:tc>
        <w:tc>
          <w:tcPr>
            <w:tcW w:type="dxa" w:w="4320"/>
            <w:tcMar>
              <w:top w:w="80" w:type="dxa"/>
              <w:bottom w:w="80" w:type="dxa"/>
              <w:left w:w="150" w:type="dxa"/>
              <w:right w:w="150" w:type="dxa"/>
            </w:tcMar>
          </w:tcPr>
          <w:p>
            <w:r>
              <w:rPr>
                <w:rFonts w:ascii="Times New Roman" w:hAnsi="Times New Roman"/>
                <w:b w:val="0"/>
                <w:i w:val="0"/>
                <w:sz w:val="19"/>
              </w:rPr>
              <w:t>Node ID ('internet'), label, is_entry_point (boolean). Vector: EXPOSES.</w:t>
            </w:r>
          </w:p>
        </w:tc>
      </w:tr>
      <w:tr>
        <w:tc>
          <w:tcPr>
            <w:tcW w:type="dxa" w:w="4320"/>
            <w:tcMar>
              <w:top w:w="80" w:type="dxa"/>
              <w:bottom w:w="80" w:type="dxa"/>
              <w:left w:w="150" w:type="dxa"/>
              <w:right w:w="150" w:type="dxa"/>
            </w:tcMar>
          </w:tcPr>
          <w:p>
            <w:r>
              <w:rPr>
                <w:rFonts w:ascii="Times New Roman" w:hAnsi="Times New Roman"/>
                <w:b/>
                <w:i w:val="0"/>
                <w:sz w:val="19"/>
              </w:rPr>
              <w:t>Host / Compute</w:t>
            </w:r>
          </w:p>
        </w:tc>
        <w:tc>
          <w:tcPr>
            <w:tcW w:type="dxa" w:w="4320"/>
            <w:tcMar>
              <w:top w:w="80" w:type="dxa"/>
              <w:bottom w:w="80" w:type="dxa"/>
              <w:left w:w="150" w:type="dxa"/>
              <w:right w:w="150" w:type="dxa"/>
            </w:tcMar>
          </w:tcPr>
          <w:p>
            <w:r>
              <w:rPr>
                <w:rFonts w:ascii="Times New Roman" w:hAnsi="Times New Roman"/>
                <w:b w:val="0"/>
                <w:i w:val="0"/>
                <w:sz w:val="19"/>
              </w:rPr>
              <w:t>Node ID (Instance ID / Hostname), label, type ('Host'), IP address, OS, domain. Vectors: PROTECTED_BY, ASSUMES_ROLE, HAS_VULNERABILITY.</w:t>
            </w:r>
          </w:p>
        </w:tc>
      </w:tr>
      <w:tr>
        <w:tc>
          <w:tcPr>
            <w:tcW w:type="dxa" w:w="4320"/>
            <w:tcMar>
              <w:top w:w="80" w:type="dxa"/>
              <w:bottom w:w="80" w:type="dxa"/>
              <w:left w:w="150" w:type="dxa"/>
              <w:right w:w="150" w:type="dxa"/>
            </w:tcMar>
          </w:tcPr>
          <w:p>
            <w:r>
              <w:rPr>
                <w:rFonts w:ascii="Times New Roman" w:hAnsi="Times New Roman"/>
                <w:b/>
                <w:i w:val="0"/>
                <w:sz w:val="19"/>
              </w:rPr>
              <w:t>Security Group</w:t>
            </w:r>
          </w:p>
        </w:tc>
        <w:tc>
          <w:tcPr>
            <w:tcW w:type="dxa" w:w="4320"/>
            <w:tcMar>
              <w:top w:w="80" w:type="dxa"/>
              <w:bottom w:w="80" w:type="dxa"/>
              <w:left w:w="150" w:type="dxa"/>
              <w:right w:w="150" w:type="dxa"/>
            </w:tcMar>
          </w:tcPr>
          <w:p>
            <w:r>
              <w:rPr>
                <w:rFonts w:ascii="Times New Roman" w:hAnsi="Times New Roman"/>
                <w:b w:val="0"/>
                <w:i w:val="0"/>
                <w:sz w:val="19"/>
              </w:rPr>
              <w:t>Node ID ('sg-xxxx'), label, inbound_rules (ports, CIDR), vpc_id. Vectors: ATTACHED_TO, ALLOWS_PORT.</w:t>
            </w:r>
          </w:p>
        </w:tc>
      </w:tr>
      <w:tr>
        <w:tc>
          <w:tcPr>
            <w:tcW w:type="dxa" w:w="4320"/>
            <w:tcMar>
              <w:top w:w="80" w:type="dxa"/>
              <w:bottom w:w="80" w:type="dxa"/>
              <w:left w:w="150" w:type="dxa"/>
              <w:right w:w="150" w:type="dxa"/>
            </w:tcMar>
          </w:tcPr>
          <w:p>
            <w:r>
              <w:rPr>
                <w:rFonts w:ascii="Times New Roman" w:hAnsi="Times New Roman"/>
                <w:b/>
                <w:i w:val="0"/>
                <w:sz w:val="19"/>
              </w:rPr>
              <w:t>IAM Role / Identity</w:t>
            </w:r>
          </w:p>
        </w:tc>
        <w:tc>
          <w:tcPr>
            <w:tcW w:type="dxa" w:w="4320"/>
            <w:tcMar>
              <w:top w:w="80" w:type="dxa"/>
              <w:bottom w:w="80" w:type="dxa"/>
              <w:left w:w="150" w:type="dxa"/>
              <w:right w:w="150" w:type="dxa"/>
            </w:tcMar>
          </w:tcPr>
          <w:p>
            <w:r>
              <w:rPr>
                <w:rFonts w:ascii="Times New Roman" w:hAnsi="Times New Roman"/>
                <w:b w:val="0"/>
                <w:i w:val="0"/>
                <w:sz w:val="19"/>
              </w:rPr>
              <w:t>Node ID (ARN), label, policy_type ('Admin'/'ReadOnly'), trust_policy. Vectors: ASSUMES_ROLE, HAS_ACCESS.</w:t>
            </w:r>
          </w:p>
        </w:tc>
      </w:tr>
      <w:tr>
        <w:tc>
          <w:tcPr>
            <w:tcW w:type="dxa" w:w="4320"/>
            <w:tcMar>
              <w:top w:w="80" w:type="dxa"/>
              <w:bottom w:w="80" w:type="dxa"/>
              <w:left w:w="150" w:type="dxa"/>
              <w:right w:w="150" w:type="dxa"/>
            </w:tcMar>
          </w:tcPr>
          <w:p>
            <w:r>
              <w:rPr>
                <w:rFonts w:ascii="Times New Roman" w:hAnsi="Times New Roman"/>
                <w:b/>
                <w:i w:val="0"/>
                <w:sz w:val="19"/>
              </w:rPr>
              <w:t>Active Directory Identity</w:t>
            </w:r>
          </w:p>
        </w:tc>
        <w:tc>
          <w:tcPr>
            <w:tcW w:type="dxa" w:w="4320"/>
            <w:tcMar>
              <w:top w:w="80" w:type="dxa"/>
              <w:bottom w:w="80" w:type="dxa"/>
              <w:left w:w="150" w:type="dxa"/>
              <w:right w:w="150" w:type="dxa"/>
            </w:tcMar>
          </w:tcPr>
          <w:p>
            <w:r>
              <w:rPr>
                <w:rFonts w:ascii="Times New Roman" w:hAnsi="Times New Roman"/>
                <w:b w:val="0"/>
                <w:i w:val="0"/>
                <w:sz w:val="19"/>
              </w:rPr>
              <w:t>Node ID (Object SID), label, type ('User'/'Group'/'Computer'), domain, is_admin. Vectors: MEMBER_OF, GENERIC_ALL, WRITE_DACL, DCSYNC, ADMIN_TO, HAS_SESSION.</w:t>
            </w:r>
          </w:p>
        </w:tc>
      </w:tr>
      <w:tr>
        <w:tc>
          <w:tcPr>
            <w:tcW w:type="dxa" w:w="4320"/>
            <w:tcMar>
              <w:top w:w="80" w:type="dxa"/>
              <w:bottom w:w="80" w:type="dxa"/>
              <w:left w:w="150" w:type="dxa"/>
              <w:right w:w="150" w:type="dxa"/>
            </w:tcMar>
          </w:tcPr>
          <w:p>
            <w:r>
              <w:rPr>
                <w:rFonts w:ascii="Times New Roman" w:hAnsi="Times New Roman"/>
                <w:b/>
                <w:i w:val="0"/>
                <w:sz w:val="19"/>
              </w:rPr>
              <w:t>Vulnerability (CVE)</w:t>
            </w:r>
          </w:p>
        </w:tc>
        <w:tc>
          <w:tcPr>
            <w:tcW w:type="dxa" w:w="4320"/>
            <w:tcMar>
              <w:top w:w="80" w:type="dxa"/>
              <w:bottom w:w="80" w:type="dxa"/>
              <w:left w:w="150" w:type="dxa"/>
              <w:right w:w="150" w:type="dxa"/>
            </w:tcMar>
          </w:tcPr>
          <w:p>
            <w:r>
              <w:rPr>
                <w:rFonts w:ascii="Times New Roman" w:hAnsi="Times New Roman"/>
                <w:b w:val="0"/>
                <w:i w:val="0"/>
                <w:sz w:val="19"/>
              </w:rPr>
              <w:t>Node ID ('CVE-YYYY-XXXXX'), CVSS score, EPSS probability, in_cisa_kev (boolean). Vectors: HAS_VULNERABILITY, EXPLOITED_BY.</w:t>
            </w:r>
          </w:p>
        </w:tc>
      </w:tr>
      <w:tr>
        <w:tc>
          <w:tcPr>
            <w:tcW w:type="dxa" w:w="4320"/>
            <w:tcMar>
              <w:top w:w="80" w:type="dxa"/>
              <w:bottom w:w="80" w:type="dxa"/>
              <w:left w:w="150" w:type="dxa"/>
              <w:right w:w="150" w:type="dxa"/>
            </w:tcMar>
          </w:tcPr>
          <w:p>
            <w:r>
              <w:rPr>
                <w:rFonts w:ascii="Times New Roman" w:hAnsi="Times New Roman"/>
                <w:b/>
                <w:i w:val="0"/>
                <w:sz w:val="19"/>
              </w:rPr>
              <w:t>Crown Jewel (Tier-0)</w:t>
            </w:r>
          </w:p>
        </w:tc>
        <w:tc>
          <w:tcPr>
            <w:tcW w:type="dxa" w:w="4320"/>
            <w:tcMar>
              <w:top w:w="80" w:type="dxa"/>
              <w:bottom w:w="80" w:type="dxa"/>
              <w:left w:w="150" w:type="dxa"/>
              <w:right w:w="150" w:type="dxa"/>
            </w:tcMar>
          </w:tcPr>
          <w:p>
            <w:r>
              <w:rPr>
                <w:rFonts w:ascii="Times New Roman" w:hAnsi="Times New Roman"/>
                <w:b w:val="0"/>
                <w:i w:val="0"/>
                <w:sz w:val="19"/>
              </w:rPr>
              <w:t>Node ID, label, tier ('Tier-0'), is_crown_jewel (boolean). Target node for Dijkstra shortest path calculation.</w:t>
            </w:r>
          </w:p>
        </w:tc>
      </w:tr>
    </w:tbl>
    <w:p>
      <w:pPr>
        <w:spacing w:before="80" w:after="80" w:line="276" w:lineRule="auto"/>
        <w:jc w:val="left"/>
      </w:pPr>
    </w:p>
    <w:p>
      <w:pPr>
        <w:keepNext/>
        <w:spacing w:before="280" w:after="80"/>
      </w:pPr>
      <w:r>
        <w:rPr>
          <w:rFonts w:ascii="Times New Roman" w:hAnsi="Times New Roman"/>
          <w:b/>
          <w:i w:val="0"/>
          <w:sz w:val="26"/>
        </w:rPr>
        <w:t>10. Testing Plan</w:t>
      </w:r>
    </w:p>
    <w:p>
      <w:pPr>
        <w:spacing w:before="0" w:after="120" w:line="276" w:lineRule="auto"/>
        <w:jc w:val="left"/>
      </w:pPr>
      <w:r>
        <w:rPr>
          <w:rFonts w:ascii="Times New Roman" w:hAnsi="Times New Roman"/>
          <w:b w:val="0"/>
          <w:i w:val="0"/>
          <w:sz w:val="22"/>
        </w:rPr>
        <w:t>The testing strategy validates algorithmic accuracy, defensive schema resilience, and UI performance against verified enterprise datasets:</w:t>
      </w:r>
    </w:p>
    <w:tbl>
      <w:tblPr>
        <w:tblW w:type="auto" w:w="0"/>
        <w:jc w:val="center"/>
        <w:tblLayout w:type="fixed"/>
        <w:tblLook w:firstColumn="1" w:firstRow="1" w:lastColumn="0" w:lastRow="0" w:noHBand="0" w:noVBand="1" w:val="04A0"/>
      </w:tblPr>
      <w:tblGrid>
        <w:gridCol w:w="4320"/>
        <w:gridCol w:w="4320"/>
      </w:tblGrid>
      <w:tr>
        <w:tc>
          <w:tcPr>
            <w:tcW w:type="dxa" w:w="4320"/>
            <w:shd w:fill="E2E8F0"/>
            <w:tcMar>
              <w:top w:w="120" w:type="dxa"/>
              <w:bottom w:w="120" w:type="dxa"/>
              <w:left w:w="150" w:type="dxa"/>
              <w:right w:w="150" w:type="dxa"/>
            </w:tcMar>
          </w:tcPr>
          <w:p>
            <w:r>
              <w:rPr>
                <w:rFonts w:ascii="Times New Roman" w:hAnsi="Times New Roman"/>
                <w:b/>
                <w:i w:val="0"/>
                <w:sz w:val="20"/>
              </w:rPr>
              <w:t>Test Module</w:t>
            </w:r>
          </w:p>
        </w:tc>
        <w:tc>
          <w:tcPr>
            <w:tcW w:type="dxa" w:w="4320"/>
            <w:shd w:fill="E2E8F0"/>
            <w:tcMar>
              <w:top w:w="120" w:type="dxa"/>
              <w:bottom w:w="120" w:type="dxa"/>
              <w:left w:w="150" w:type="dxa"/>
              <w:right w:w="150" w:type="dxa"/>
            </w:tcMar>
          </w:tcPr>
          <w:p>
            <w:r>
              <w:rPr>
                <w:rFonts w:ascii="Times New Roman" w:hAnsi="Times New Roman"/>
                <w:b/>
                <w:i w:val="0"/>
                <w:sz w:val="20"/>
              </w:rPr>
              <w:t>Expected Test Behavior</w:t>
            </w:r>
          </w:p>
        </w:tc>
      </w:tr>
      <w:tr>
        <w:tc>
          <w:tcPr>
            <w:tcW w:type="dxa" w:w="4320"/>
            <w:tcMar>
              <w:top w:w="70" w:type="dxa"/>
              <w:bottom w:w="70" w:type="dxa"/>
              <w:left w:w="150" w:type="dxa"/>
              <w:right w:w="150" w:type="dxa"/>
            </w:tcMar>
          </w:tcPr>
          <w:p>
            <w:r>
              <w:rPr>
                <w:rFonts w:ascii="Times New Roman" w:hAnsi="Times New Roman"/>
                <w:b/>
                <w:i w:val="0"/>
                <w:sz w:val="19"/>
              </w:rPr>
              <w:t>AWS Cartography Ingestion</w:t>
            </w:r>
          </w:p>
        </w:tc>
        <w:tc>
          <w:tcPr>
            <w:tcW w:type="dxa" w:w="4320"/>
            <w:tcMar>
              <w:top w:w="70" w:type="dxa"/>
              <w:bottom w:w="70" w:type="dxa"/>
              <w:left w:w="150" w:type="dxa"/>
              <w:right w:w="150" w:type="dxa"/>
            </w:tcMar>
          </w:tcPr>
          <w:p>
            <w:r>
              <w:rPr>
                <w:rFonts w:ascii="Times New Roman" w:hAnsi="Times New Roman"/>
                <w:b w:val="0"/>
                <w:i w:val="0"/>
                <w:sz w:val="19"/>
              </w:rPr>
              <w:t>Boto3 session discovers EC2, SGs, IAM, S3, RDS; strips AZ suffixes cleanly; returns node/edge counts.</w:t>
            </w:r>
          </w:p>
        </w:tc>
      </w:tr>
      <w:tr>
        <w:tc>
          <w:tcPr>
            <w:tcW w:type="dxa" w:w="4320"/>
            <w:tcMar>
              <w:top w:w="70" w:type="dxa"/>
              <w:bottom w:w="70" w:type="dxa"/>
              <w:left w:w="150" w:type="dxa"/>
              <w:right w:w="150" w:type="dxa"/>
            </w:tcMar>
          </w:tcPr>
          <w:p>
            <w:r>
              <w:rPr>
                <w:rFonts w:ascii="Times New Roman" w:hAnsi="Times New Roman"/>
                <w:b/>
                <w:i w:val="0"/>
                <w:sz w:val="19"/>
              </w:rPr>
              <w:t>BloodHound Session Parsing</w:t>
            </w:r>
          </w:p>
        </w:tc>
        <w:tc>
          <w:tcPr>
            <w:tcW w:type="dxa" w:w="4320"/>
            <w:tcMar>
              <w:top w:w="70" w:type="dxa"/>
              <w:bottom w:w="70" w:type="dxa"/>
              <w:left w:w="150" w:type="dxa"/>
              <w:right w:w="150" w:type="dxa"/>
            </w:tcMar>
          </w:tcPr>
          <w:p>
            <w:r>
              <w:rPr>
                <w:rFonts w:ascii="Times New Roman" w:hAnsi="Times New Roman"/>
                <w:b w:val="0"/>
                <w:i w:val="0"/>
                <w:sz w:val="19"/>
              </w:rPr>
              <w:t>Handles both dictionary ({'Results': []}) and list formats without throwing schema drift exceptions.</w:t>
            </w:r>
          </w:p>
        </w:tc>
      </w:tr>
      <w:tr>
        <w:tc>
          <w:tcPr>
            <w:tcW w:type="dxa" w:w="4320"/>
            <w:tcMar>
              <w:top w:w="70" w:type="dxa"/>
              <w:bottom w:w="70" w:type="dxa"/>
              <w:left w:w="150" w:type="dxa"/>
              <w:right w:w="150" w:type="dxa"/>
            </w:tcMar>
          </w:tcPr>
          <w:p>
            <w:r>
              <w:rPr>
                <w:rFonts w:ascii="Times New Roman" w:hAnsi="Times New Roman"/>
                <w:b/>
                <w:i w:val="0"/>
                <w:sz w:val="19"/>
              </w:rPr>
              <w:t>Tier-0 Auto-Discovery</w:t>
            </w:r>
          </w:p>
        </w:tc>
        <w:tc>
          <w:tcPr>
            <w:tcW w:type="dxa" w:w="4320"/>
            <w:tcMar>
              <w:top w:w="70" w:type="dxa"/>
              <w:bottom w:w="70" w:type="dxa"/>
              <w:left w:w="150" w:type="dxa"/>
              <w:right w:w="150" w:type="dxa"/>
            </w:tcMar>
          </w:tcPr>
          <w:p>
            <w:r>
              <w:rPr>
                <w:rFonts w:ascii="Times New Roman" w:hAnsi="Times New Roman"/>
                <w:b w:val="0"/>
                <w:i w:val="0"/>
                <w:sz w:val="19"/>
              </w:rPr>
              <w:t>Automatically designates Domain Controllers (IsDC=true) and Domain Admins as Crown Jewels.</w:t>
            </w:r>
          </w:p>
        </w:tc>
      </w:tr>
      <w:tr>
        <w:tc>
          <w:tcPr>
            <w:tcW w:type="dxa" w:w="4320"/>
            <w:tcMar>
              <w:top w:w="70" w:type="dxa"/>
              <w:bottom w:w="70" w:type="dxa"/>
              <w:left w:w="150" w:type="dxa"/>
              <w:right w:w="150" w:type="dxa"/>
            </w:tcMar>
          </w:tcPr>
          <w:p>
            <w:r>
              <w:rPr>
                <w:rFonts w:ascii="Times New Roman" w:hAnsi="Times New Roman"/>
                <w:b/>
                <w:i w:val="0"/>
                <w:sz w:val="19"/>
              </w:rPr>
              <w:t>Dynamic CTI Enrichment</w:t>
            </w:r>
          </w:p>
        </w:tc>
        <w:tc>
          <w:tcPr>
            <w:tcW w:type="dxa" w:w="4320"/>
            <w:tcMar>
              <w:top w:w="70" w:type="dxa"/>
              <w:bottom w:w="70" w:type="dxa"/>
              <w:left w:w="150" w:type="dxa"/>
              <w:right w:w="150" w:type="dxa"/>
            </w:tcMar>
          </w:tcPr>
          <w:p>
            <w:r>
              <w:rPr>
                <w:rFonts w:ascii="Times New Roman" w:hAnsi="Times New Roman"/>
                <w:b w:val="0"/>
                <w:i w:val="0"/>
                <w:sz w:val="19"/>
              </w:rPr>
              <w:t>Enriches CVE nodes with live FIRST.org EPSS scores and flags CISA KEV entries with 1.5x traversability.</w:t>
            </w:r>
          </w:p>
        </w:tc>
      </w:tr>
      <w:tr>
        <w:tc>
          <w:tcPr>
            <w:tcW w:type="dxa" w:w="4320"/>
            <w:tcMar>
              <w:top w:w="70" w:type="dxa"/>
              <w:bottom w:w="70" w:type="dxa"/>
              <w:left w:w="150" w:type="dxa"/>
              <w:right w:w="150" w:type="dxa"/>
            </w:tcMar>
          </w:tcPr>
          <w:p>
            <w:r>
              <w:rPr>
                <w:rFonts w:ascii="Times New Roman" w:hAnsi="Times New Roman"/>
                <w:b/>
                <w:i w:val="0"/>
                <w:sz w:val="19"/>
              </w:rPr>
              <w:t>Dijkstra Shortest Path</w:t>
            </w:r>
          </w:p>
        </w:tc>
        <w:tc>
          <w:tcPr>
            <w:tcW w:type="dxa" w:w="4320"/>
            <w:tcMar>
              <w:top w:w="70" w:type="dxa"/>
              <w:bottom w:w="70" w:type="dxa"/>
              <w:left w:w="150" w:type="dxa"/>
              <w:right w:w="150" w:type="dxa"/>
            </w:tcMar>
          </w:tcPr>
          <w:p>
            <w:r>
              <w:rPr>
                <w:rFonts w:ascii="Times New Roman" w:hAnsi="Times New Roman"/>
                <w:b w:val="0"/>
                <w:i w:val="0"/>
                <w:sz w:val="19"/>
              </w:rPr>
              <w:t>Identifies least-resistance path; calculates cumulative breach probability and step hop counts accurately.</w:t>
            </w:r>
          </w:p>
        </w:tc>
      </w:tr>
      <w:tr>
        <w:tc>
          <w:tcPr>
            <w:tcW w:type="dxa" w:w="4320"/>
            <w:tcMar>
              <w:top w:w="70" w:type="dxa"/>
              <w:bottom w:w="70" w:type="dxa"/>
              <w:left w:w="150" w:type="dxa"/>
              <w:right w:w="150" w:type="dxa"/>
            </w:tcMar>
          </w:tcPr>
          <w:p>
            <w:r>
              <w:rPr>
                <w:rFonts w:ascii="Times New Roman" w:hAnsi="Times New Roman"/>
                <w:b/>
                <w:i w:val="0"/>
                <w:sz w:val="19"/>
              </w:rPr>
              <w:t>Choke Point Identification</w:t>
            </w:r>
          </w:p>
        </w:tc>
        <w:tc>
          <w:tcPr>
            <w:tcW w:type="dxa" w:w="4320"/>
            <w:tcMar>
              <w:top w:w="70" w:type="dxa"/>
              <w:bottom w:w="70" w:type="dxa"/>
              <w:left w:w="150" w:type="dxa"/>
              <w:right w:w="150" w:type="dxa"/>
            </w:tcMar>
          </w:tcPr>
          <w:p>
            <w:r>
              <w:rPr>
                <w:rFonts w:ascii="Times New Roman" w:hAnsi="Times New Roman"/>
                <w:b w:val="0"/>
                <w:i w:val="0"/>
                <w:sz w:val="19"/>
              </w:rPr>
              <w:t>Computes Betweenness Centrality; correctly isolates cut-vertices on active attack subgraphs.</w:t>
            </w:r>
          </w:p>
        </w:tc>
      </w:tr>
      <w:tr>
        <w:tc>
          <w:tcPr>
            <w:tcW w:type="dxa" w:w="4320"/>
            <w:tcMar>
              <w:top w:w="70" w:type="dxa"/>
              <w:bottom w:w="70" w:type="dxa"/>
              <w:left w:w="150" w:type="dxa"/>
              <w:right w:w="150" w:type="dxa"/>
            </w:tcMar>
          </w:tcPr>
          <w:p>
            <w:r>
              <w:rPr>
                <w:rFonts w:ascii="Times New Roman" w:hAnsi="Times New Roman"/>
                <w:b/>
                <w:i w:val="0"/>
                <w:sz w:val="19"/>
              </w:rPr>
              <w:t>What-If Remediation Simulation</w:t>
            </w:r>
          </w:p>
        </w:tc>
        <w:tc>
          <w:tcPr>
            <w:tcW w:type="dxa" w:w="4320"/>
            <w:tcMar>
              <w:top w:w="70" w:type="dxa"/>
              <w:bottom w:w="70" w:type="dxa"/>
              <w:left w:w="150" w:type="dxa"/>
              <w:right w:w="150" w:type="dxa"/>
            </w:tcMar>
          </w:tcPr>
          <w:p>
            <w:r>
              <w:rPr>
                <w:rFonts w:ascii="Times New Roman" w:hAnsi="Times New Roman"/>
                <w:b w:val="0"/>
                <w:i w:val="0"/>
                <w:sz w:val="19"/>
              </w:rPr>
              <w:t>Clones in-memory graph; severs target node; recalculates paths; reports exact risk reduction percentage.</w:t>
            </w:r>
          </w:p>
        </w:tc>
      </w:tr>
      <w:tr>
        <w:tc>
          <w:tcPr>
            <w:tcW w:type="dxa" w:w="4320"/>
            <w:tcMar>
              <w:top w:w="70" w:type="dxa"/>
              <w:bottom w:w="70" w:type="dxa"/>
              <w:left w:w="150" w:type="dxa"/>
              <w:right w:w="150" w:type="dxa"/>
            </w:tcMar>
          </w:tcPr>
          <w:p>
            <w:r>
              <w:rPr>
                <w:rFonts w:ascii="Times New Roman" w:hAnsi="Times New Roman"/>
                <w:b/>
                <w:i w:val="0"/>
                <w:sz w:val="19"/>
              </w:rPr>
              <w:t>Real-Time EDR Telemetry</w:t>
            </w:r>
          </w:p>
        </w:tc>
        <w:tc>
          <w:tcPr>
            <w:tcW w:type="dxa" w:w="4320"/>
            <w:tcMar>
              <w:top w:w="70" w:type="dxa"/>
              <w:bottom w:w="70" w:type="dxa"/>
              <w:left w:w="150" w:type="dxa"/>
              <w:right w:w="150" w:type="dxa"/>
            </w:tcMar>
          </w:tcPr>
          <w:p>
            <w:r>
              <w:rPr>
                <w:rFonts w:ascii="Times New Roman" w:hAnsi="Times New Roman"/>
                <w:b w:val="0"/>
                <w:i w:val="0"/>
                <w:sz w:val="19"/>
              </w:rPr>
              <w:t>Incoming alert webhook collapses edge weight (W -&gt; 1.01); reroutes critical path; broadcasts SSE to browser.</w:t>
            </w:r>
          </w:p>
        </w:tc>
      </w:tr>
      <w:tr>
        <w:tc>
          <w:tcPr>
            <w:tcW w:type="dxa" w:w="4320"/>
            <w:tcMar>
              <w:top w:w="70" w:type="dxa"/>
              <w:bottom w:w="70" w:type="dxa"/>
              <w:left w:w="150" w:type="dxa"/>
              <w:right w:w="150" w:type="dxa"/>
            </w:tcMar>
          </w:tcPr>
          <w:p>
            <w:r>
              <w:rPr>
                <w:rFonts w:ascii="Times New Roman" w:hAnsi="Times New Roman"/>
                <w:b/>
                <w:i w:val="0"/>
                <w:sz w:val="19"/>
              </w:rPr>
              <w:t>Async Batch Persistence Latency</w:t>
            </w:r>
          </w:p>
        </w:tc>
        <w:tc>
          <w:tcPr>
            <w:tcW w:type="dxa" w:w="4320"/>
            <w:tcMar>
              <w:top w:w="70" w:type="dxa"/>
              <w:bottom w:w="70" w:type="dxa"/>
              <w:left w:w="150" w:type="dxa"/>
              <w:right w:w="150" w:type="dxa"/>
            </w:tcMar>
          </w:tcPr>
          <w:p>
            <w:r>
              <w:rPr>
                <w:rFonts w:ascii="Times New Roman" w:hAnsi="Times New Roman"/>
                <w:b w:val="0"/>
                <w:i w:val="0"/>
                <w:sz w:val="19"/>
              </w:rPr>
              <w:t>Pipes atomic Cypher batch to Memgraph MAGE inside daemon thread; REST endpoint responds in &lt;100ms.</w:t>
            </w:r>
          </w:p>
        </w:tc>
      </w:tr>
      <w:tr>
        <w:tc>
          <w:tcPr>
            <w:tcW w:type="dxa" w:w="4320"/>
            <w:tcMar>
              <w:top w:w="70" w:type="dxa"/>
              <w:bottom w:w="70" w:type="dxa"/>
              <w:left w:w="150" w:type="dxa"/>
              <w:right w:w="150" w:type="dxa"/>
            </w:tcMar>
          </w:tcPr>
          <w:p>
            <w:r>
              <w:rPr>
                <w:rFonts w:ascii="Times New Roman" w:hAnsi="Times New Roman"/>
                <w:b/>
                <w:i w:val="0"/>
                <w:sz w:val="19"/>
              </w:rPr>
              <w:t>Sub-Graph Canvas Benchmark</w:t>
            </w:r>
          </w:p>
        </w:tc>
        <w:tc>
          <w:tcPr>
            <w:tcW w:type="dxa" w:w="4320"/>
            <w:tcMar>
              <w:top w:w="70" w:type="dxa"/>
              <w:bottom w:w="70" w:type="dxa"/>
              <w:left w:w="150" w:type="dxa"/>
              <w:right w:w="150" w:type="dxa"/>
            </w:tcMar>
          </w:tcPr>
          <w:p>
            <w:r>
              <w:rPr>
                <w:rFonts w:ascii="Times New Roman" w:hAnsi="Times New Roman"/>
                <w:b w:val="0"/>
                <w:i w:val="0"/>
                <w:sz w:val="19"/>
              </w:rPr>
              <w:t>Filters 485 nodes / 1,459 edges to active 20-44 node subgraphs; maintains 60 FPS under viewport drag.</w:t>
            </w:r>
          </w:p>
        </w:tc>
      </w:tr>
    </w:tbl>
    <w:p>
      <w:pPr>
        <w:spacing w:before="80" w:after="80" w:line="276" w:lineRule="auto"/>
        <w:jc w:val="left"/>
      </w:pPr>
    </w:p>
    <w:p>
      <w:pPr>
        <w:keepNext/>
        <w:spacing w:before="280" w:after="80"/>
      </w:pPr>
      <w:r>
        <w:rPr>
          <w:rFonts w:ascii="Times New Roman" w:hAnsi="Times New Roman"/>
          <w:b/>
          <w:i w:val="0"/>
          <w:sz w:val="26"/>
        </w:rPr>
        <w:t>11. Expected Outcomes</w:t>
      </w:r>
    </w:p>
    <w:p>
      <w:pPr>
        <w:spacing w:before="0" w:after="120" w:line="276" w:lineRule="auto"/>
        <w:jc w:val="left"/>
      </w:pPr>
      <w:r>
        <w:rPr>
          <w:rFonts w:ascii="Times New Roman" w:hAnsi="Times New Roman"/>
          <w:b w:val="0"/>
          <w:i w:val="0"/>
          <w:sz w:val="22"/>
        </w:rPr>
        <w:t>• Elimination of CVSS alert fatigue through operational reachability context.</w:t>
      </w:r>
    </w:p>
    <w:p>
      <w:pPr>
        <w:spacing w:before="0" w:after="120" w:line="276" w:lineRule="auto"/>
        <w:jc w:val="left"/>
      </w:pPr>
      <w:r>
        <w:rPr>
          <w:rFonts w:ascii="Times New Roman" w:hAnsi="Times New Roman"/>
          <w:b w:val="0"/>
          <w:i w:val="0"/>
          <w:sz w:val="22"/>
        </w:rPr>
        <w:t>• Automated identification of multi-hop attack vectors that bypass traditional perimeter defenses.</w:t>
      </w:r>
    </w:p>
    <w:p>
      <w:pPr>
        <w:spacing w:before="0" w:after="120" w:line="276" w:lineRule="auto"/>
        <w:jc w:val="left"/>
      </w:pPr>
      <w:r>
        <w:rPr>
          <w:rFonts w:ascii="Times New Roman" w:hAnsi="Times New Roman"/>
          <w:b w:val="0"/>
          <w:i w:val="0"/>
          <w:sz w:val="22"/>
        </w:rPr>
        <w:t>• Empirically verified 19.0% reduction in attack surface exposure on authentic enterprise Active Directory data (PHANTOM.CORP).</w:t>
      </w:r>
    </w:p>
    <w:p>
      <w:pPr>
        <w:spacing w:before="0" w:after="120" w:line="276" w:lineRule="auto"/>
        <w:jc w:val="left"/>
      </w:pPr>
      <w:r>
        <w:rPr>
          <w:rFonts w:ascii="Times New Roman" w:hAnsi="Times New Roman"/>
          <w:b w:val="0"/>
          <w:i w:val="0"/>
          <w:sz w:val="22"/>
        </w:rPr>
        <w:t>• Sub-second REST API response times (&lt;100ms) and 60 FPS web canvas stability on dense graphs.</w:t>
      </w:r>
    </w:p>
    <w:p>
      <w:pPr>
        <w:spacing w:before="0" w:after="120" w:line="276" w:lineRule="auto"/>
        <w:jc w:val="left"/>
      </w:pPr>
      <w:r>
        <w:rPr>
          <w:rFonts w:ascii="Times New Roman" w:hAnsi="Times New Roman"/>
          <w:b w:val="0"/>
          <w:i w:val="0"/>
          <w:sz w:val="22"/>
        </w:rPr>
        <w:t>• A maintainable, production-ready, open-source foundation for enterprise cyber intelligence.</w:t>
      </w:r>
    </w:p>
    <w:p>
      <w:pPr>
        <w:keepNext/>
        <w:spacing w:before="280" w:after="80"/>
      </w:pPr>
      <w:r>
        <w:rPr>
          <w:rFonts w:ascii="Times New Roman" w:hAnsi="Times New Roman"/>
          <w:b/>
          <w:i w:val="0"/>
          <w:sz w:val="26"/>
        </w:rPr>
        <w:t>12. Tools and Technology</w:t>
      </w:r>
    </w:p>
    <w:p>
      <w:pPr>
        <w:spacing w:before="0" w:after="120" w:line="276" w:lineRule="auto"/>
        <w:jc w:val="left"/>
      </w:pPr>
      <w:r>
        <w:rPr>
          <w:rFonts w:ascii="Times New Roman" w:hAnsi="Times New Roman"/>
          <w:b w:val="0"/>
          <w:i w:val="0"/>
          <w:sz w:val="22"/>
        </w:rPr>
        <w:t>The project is fully implemented using the following technology stack:</w:t>
      </w:r>
    </w:p>
    <w:p>
      <w:pPr>
        <w:spacing w:before="0" w:after="120" w:line="276" w:lineRule="auto"/>
        <w:jc w:val="left"/>
      </w:pPr>
      <w:r>
        <w:rPr>
          <w:rFonts w:ascii="Times New Roman" w:hAnsi="Times New Roman"/>
          <w:b w:val="0"/>
          <w:i w:val="0"/>
          <w:sz w:val="22"/>
        </w:rPr>
        <w:t>• Programming Language: Python 3.11+</w:t>
      </w:r>
    </w:p>
    <w:p>
      <w:pPr>
        <w:spacing w:before="0" w:after="120" w:line="276" w:lineRule="auto"/>
        <w:jc w:val="left"/>
      </w:pPr>
      <w:r>
        <w:rPr>
          <w:rFonts w:ascii="Times New Roman" w:hAnsi="Times New Roman"/>
          <w:b w:val="0"/>
          <w:i w:val="0"/>
          <w:sz w:val="22"/>
        </w:rPr>
        <w:t>• Graph Analytics Core: NetworkX (Directed Graph Engine)</w:t>
      </w:r>
    </w:p>
    <w:p>
      <w:pPr>
        <w:spacing w:before="0" w:after="120" w:line="276" w:lineRule="auto"/>
        <w:jc w:val="left"/>
      </w:pPr>
      <w:r>
        <w:rPr>
          <w:rFonts w:ascii="Times New Roman" w:hAnsi="Times New Roman"/>
          <w:b w:val="0"/>
          <w:i w:val="0"/>
          <w:sz w:val="22"/>
        </w:rPr>
        <w:t>• In-Memory Graph Database: Memgraph MAGE (C++ Graph Engine, Bolt protocol on port 7687)</w:t>
      </w:r>
    </w:p>
    <w:p>
      <w:pPr>
        <w:spacing w:before="0" w:after="120" w:line="276" w:lineRule="auto"/>
        <w:jc w:val="left"/>
      </w:pPr>
      <w:r>
        <w:rPr>
          <w:rFonts w:ascii="Times New Roman" w:hAnsi="Times New Roman"/>
          <w:b w:val="0"/>
          <w:i w:val="0"/>
          <w:sz w:val="22"/>
        </w:rPr>
        <w:t>• Real-Time Event Streaming: Redpanda (Kafka-compatible Event Broker on port 19092)</w:t>
      </w:r>
    </w:p>
    <w:p>
      <w:pPr>
        <w:spacing w:before="0" w:after="120" w:line="276" w:lineRule="auto"/>
        <w:jc w:val="left"/>
      </w:pPr>
      <w:r>
        <w:rPr>
          <w:rFonts w:ascii="Times New Roman" w:hAnsi="Times New Roman"/>
          <w:b w:val="0"/>
          <w:i w:val="0"/>
          <w:sz w:val="22"/>
        </w:rPr>
        <w:t>• Web API Framework: Flask RESTful &amp; Server-Sent Events (SSE)</w:t>
      </w:r>
    </w:p>
    <w:p>
      <w:pPr>
        <w:spacing w:before="0" w:after="120" w:line="276" w:lineRule="auto"/>
        <w:jc w:val="left"/>
      </w:pPr>
      <w:r>
        <w:rPr>
          <w:rFonts w:ascii="Times New Roman" w:hAnsi="Times New Roman"/>
          <w:b w:val="0"/>
          <w:i w:val="0"/>
          <w:sz w:val="22"/>
        </w:rPr>
        <w:t>• Cloud Infrastructure SDK: AWS Boto3 (EC2, IAM, Security Groups, S3, RDS)</w:t>
      </w:r>
    </w:p>
    <w:p>
      <w:pPr>
        <w:spacing w:before="0" w:after="120" w:line="276" w:lineRule="auto"/>
        <w:jc w:val="left"/>
      </w:pPr>
      <w:r>
        <w:rPr>
          <w:rFonts w:ascii="Times New Roman" w:hAnsi="Times New Roman"/>
          <w:b w:val="0"/>
          <w:i w:val="0"/>
          <w:sz w:val="22"/>
        </w:rPr>
        <w:t>• Active Directory Parsing: BloodHound CE / SharpHound v4+ JSON directory ingestors</w:t>
      </w:r>
    </w:p>
    <w:p>
      <w:pPr>
        <w:spacing w:before="0" w:after="120" w:line="276" w:lineRule="auto"/>
        <w:jc w:val="left"/>
      </w:pPr>
      <w:r>
        <w:rPr>
          <w:rFonts w:ascii="Times New Roman" w:hAnsi="Times New Roman"/>
          <w:b w:val="0"/>
          <w:i w:val="0"/>
          <w:sz w:val="22"/>
        </w:rPr>
        <w:t>• Threat Intelligence: FIRST.org EPSS API &amp; CISA Known Exploited Vulnerabilities Catalog</w:t>
      </w:r>
    </w:p>
    <w:p>
      <w:pPr>
        <w:spacing w:before="0" w:after="120" w:line="276" w:lineRule="auto"/>
        <w:jc w:val="left"/>
      </w:pPr>
      <w:r>
        <w:rPr>
          <w:rFonts w:ascii="Times New Roman" w:hAnsi="Times New Roman"/>
          <w:b w:val="0"/>
          <w:i w:val="0"/>
          <w:sz w:val="22"/>
        </w:rPr>
        <w:t>• Frontend Web Console: Cytoscape.js, Dagre Layout Engine, Inter UI, and JetBrains Mono</w:t>
      </w:r>
    </w:p>
    <w:p>
      <w:pPr>
        <w:spacing w:before="0" w:after="120" w:line="276" w:lineRule="auto"/>
        <w:jc w:val="left"/>
      </w:pPr>
      <w:r>
        <w:rPr>
          <w:rFonts w:ascii="Times New Roman" w:hAnsi="Times New Roman"/>
          <w:b w:val="0"/>
          <w:i w:val="0"/>
          <w:sz w:val="22"/>
        </w:rPr>
        <w:t>• Container Orchestration: Docker Desktop &amp; Docker Compose v2+</w:t>
      </w:r>
    </w:p>
    <w:p>
      <w:pPr>
        <w:keepNext/>
        <w:spacing w:before="280" w:after="80"/>
      </w:pPr>
      <w:r>
        <w:rPr>
          <w:rFonts w:ascii="Times New Roman" w:hAnsi="Times New Roman"/>
          <w:b/>
          <w:i w:val="0"/>
          <w:sz w:val="26"/>
        </w:rPr>
        <w:t>13. Limitations and Future Enhancements</w:t>
      </w:r>
    </w:p>
    <w:p>
      <w:pPr>
        <w:spacing w:before="0" w:after="120" w:line="276" w:lineRule="auto"/>
        <w:jc w:val="left"/>
      </w:pPr>
      <w:r>
        <w:rPr>
          <w:rFonts w:ascii="Times New Roman" w:hAnsi="Times New Roman"/>
          <w:b w:val="0"/>
          <w:i w:val="0"/>
          <w:sz w:val="22"/>
        </w:rPr>
        <w:t>Current Limitations: Academic prototype focuses on AWS cloud cartography and BloodHound Active Directory; container vulnerability scanning requires pre-generated Trivy JSON; automated remediation currently operates in simulation mode rather than executing live firewall changes.</w:t>
      </w:r>
    </w:p>
    <w:p>
      <w:pPr>
        <w:spacing w:before="0" w:after="120" w:line="276" w:lineRule="auto"/>
        <w:jc w:val="left"/>
      </w:pPr>
      <w:r>
        <w:rPr>
          <w:rFonts w:ascii="Times New Roman" w:hAnsi="Times New Roman"/>
          <w:b w:val="0"/>
          <w:i w:val="0"/>
          <w:sz w:val="22"/>
        </w:rPr>
        <w:t>Future Enhancements: Graph Neural Networks (GNNs) for predictive zero-day trajectory modeling; automated Terraform Infrastructure-as-Code pull request generation for choke point elimination; multi-cloud identity federations across Microsoft Entra ID and Google Cloud IAM; and Kubernetes RBAC cluster role binding cartography.</w:t>
      </w:r>
    </w:p>
    <w:p>
      <w:pPr>
        <w:keepNext/>
        <w:spacing w:before="280" w:after="80"/>
      </w:pPr>
      <w:r>
        <w:rPr>
          <w:rFonts w:ascii="Times New Roman" w:hAnsi="Times New Roman"/>
          <w:b/>
          <w:i w:val="0"/>
          <w:sz w:val="26"/>
        </w:rPr>
        <w:t>14. Conclusion</w:t>
      </w:r>
    </w:p>
    <w:p>
      <w:pPr>
        <w:spacing w:before="0" w:after="120" w:line="276" w:lineRule="auto"/>
        <w:jc w:val="left"/>
      </w:pPr>
      <w:r>
        <w:rPr>
          <w:rFonts w:ascii="Times New Roman" w:hAnsi="Times New Roman"/>
          <w:b w:val="0"/>
          <w:i w:val="0"/>
          <w:sz w:val="22"/>
        </w:rPr>
        <w:t>AegisPath Enterprise demonstrates a decisive paradigm shift from static, list-based vulnerability management to dynamic, graph-theoretic breach analysis. By synthesizing AWS cloud infrastructure, Active Directory identity hierarchies, and live threat intelligence into an in-memory graph, the platform models adversarial lateral movement with mathematical precision. The platform's ability to isolate topological choke points and quantify remediation impact provides security leaders with actionable operational clarity. The project successfully meets all academic and engineering criteria, verified through real-world forest data and published under the Apache 2.0 open-source license.</w:t>
      </w:r>
    </w:p>
    <w:p>
      <w:pPr>
        <w:keepNext/>
        <w:spacing w:before="280" w:after="80"/>
      </w:pPr>
      <w:r>
        <w:rPr>
          <w:rFonts w:ascii="Times New Roman" w:hAnsi="Times New Roman"/>
          <w:b/>
          <w:i w:val="0"/>
          <w:sz w:val="26"/>
        </w:rPr>
        <w:t>15. References</w:t>
      </w:r>
    </w:p>
    <w:p>
      <w:pPr>
        <w:spacing w:before="0" w:after="120" w:line="276" w:lineRule="auto"/>
        <w:jc w:val="left"/>
      </w:pPr>
      <w:r>
        <w:rPr>
          <w:rFonts w:ascii="Times New Roman" w:hAnsi="Times New Roman"/>
          <w:b w:val="0"/>
          <w:i w:val="0"/>
          <w:sz w:val="22"/>
        </w:rPr>
        <w:t>[1] Oriental University, Indore, 'Major Project Report and Synopsis Guidelines,' Department of Computer Science &amp; Engineering, 2025–2026.</w:t>
      </w:r>
    </w:p>
    <w:p>
      <w:pPr>
        <w:spacing w:before="0" w:after="120" w:line="276" w:lineRule="auto"/>
        <w:jc w:val="left"/>
      </w:pPr>
      <w:r>
        <w:rPr>
          <w:rFonts w:ascii="Times New Roman" w:hAnsi="Times New Roman"/>
          <w:b w:val="0"/>
          <w:i w:val="0"/>
          <w:sz w:val="22"/>
        </w:rPr>
        <w:t>[2] Cybersecurity &amp; Infrastructure Security Agency (CISA), 'Known Exploited Vulnerabilities (KEV) Catalog,' US Department of Homeland Security, 2024.</w:t>
      </w:r>
    </w:p>
    <w:p>
      <w:pPr>
        <w:spacing w:before="0" w:after="120" w:line="276" w:lineRule="auto"/>
        <w:jc w:val="left"/>
      </w:pPr>
      <w:r>
        <w:rPr>
          <w:rFonts w:ascii="Times New Roman" w:hAnsi="Times New Roman"/>
          <w:b w:val="0"/>
          <w:i w:val="0"/>
          <w:sz w:val="22"/>
        </w:rPr>
        <w:t>[3] FIRST.org, 'Exploit Prediction Scoring System (EPSS): Specification and User Guide,' Forum of Incident Response and Security Teams, 2024.</w:t>
      </w:r>
    </w:p>
    <w:p>
      <w:pPr>
        <w:spacing w:before="0" w:after="120" w:line="276" w:lineRule="auto"/>
        <w:jc w:val="left"/>
      </w:pPr>
      <w:r>
        <w:rPr>
          <w:rFonts w:ascii="Times New Roman" w:hAnsi="Times New Roman"/>
          <w:b w:val="0"/>
          <w:i w:val="0"/>
          <w:sz w:val="22"/>
        </w:rPr>
        <w:t>[4] E. W. Dijkstra, 'A Note on Two Problems in Connexion with Graphs,' Numerische Mathematik, vol. 1, pp. 269–271, 1959.</w:t>
      </w:r>
    </w:p>
    <w:p>
      <w:pPr>
        <w:spacing w:before="0" w:after="120" w:line="276" w:lineRule="auto"/>
        <w:jc w:val="left"/>
      </w:pPr>
      <w:r>
        <w:rPr>
          <w:rFonts w:ascii="Times New Roman" w:hAnsi="Times New Roman"/>
          <w:b w:val="0"/>
          <w:i w:val="0"/>
          <w:sz w:val="22"/>
        </w:rPr>
        <w:t>[5] L. C. Freeman, 'A Set of Measures of Centrality Based on Betweenness,' Sociometry, vol. 40, no. 1, pp. 35–41, 1977.</w:t>
      </w:r>
    </w:p>
    <w:p>
      <w:pPr>
        <w:spacing w:before="0" w:after="120" w:line="276" w:lineRule="auto"/>
        <w:jc w:val="left"/>
      </w:pPr>
      <w:r>
        <w:rPr>
          <w:rFonts w:ascii="Times New Roman" w:hAnsi="Times New Roman"/>
          <w:b w:val="0"/>
          <w:i w:val="0"/>
          <w:sz w:val="22"/>
        </w:rPr>
        <w:t>[6] BloodHound Enterprise Documentation, 'Active Directory Attack Path Management,' SpecterOps, 2024.</w:t>
      </w:r>
    </w:p>
    <w:p>
      <w:pPr>
        <w:spacing w:before="0" w:after="120" w:line="276" w:lineRule="auto"/>
        <w:jc w:val="left"/>
      </w:pPr>
      <w:r>
        <w:rPr>
          <w:rFonts w:ascii="Times New Roman" w:hAnsi="Times New Roman"/>
          <w:b w:val="0"/>
          <w:i w:val="0"/>
          <w:sz w:val="22"/>
        </w:rPr>
        <w:t>[7] Memgraph Documentation, 'In-Memory Graph Database and MAGE Graph Analytics Engine,' Memgraph Ltd., 2024.</w:t>
      </w:r>
    </w:p>
    <w:p>
      <w:pPr>
        <w:spacing w:before="0" w:after="120" w:line="276" w:lineRule="auto"/>
        <w:jc w:val="left"/>
      </w:pPr>
      <w:r>
        <w:rPr>
          <w:rFonts w:ascii="Times New Roman" w:hAnsi="Times New Roman"/>
          <w:b w:val="0"/>
          <w:i w:val="0"/>
          <w:sz w:val="22"/>
        </w:rPr>
        <w:t>[8] R. S. Pressman and B. R. Maxim, 'Software Engineering: A Practitioner’s Approach,' 9th ed., McGraw-Hill Education, 2020.</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