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Document Features</w:t>
      </w:r>
    </w:p>
    <w:p>
      <w:pPr>
        <w:pStyle w:val="Heading1"/>
      </w:pPr>
      <w:r>
        <w:t>1. Text Formatting</w:t>
      </w:r>
    </w:p>
    <w:p>
      <w:r>
        <w:rPr>
          <w:b/>
        </w:rPr>
        <w:t>This is bold text.</w:t>
      </w:r>
    </w:p>
    <w:p>
      <w:r>
        <w:rPr>
          <w:i/>
        </w:rPr>
        <w:t>This is italic text.</w:t>
      </w:r>
    </w:p>
    <w:p>
      <w:r>
        <w:rPr>
          <w:u w:val="single"/>
        </w:rPr>
        <w:t>This is underlined text.</w:t>
      </w:r>
    </w:p>
    <w:p>
      <w:r>
        <w:rPr>
          <w:b/>
          <w:i/>
          <w:color w:val="0000FF"/>
          <w:sz w:val="28"/>
        </w:rPr>
        <w:t>This has multiple styles applied.</w:t>
      </w:r>
    </w:p>
    <w:p>
      <w:pPr>
        <w:pStyle w:val="Heading2"/>
      </w:pPr>
      <w:r>
        <w:t>1.1 Alignment</w:t>
      </w:r>
    </w:p>
    <w:p>
      <w:pPr>
        <w:jc w:val="left"/>
      </w:pPr>
      <w:r>
        <w:t>Left aligned paragraph.</w:t>
      </w:r>
    </w:p>
    <w:p>
      <w:pPr>
        <w:jc w:val="center"/>
      </w:pPr>
      <w:r>
        <w:t>Center aligned paragraph.</w:t>
      </w:r>
    </w:p>
    <w:p>
      <w:pPr>
        <w:jc w:val="right"/>
      </w:pPr>
      <w:r>
        <w:t>Right aligned paragraph.</w:t>
      </w:r>
    </w:p>
    <w:p>
      <w:pPr>
        <w:jc w:val="both"/>
      </w:pPr>
      <w:r>
        <w:t>Justified text that demonstrates how text flows when the justify alignment option is used.</w:t>
      </w:r>
    </w:p>
    <w:p>
      <w:pPr>
        <w:pStyle w:val="Heading2"/>
      </w:pPr>
      <w:r>
        <w:t>1.2 Mixed Inline Formatting</w:t>
      </w:r>
    </w:p>
    <w:p>
      <w:r>
        <w:t xml:space="preserve">This paragraph has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color w:val="FF0000"/>
        </w:rPr>
        <w:t>colored</w:t>
      </w:r>
      <w:r>
        <w:t xml:space="preserve">, and </w:t>
      </w:r>
      <w:r>
        <w:rPr>
          <w:highlight w:val="yellow"/>
        </w:rPr>
        <w:t>highlighted</w:t>
      </w:r>
      <w:r>
        <w:t xml:space="preserve"> text inline.</w:t>
      </w:r>
    </w:p>
    <w:p>
      <w:pPr>
        <w:pStyle w:val="Heading2"/>
      </w:pPr>
      <w:r>
        <w:t>1.3 Paragraph Spacing</w:t>
      </w:r>
    </w:p>
    <w:p>
      <w:pPr>
        <w:spacing w:before="480"/>
      </w:pPr>
      <w:r>
        <w:t>This paragraph has extra space before it.</w:t>
      </w:r>
    </w:p>
    <w:p>
      <w:pPr>
        <w:spacing w:after="480"/>
      </w:pPr>
      <w:r>
        <w:t>This paragraph has extra space after it.</w:t>
      </w:r>
    </w:p>
    <w:p>
      <w:pPr>
        <w:spacing w:line="360" w:lineRule="auto"/>
      </w:pPr>
      <w:r>
        <w:t>This paragraph has 1.5 line spacing for better readability when you have multiple lines of text.</w:t>
      </w:r>
    </w:p>
    <w:p>
      <w:pPr>
        <w:pStyle w:val="Heading1"/>
      </w:pPr>
      <w:r>
        <w:t>2. Lists</w:t>
      </w:r>
    </w:p>
    <w:p>
      <w:pPr>
        <w:pStyle w:val="Heading2"/>
      </w:pPr>
      <w:r>
        <w:t>2.1 Bullet List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Bullet"/>
      </w:pPr>
      <w:r>
        <w:t>Third bullet point with more text</w:t>
      </w:r>
    </w:p>
    <w:p>
      <w:pPr>
        <w:pStyle w:val="Heading2"/>
      </w:pPr>
      <w:r>
        <w:t>2.2 Numbered List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pPr>
        <w:pStyle w:val="ListNumber"/>
      </w:pPr>
      <w:r>
        <w:t>Fourth step</w:t>
      </w:r>
    </w:p>
    <w:p>
      <w:pPr>
        <w:pStyle w:val="Heading1"/>
      </w:pPr>
      <w:r>
        <w:t>3. Tables</w:t>
      </w:r>
    </w:p>
    <w:p>
      <w:pPr>
        <w:pStyle w:val="Heading2"/>
      </w:pPr>
      <w:r>
        <w:t>3.1 Simple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pPr>
              <w:jc w:val="center"/>
            </w:pPr>
            <w:r>
              <w:rPr>
                <w:b/>
              </w:rPr>
              <w:t>Product</w:t>
            </w:r>
          </w:p>
        </w:tc>
        <w:tc>
          <w:tcPr>
            <w:tcW w:type="dxa" w:w="3324"/>
            <w:shd w:fill="4472C4"/>
          </w:tcPr>
          <w:p>
            <w:pPr>
              <w:jc w:val="center"/>
            </w:pPr>
            <w:r>
              <w:rPr>
                <w:b/>
              </w:rPr>
              <w:t>Price</w:t>
            </w:r>
          </w:p>
        </w:tc>
        <w:tc>
          <w:tcPr>
            <w:tcW w:type="dxa" w:w="3324"/>
            <w:shd w:fill="4472C4"/>
          </w:tcPr>
          <w:p>
            <w:pPr>
              <w:jc w:val="center"/>
            </w:pPr>
            <w:r>
              <w:rPr>
                <w:b/>
              </w:rPr>
              <w:t>Quantity</w:t>
            </w:r>
          </w:p>
        </w:tc>
      </w:tr>
      <w:tr>
        <w:tc>
          <w:tcPr>
            <w:tcW w:type="dxa" w:w="3324"/>
          </w:tcPr>
          <w:p>
            <w:r>
              <w:t>Widget A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t>$10.00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3324"/>
          </w:tcPr>
          <w:p>
            <w:r>
              <w:t>Widget B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t>$15.50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3324"/>
          </w:tcPr>
          <w:p>
            <w:r>
              <w:t>Widget 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t>$8.25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t>200</w:t>
            </w:r>
          </w:p>
        </w:tc>
      </w:tr>
    </w:tbl>
    <w:p>
      <w:pPr>
        <w:pStyle w:val="Heading2"/>
      </w:pPr>
      <w:r>
        <w:t>3.2 Formatted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2493"/>
            <w:shd w:fill="D6DCE5"/>
          </w:tcPr>
          <w:p>
            <w:r>
              <w:t>Revenue</w:t>
            </w:r>
          </w:p>
        </w:tc>
        <w:tc>
          <w:tcPr>
            <w:tcW w:type="dxa" w:w="2493"/>
            <w:shd w:fill="D6DCE5"/>
          </w:tcPr>
          <w:p>
            <w:pPr>
              <w:jc w:val="right"/>
            </w:pPr>
            <w:r>
              <w:t>$50,000</w:t>
            </w:r>
          </w:p>
        </w:tc>
        <w:tc>
          <w:tcPr>
            <w:tcW w:type="dxa" w:w="2493"/>
            <w:shd w:fill="D6DCE5"/>
          </w:tcPr>
          <w:p>
            <w:pPr>
              <w:jc w:val="right"/>
            </w:pPr>
            <w:r>
              <w:t>$55,000</w:t>
            </w:r>
          </w:p>
        </w:tc>
        <w:tc>
          <w:tcPr>
            <w:tcW w:type="dxa" w:w="2493"/>
            <w:shd w:fill="D6DCE5"/>
          </w:tcPr>
          <w:p>
            <w:pPr>
              <w:jc w:val="right"/>
            </w:pPr>
            <w:r>
              <w:rPr>
                <w:b/>
              </w:rPr>
              <w:t>$105,000</w:t>
            </w:r>
          </w:p>
        </w:tc>
      </w:tr>
      <w:tr>
        <w:tc>
          <w:tcPr>
            <w:tcW w:type="dxa" w:w="2493"/>
          </w:tcPr>
          <w:p>
            <w:r>
              <w:t>Expenses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t>$35,000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t>$38,000</w:t>
            </w:r>
          </w:p>
        </w:tc>
        <w:tc>
          <w:tcPr>
            <w:tcW w:type="dxa" w:w="2493"/>
          </w:tcPr>
          <w:p>
            <w:pPr>
              <w:jc w:val="right"/>
            </w:pPr>
            <w:r>
              <w:rPr>
                <w:b/>
              </w:rPr>
              <w:t>$73,000</w:t>
            </w:r>
          </w:p>
        </w:tc>
      </w:tr>
      <w:tr>
        <w:tc>
          <w:tcPr>
            <w:tcW w:type="dxa" w:w="2493"/>
            <w:shd w:fill="D6DCE5"/>
          </w:tcPr>
          <w:p>
            <w:r>
              <w:t>Profit</w:t>
            </w:r>
          </w:p>
        </w:tc>
        <w:tc>
          <w:tcPr>
            <w:tcW w:type="dxa" w:w="2493"/>
            <w:shd w:fill="D6DCE5"/>
          </w:tcPr>
          <w:p>
            <w:pPr>
              <w:jc w:val="right"/>
            </w:pPr>
            <w:r>
              <w:t>$15,000</w:t>
            </w:r>
          </w:p>
        </w:tc>
        <w:tc>
          <w:tcPr>
            <w:tcW w:type="dxa" w:w="2493"/>
            <w:shd w:fill="D6DCE5"/>
          </w:tcPr>
          <w:p>
            <w:pPr>
              <w:jc w:val="right"/>
            </w:pPr>
            <w:r>
              <w:t>$17,000</w:t>
            </w:r>
          </w:p>
        </w:tc>
        <w:tc>
          <w:tcPr>
            <w:tcW w:type="dxa" w:w="2493"/>
            <w:shd w:fill="D6DCE5"/>
          </w:tcPr>
          <w:p>
            <w:pPr>
              <w:jc w:val="right"/>
            </w:pPr>
            <w:r>
              <w:rPr>
                <w:b/>
              </w:rPr>
              <w:t>$32,000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color w:val="808080"/>
        <w:sz w:val="20"/>
      </w:rPr>
      <w:t>Page 1 of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right"/>
    </w:pPr>
    <w:r>
      <w:rPr>
        <w:i/>
        <w:color w:val="808080"/>
      </w:rPr>
      <w:t>Company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