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Business Report</w:t>
      </w:r>
    </w:p>
    <w:p>
      <w:pPr>
        <w:pStyle w:val="Heading1"/>
      </w:pPr>
      <w:r>
        <w:t>Executive Summary</w:t>
      </w:r>
    </w:p>
    <w:p>
      <w:r>
        <w:t>This report provides an overview of the company's performance during Q4 2024. Key metrics show positive growth across all departments.</w:t>
      </w:r>
    </w:p>
    <w:p>
      <w:pPr>
        <w:pStyle w:val="Heading1"/>
      </w:pPr>
      <w:r>
        <w:t>Financial Overview</w:t>
      </w:r>
    </w:p>
    <w:p>
      <w:r>
        <w:t>Revenue increased by 15% compared to the previous quarter, while operating costs remained stable.</w:t>
      </w:r>
    </w:p>
    <w:p>
      <w:pPr>
        <w:pStyle w:val="Heading2"/>
      </w:pPr>
      <w:r>
        <w:t>Revenue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Q3 Revenue</w:t>
            </w:r>
          </w:p>
        </w:tc>
        <w:tc>
          <w:tcPr>
            <w:tcW w:type="dxa" w:w="2160"/>
          </w:tcPr>
          <w:p>
            <w:r>
              <w:t>Q4 Revenue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$1.2M</w:t>
            </w:r>
          </w:p>
        </w:tc>
        <w:tc>
          <w:tcPr>
            <w:tcW w:type="dxa" w:w="2160"/>
          </w:tcPr>
          <w:p>
            <w:r>
              <w:t>$1.4M</w:t>
            </w:r>
          </w:p>
        </w:tc>
        <w:tc>
          <w:tcPr>
            <w:tcW w:type="dxa" w:w="2160"/>
          </w:tcPr>
          <w:p>
            <w:r>
              <w:t>+16.7%</w:t>
            </w:r>
          </w:p>
        </w:tc>
      </w:tr>
      <w:tr>
        <w:tc>
          <w:tcPr>
            <w:tcW w:type="dxa" w:w="216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$800K</w:t>
            </w:r>
          </w:p>
        </w:tc>
        <w:tc>
          <w:tcPr>
            <w:tcW w:type="dxa" w:w="2160"/>
          </w:tcPr>
          <w:p>
            <w:r>
              <w:t>$920K</w:t>
            </w:r>
          </w:p>
        </w:tc>
        <w:tc>
          <w:tcPr>
            <w:tcW w:type="dxa" w:w="2160"/>
          </w:tcPr>
          <w:p>
            <w:r>
              <w:t>+15.0%</w:t>
            </w:r>
          </w:p>
        </w:tc>
      </w:tr>
      <w:tr>
        <w:tc>
          <w:tcPr>
            <w:tcW w:type="dxa" w:w="2160"/>
          </w:tcPr>
          <w:p>
            <w:r>
              <w:t>Licensing</w:t>
            </w:r>
          </w:p>
        </w:tc>
        <w:tc>
          <w:tcPr>
            <w:tcW w:type="dxa" w:w="2160"/>
          </w:tcPr>
          <w:p>
            <w:r>
              <w:t>$400K</w:t>
            </w:r>
          </w:p>
        </w:tc>
        <w:tc>
          <w:tcPr>
            <w:tcW w:type="dxa" w:w="2160"/>
          </w:tcPr>
          <w:p>
            <w:r>
              <w:t>$450K</w:t>
            </w:r>
          </w:p>
        </w:tc>
        <w:tc>
          <w:tcPr>
            <w:tcW w:type="dxa" w:w="2160"/>
          </w:tcPr>
          <w:p>
            <w:r>
              <w:t>+12.5%</w:t>
            </w:r>
          </w:p>
        </w:tc>
      </w:tr>
    </w:tbl>
    <w:p>
      <w:pPr>
        <w:pStyle w:val="Heading1"/>
      </w:pPr>
      <w:r>
        <w:t>Key Achievements</w:t>
      </w:r>
    </w:p>
    <w:p>
      <w:r>
        <w:t>1. Launched new product line in European market</w:t>
      </w:r>
    </w:p>
    <w:p>
      <w:r>
        <w:t>2. Expanded customer support team by 25%</w:t>
      </w:r>
    </w:p>
    <w:p>
      <w:r>
        <w:t>3. Achieved 99.9% service uptime</w:t>
      </w:r>
    </w:p>
    <w:p>
      <w:pPr>
        <w:pStyle w:val="Heading1"/>
      </w:pPr>
      <w:r>
        <w:t>Next Steps</w:t>
      </w:r>
    </w:p>
    <w:p>
      <w:r>
        <w:t>Focus areas for Q1 2025 include expanding into Asian markets and launching the next generation of our flagship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