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GoProbeA" w:hAnsi="GoProbeA" w:cs="GoProbeA"/>
          <w:sz w:val="24"/>
          <w:szCs w:val="24"/>
        </w:rPr>
      </w:pPr>
      <w:r>
        <w:rPr>
          <w:rFonts w:ascii="GoProbeA" w:hAnsi="GoProbeA" w:cs="GoProbeA"/>
          <w:sz w:val="24"/>
          <w:szCs w:val="24"/>
        </w:rPr>
        <w:t xml:space="preserve">embedded probe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