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</w:p>
    <w:tbl>
      <w:tblPr>
        <w:tblW w:w="9000" w:type="dxa"/>
      </w:tblPr>
      <w:tblGrid>
        <w:gridCol w:w="966"/>
        <w:gridCol w:w="5188"/>
        <w:gridCol w:w="2846"/>
      </w:tblGrid>
      <w:tr>
        <w:tc>
          <w:tcPr>
            <w:tcW w:w="1000" w:type="dxa"/>
          </w:tcPr>
          <w:p>
            <w:r>
              <w:t xml:space="preserve">a</w:t>
            </w:r>
          </w:p>
        </w:tc>
        <w:tc>
          <w:tcPr>
            <w:tcW w:w="6500" w:type="dxa"/>
          </w:tcPr>
          <w:p>
            <w:r>
              <w:t xml:space="preserve">b</w:t>
            </w:r>
          </w:p>
        </w:tc>
        <w:tc>
          <w:tcPr>
            <w:tcW w:w="1500" w:type="dxa"/>
          </w:tcPr>
          <w:p>
            <w:r>
              <w:t xml:space="preserve">Supercalifragilisticexpiali</w:t>
            </w:r>
          </w:p>
        </w:tc>
      </w:tr>
    </w:tbl>
    <w:p>
      <w:r>
        <w:t xml:space="preserve">B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