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libri" w:hAnsi="Calibri" w:cs="Calibri" w:eastAsia="맑은 고딕"/>
          <w:sz w:val="16"/>
          <w:szCs w:val="16"/>
        </w:rPr>
      </w:pPr>
      <w:r>
        <w:rPr>
          <w:rFonts w:ascii="Calibri" w:hAnsi="Calibri" w:cs="Calibri" w:eastAsia="맑은 고딕"/>
          <w:sz w:val="16"/>
          <w:szCs w:val="16"/>
        </w:rPr>
        <w:t xml:space="preserve">접수·검토·보완·회신,</w:t>
      </w:r>
    </w:p>
    <w:p>
      <w:pPr>
        <w:spacing w:after="0" w:line="259" w:lineRule="auto"/>
        <w:rPr>
          <w:rFonts w:ascii="Calibri" w:hAnsi="Calibri" w:cs="Calibri" w:eastAsia="맑은 고딕"/>
          <w:sz w:val="22"/>
          <w:szCs w:val="22"/>
        </w:rPr>
      </w:pPr>
      <w:r>
        <w:rPr>
          <w:rFonts w:ascii="Calibri" w:hAnsi="Calibri" w:cs="Calibri" w:eastAsia="맑은 고딕"/>
          <w:sz w:val="22"/>
          <w:szCs w:val="22"/>
        </w:rPr>
        <w:t xml:space="preserve">Page 1 of 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맑은 고딕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