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>Series B Capitalization Table</w:t>
      </w:r>
    </w:p>
    <w:tbl>
      <w:tblPr>
        <w:tblW w:w="23400" w:type="dxa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1600"/>
        <w:gridCol w:w="1800"/>
        <w:gridCol w:w="1600"/>
        <w:gridCol w:w="2000"/>
        <w:gridCol w:w="1800"/>
        <w:gridCol w:w="2000"/>
        <w:gridCol w:w="1600"/>
        <w:gridCol w:w="2200"/>
        <w:gridCol w:w="2000"/>
        <w:gridCol w:w="1800"/>
        <w:gridCol w:w="2600"/>
      </w:tblGrid>
      <w:tr>
        <w:tc>
          <w:tcPr>
            <w:tcW w:w="2400" w:type="dxa"/>
          </w:tcPr>
          <w:p>
            <w:r>
              <w:t xml:space="preserve">Shareholder</w:t>
            </w:r>
          </w:p>
        </w:tc>
        <w:tc>
          <w:tcPr>
            <w:tcW w:w="1600" w:type="dxa"/>
          </w:tcPr>
          <w:p>
            <w:r>
              <w:t xml:space="preserve">Class</w:t>
            </w:r>
          </w:p>
        </w:tc>
        <w:tc>
          <w:tcPr>
            <w:tcW w:w="1800" w:type="dxa"/>
          </w:tcPr>
          <w:p>
            <w:r>
              <w:t xml:space="preserve">Shares</w:t>
            </w:r>
          </w:p>
        </w:tc>
        <w:tc>
          <w:tcPr>
            <w:tcW w:w="1600" w:type="dxa"/>
          </w:tcPr>
          <w:p>
            <w:r>
              <w:t xml:space="preserve">Price</w:t>
            </w:r>
          </w:p>
        </w:tc>
        <w:tc>
          <w:tcPr>
            <w:tcW w:w="2000" w:type="dxa"/>
          </w:tcPr>
          <w:p>
            <w:r>
              <w:t xml:space="preserve">Invested</w:t>
            </w:r>
          </w:p>
        </w:tc>
        <w:tc>
          <w:tcPr>
            <w:tcW w:w="1800" w:type="dxa"/>
          </w:tcPr>
          <w:p>
            <w:r>
              <w:t xml:space="preserve">Ownership %</w:t>
            </w:r>
          </w:p>
        </w:tc>
        <w:tc>
          <w:tcPr>
            <w:tcW w:w="2000" w:type="dxa"/>
          </w:tcPr>
          <w:p>
            <w:r>
              <w:t xml:space="preserve">Fully Diluted %</w:t>
            </w:r>
          </w:p>
        </w:tc>
        <w:tc>
          <w:tcPr>
            <w:tcW w:w="1600" w:type="dxa"/>
          </w:tcPr>
          <w:p>
            <w:r>
              <w:t xml:space="preserve">Board Seats</w:t>
            </w:r>
          </w:p>
        </w:tc>
        <w:tc>
          <w:tcPr>
            <w:tcW w:w="2200" w:type="dxa"/>
          </w:tcPr>
          <w:p>
            <w:r>
              <w:t xml:space="preserve">Liquidation Pref</w:t>
            </w:r>
          </w:p>
        </w:tc>
        <w:tc>
          <w:tcPr>
            <w:tcW w:w="2000" w:type="dxa"/>
          </w:tcPr>
          <w:p>
            <w:r>
              <w:t xml:space="preserve">Anti-dilution</w:t>
            </w:r>
          </w:p>
        </w:tc>
        <w:tc>
          <w:tcPr>
            <w:tcW w:w="1800" w:type="dxa"/>
          </w:tcPr>
          <w:p>
            <w:r>
              <w:t xml:space="preserve">Vesting</w:t>
            </w:r>
          </w:p>
        </w:tc>
        <w:tc>
          <w:tcPr>
            <w:tcW w:w="2600" w:type="dxa"/>
          </w:tcPr>
          <w:p>
            <w:r>
              <w:t xml:space="preserve">Notes</w:t>
            </w:r>
          </w:p>
        </w:tc>
      </w:tr>
      <w:tr>
        <w:tc>
          <w:tcPr>
            <w:tcW w:w="2400" w:type="dxa"/>
          </w:tcPr>
          <w:p>
            <w:r>
              <w:t xml:space="preserve">val-0-0</w:t>
            </w:r>
          </w:p>
        </w:tc>
        <w:tc>
          <w:tcPr>
            <w:tcW w:w="1600" w:type="dxa"/>
          </w:tcPr>
          <w:p>
            <w:r>
              <w:t xml:space="preserve">val-0-1</w:t>
            </w:r>
          </w:p>
        </w:tc>
        <w:tc>
          <w:tcPr>
            <w:tcW w:w="1800" w:type="dxa"/>
          </w:tcPr>
          <w:p>
            <w:r>
              <w:t xml:space="preserve">val-0-2</w:t>
            </w:r>
          </w:p>
        </w:tc>
        <w:tc>
          <w:tcPr>
            <w:tcW w:w="1600" w:type="dxa"/>
          </w:tcPr>
          <w:p>
            <w:r>
              <w:t xml:space="preserve">val-0-3</w:t>
            </w:r>
          </w:p>
        </w:tc>
        <w:tc>
          <w:tcPr>
            <w:tcW w:w="2000" w:type="dxa"/>
          </w:tcPr>
          <w:p>
            <w:r>
              <w:t xml:space="preserve">val-0-4</w:t>
            </w:r>
          </w:p>
        </w:tc>
        <w:tc>
          <w:tcPr>
            <w:tcW w:w="1800" w:type="dxa"/>
          </w:tcPr>
          <w:p>
            <w:r>
              <w:t xml:space="preserve">val-0-5</w:t>
            </w:r>
          </w:p>
        </w:tc>
        <w:tc>
          <w:tcPr>
            <w:tcW w:w="2000" w:type="dxa"/>
          </w:tcPr>
          <w:p>
            <w:r>
              <w:t xml:space="preserve">val-0-6</w:t>
            </w:r>
          </w:p>
        </w:tc>
        <w:tc>
          <w:tcPr>
            <w:tcW w:w="1600" w:type="dxa"/>
          </w:tcPr>
          <w:p>
            <w:r>
              <w:t xml:space="preserve">val-0-7</w:t>
            </w:r>
          </w:p>
        </w:tc>
        <w:tc>
          <w:tcPr>
            <w:tcW w:w="2200" w:type="dxa"/>
          </w:tcPr>
          <w:p>
            <w:r>
              <w:t xml:space="preserve">val-0-8</w:t>
            </w:r>
          </w:p>
        </w:tc>
        <w:tc>
          <w:tcPr>
            <w:tcW w:w="2000" w:type="dxa"/>
          </w:tcPr>
          <w:p>
            <w:r>
              <w:t xml:space="preserve">val-0-9</w:t>
            </w:r>
          </w:p>
        </w:tc>
        <w:tc>
          <w:tcPr>
            <w:tcW w:w="1800" w:type="dxa"/>
          </w:tcPr>
          <w:p>
            <w:r>
              <w:t xml:space="preserve">val-0-10</w:t>
            </w:r>
          </w:p>
        </w:tc>
        <w:tc>
          <w:tcPr>
            <w:tcW w:w="2600" w:type="dxa"/>
          </w:tcPr>
          <w:p>
            <w:r>
              <w:t xml:space="preserve">val-0-11</w:t>
            </w:r>
          </w:p>
        </w:tc>
      </w:tr>
      <w:tr>
        <w:tc>
          <w:tcPr>
            <w:tcW w:w="2400" w:type="dxa"/>
          </w:tcPr>
          <w:p>
            <w:r>
              <w:t xml:space="preserve">val-1-0</w:t>
            </w:r>
          </w:p>
        </w:tc>
        <w:tc>
          <w:tcPr>
            <w:tcW w:w="1600" w:type="dxa"/>
          </w:tcPr>
          <w:p>
            <w:r>
              <w:t xml:space="preserve">val-1-1</w:t>
            </w:r>
          </w:p>
        </w:tc>
        <w:tc>
          <w:tcPr>
            <w:tcW w:w="1800" w:type="dxa"/>
          </w:tcPr>
          <w:p>
            <w:r>
              <w:t xml:space="preserve">val-1-2</w:t>
            </w:r>
          </w:p>
        </w:tc>
        <w:tc>
          <w:tcPr>
            <w:tcW w:w="1600" w:type="dxa"/>
          </w:tcPr>
          <w:p>
            <w:r>
              <w:t xml:space="preserve">val-1-3</w:t>
            </w:r>
          </w:p>
        </w:tc>
        <w:tc>
          <w:tcPr>
            <w:tcW w:w="2000" w:type="dxa"/>
          </w:tcPr>
          <w:p>
            <w:r>
              <w:t xml:space="preserve">val-1-4</w:t>
            </w:r>
          </w:p>
        </w:tc>
        <w:tc>
          <w:tcPr>
            <w:tcW w:w="1800" w:type="dxa"/>
          </w:tcPr>
          <w:p>
            <w:r>
              <w:t xml:space="preserve">val-1-5</w:t>
            </w:r>
          </w:p>
        </w:tc>
        <w:tc>
          <w:tcPr>
            <w:tcW w:w="2000" w:type="dxa"/>
          </w:tcPr>
          <w:p>
            <w:r>
              <w:t xml:space="preserve">val-1-6</w:t>
            </w:r>
          </w:p>
        </w:tc>
        <w:tc>
          <w:tcPr>
            <w:tcW w:w="1600" w:type="dxa"/>
          </w:tcPr>
          <w:p>
            <w:r>
              <w:t xml:space="preserve">val-1-7</w:t>
            </w:r>
          </w:p>
        </w:tc>
        <w:tc>
          <w:tcPr>
            <w:tcW w:w="2200" w:type="dxa"/>
          </w:tcPr>
          <w:p>
            <w:r>
              <w:t xml:space="preserve">val-1-8</w:t>
            </w:r>
          </w:p>
        </w:tc>
        <w:tc>
          <w:tcPr>
            <w:tcW w:w="2000" w:type="dxa"/>
          </w:tcPr>
          <w:p>
            <w:r>
              <w:t xml:space="preserve">val-1-9</w:t>
            </w:r>
          </w:p>
        </w:tc>
        <w:tc>
          <w:tcPr>
            <w:tcW w:w="1800" w:type="dxa"/>
          </w:tcPr>
          <w:p>
            <w:r>
              <w:t xml:space="preserve">val-1-10</w:t>
            </w:r>
          </w:p>
        </w:tc>
        <w:tc>
          <w:tcPr>
            <w:tcW w:w="2600" w:type="dxa"/>
          </w:tcPr>
          <w:p>
            <w:r>
              <w:t xml:space="preserve">val-1-11</w:t>
            </w:r>
          </w:p>
        </w:tc>
      </w:tr>
      <w:tr>
        <w:tc>
          <w:tcPr>
            <w:tcW w:w="2400" w:type="dxa"/>
          </w:tcPr>
          <w:p>
            <w:r>
              <w:t xml:space="preserve">val-2-0</w:t>
            </w:r>
          </w:p>
        </w:tc>
        <w:tc>
          <w:tcPr>
            <w:tcW w:w="1600" w:type="dxa"/>
          </w:tcPr>
          <w:p>
            <w:r>
              <w:t xml:space="preserve">val-2-1</w:t>
            </w:r>
          </w:p>
        </w:tc>
        <w:tc>
          <w:tcPr>
            <w:tcW w:w="1800" w:type="dxa"/>
          </w:tcPr>
          <w:p>
            <w:r>
              <w:t xml:space="preserve">val-2-2</w:t>
            </w:r>
          </w:p>
        </w:tc>
        <w:tc>
          <w:tcPr>
            <w:tcW w:w="1600" w:type="dxa"/>
          </w:tcPr>
          <w:p>
            <w:r>
              <w:t xml:space="preserve">val-2-3</w:t>
            </w:r>
          </w:p>
        </w:tc>
        <w:tc>
          <w:tcPr>
            <w:tcW w:w="2000" w:type="dxa"/>
          </w:tcPr>
          <w:p>
            <w:r>
              <w:t xml:space="preserve">val-2-4</w:t>
            </w:r>
          </w:p>
        </w:tc>
        <w:tc>
          <w:tcPr>
            <w:tcW w:w="1800" w:type="dxa"/>
          </w:tcPr>
          <w:p>
            <w:r>
              <w:t xml:space="preserve">val-2-5</w:t>
            </w:r>
          </w:p>
        </w:tc>
        <w:tc>
          <w:tcPr>
            <w:tcW w:w="2000" w:type="dxa"/>
          </w:tcPr>
          <w:p>
            <w:r>
              <w:t xml:space="preserve">val-2-6</w:t>
            </w:r>
          </w:p>
        </w:tc>
        <w:tc>
          <w:tcPr>
            <w:tcW w:w="1600" w:type="dxa"/>
          </w:tcPr>
          <w:p>
            <w:r>
              <w:t xml:space="preserve">val-2-7</w:t>
            </w:r>
          </w:p>
        </w:tc>
        <w:tc>
          <w:tcPr>
            <w:tcW w:w="2200" w:type="dxa"/>
          </w:tcPr>
          <w:p>
            <w:r>
              <w:t xml:space="preserve">val-2-8</w:t>
            </w:r>
          </w:p>
        </w:tc>
        <w:tc>
          <w:tcPr>
            <w:tcW w:w="2000" w:type="dxa"/>
          </w:tcPr>
          <w:p>
            <w:r>
              <w:t xml:space="preserve">val-2-9</w:t>
            </w:r>
          </w:p>
        </w:tc>
        <w:tc>
          <w:tcPr>
            <w:tcW w:w="1800" w:type="dxa"/>
          </w:tcPr>
          <w:p>
            <w:r>
              <w:t xml:space="preserve">val-2-10</w:t>
            </w:r>
          </w:p>
        </w:tc>
        <w:tc>
          <w:tcPr>
            <w:tcW w:w="2600" w:type="dxa"/>
          </w:tcPr>
          <w:p>
            <w:r>
              <w:t xml:space="preserve">val-2-11</w:t>
            </w:r>
          </w:p>
        </w:tc>
      </w:tr>
    </w:tbl>
    <w:p>
      <w:r>
        <w:t xml:space="preserve">The parties agree that the capitalization set out above reflects all issued and outstanding shares on a fully diluted basis as of the closing date.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