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Exhibit C — Page-Anchored Position</w:t>
      </w:r>
    </w:p>
    <w:p>
      <w:r>
        <w:t xml:space="preserve">The parties agree that the capitalization set out above reflects all issued and outstanding shares on a fully diluted basis as of the closing date.</w:t>
      </w:r>
    </w:p>
    <w:tbl>
      <w:tblPr>
        <w:tblW w:w="9026" w:type="dxa"/>
        <w:tblpPr w:leftFromText="180" w:rightFromText="180" w:vertAnchor="page" w:horzAnchor="margin" w:tblpY="600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2306"/>
        <w:gridCol w:w="2240"/>
        <w:gridCol w:w="2240"/>
        <w:gridCol w:w="2240"/>
      </w:tblGrid>
      <w:tr>
        <w:tc>
          <w:tcPr>
            <w:tcW w:w="2306" w:type="dxa"/>
          </w:tcPr>
          <w:p>
            <w:r>
              <w:t xml:space="preserve">Holder</w:t>
            </w:r>
          </w:p>
        </w:tc>
        <w:tc>
          <w:tcPr>
            <w:tcW w:w="2240" w:type="dxa"/>
          </w:tcPr>
          <w:p>
            <w:r>
              <w:t xml:space="preserve">Class</w:t>
            </w:r>
          </w:p>
        </w:tc>
        <w:tc>
          <w:tcPr>
            <w:tcW w:w="2240" w:type="dxa"/>
          </w:tcPr>
          <w:p>
            <w:r>
              <w:t xml:space="preserve">Shares</w:t>
            </w:r>
          </w:p>
        </w:tc>
        <w:tc>
          <w:tcPr>
            <w:tcW w:w="2240" w:type="dxa"/>
          </w:tcPr>
          <w:p>
            <w:r>
              <w:t xml:space="preserve">Notes</w:t>
            </w:r>
          </w:p>
        </w:tc>
      </w:tr>
      <w:tr>
        <w:tc>
          <w:tcPr>
            <w:tcW w:w="2306" w:type="dxa"/>
          </w:tcPr>
          <w:p>
            <w:r>
              <w:t xml:space="preserve">val-0-0</w:t>
            </w:r>
          </w:p>
        </w:tc>
        <w:tc>
          <w:tcPr>
            <w:tcW w:w="2240" w:type="dxa"/>
          </w:tcPr>
          <w:p>
            <w:r>
              <w:t xml:space="preserve">val-0-1</w:t>
            </w:r>
          </w:p>
        </w:tc>
        <w:tc>
          <w:tcPr>
            <w:tcW w:w="2240" w:type="dxa"/>
          </w:tcPr>
          <w:p>
            <w:r>
              <w:t xml:space="preserve">val-0-2</w:t>
            </w:r>
          </w:p>
        </w:tc>
        <w:tc>
          <w:tcPr>
            <w:tcW w:w="2240" w:type="dxa"/>
          </w:tcPr>
          <w:p>
            <w:r>
              <w:t xml:space="preserve">val-0-3</w:t>
            </w:r>
          </w:p>
        </w:tc>
      </w:tr>
      <w:tr>
        <w:tc>
          <w:tcPr>
            <w:tcW w:w="2306" w:type="dxa"/>
          </w:tcPr>
          <w:p>
            <w:r>
              <w:t xml:space="preserve">val-1-0</w:t>
            </w:r>
          </w:p>
        </w:tc>
        <w:tc>
          <w:tcPr>
            <w:tcW w:w="2240" w:type="dxa"/>
          </w:tcPr>
          <w:p>
            <w:r>
              <w:t xml:space="preserve">val-1-1</w:t>
            </w:r>
          </w:p>
        </w:tc>
        <w:tc>
          <w:tcPr>
            <w:tcW w:w="2240" w:type="dxa"/>
          </w:tcPr>
          <w:p>
            <w:r>
              <w:t xml:space="preserve">val-1-2</w:t>
            </w:r>
          </w:p>
        </w:tc>
        <w:tc>
          <w:tcPr>
            <w:tcW w:w="2240" w:type="dxa"/>
          </w:tcPr>
          <w:p>
            <w:r>
              <w:t xml:space="preserve">val-1-3</w:t>
            </w:r>
          </w:p>
        </w:tc>
      </w:tr>
    </w:tbl>
    <w:p>
      <w:r>
        <w:t xml:space="preserve">The parties agree that the capitalization set out above reflects all issued and outstanding shares on a fully diluted basis as of the closing date.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