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Cambria" w:hAnsi="Cambria" w:cs="Cambria" w:eastAsia="Batang"/>
          <w:sz w:val="24"/>
          <w:szCs w:val="24"/>
        </w:rPr>
      </w:pPr>
      <w:r>
        <w:rPr>
          <w:rFonts w:ascii="Cambria" w:hAnsi="Cambria" w:cs="Cambria" w:eastAsia="Batang"/>
          <w:sz w:val="24"/>
          <w:szCs w:val="24"/>
        </w:rPr>
        <w:t xml:space="preserve">Cambria 가나 12</w:t>
      </w:r>
    </w:p>
    <w:p>
      <w:pPr>
        <w:rPr>
          <w:rFonts w:ascii="Noto Sans CJK KR" w:hAnsi="Noto Sans CJK KR" w:cs="Noto Sans CJK KR" w:eastAsia="Noto Sans CJK KR"/>
          <w:sz w:val="22"/>
          <w:szCs w:val="22"/>
        </w:rPr>
      </w:pPr>
      <w:r>
        <w:rPr>
          <w:rFonts w:ascii="Noto Sans CJK KR" w:hAnsi="Noto Sans CJK KR" w:cs="Noto Sans CJK KR" w:eastAsia="Noto Sans CJK KR"/>
          <w:sz w:val="22"/>
          <w:szCs w:val="22"/>
        </w:rPr>
        <w:t xml:space="preserve">http://example.com/a/very/long/url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