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alibri" w:hAnsi="Calibri" w:cs="Calibri" w:eastAsia="等线"/>
          <w:sz w:val="22"/>
          <w:szCs w:val="22"/>
        </w:rPr>
      </w:pPr>
      <w:r>
        <w:rPr>
          <w:rFonts w:ascii="Calibri" w:hAnsi="Calibri" w:cs="Calibri" w:eastAsia="等线"/>
          <w:sz w:val="22"/>
          <w:szCs w:val="22"/>
        </w:rPr>
        <w:t xml:space="preserve">文字文字 DengXian 11</w:t>
      </w:r>
    </w:p>
    <w:p>
      <w:pPr>
        <w:rPr>
          <w:rFonts w:ascii="Calibri" w:hAnsi="Calibri" w:cs="Calibri" w:eastAsia="新細明體"/>
          <w:sz w:val="24"/>
          <w:szCs w:val="24"/>
        </w:rPr>
      </w:pPr>
      <w:r>
        <w:rPr>
          <w:rFonts w:ascii="Calibri" w:hAnsi="Calibri" w:cs="Calibri" w:eastAsia="新細明體"/>
          <w:sz w:val="24"/>
          <w:szCs w:val="24"/>
        </w:rPr>
        <w:t xml:space="preserve">文字文字 PMingLiU 12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等线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