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lead</w:t>
      </w:r>
    </w:p>
    <w:tbl>
      <w:tblPr>
        <w:tblW w:w="6000" w:type="dxa"/>
        <w:bidiVisual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abc 123</w:t>
            </w:r>
          </w:p>
        </w:tc>
        <w:tc>
          <w:tcPr>
            <w:tcW w:w="3000" w:type="dxa"/>
          </w:tcPr>
          <w:p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sz w:val="24"/>
                <w:szCs w:val="24"/>
                <w:rtl/>
              </w:rPr>
              <w:t xml:space="preserve">عنوان التقرير</w:t>
            </w:r>
          </w:p>
        </w:tc>
      </w:tr>
    </w:tbl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mid</w:t>
      </w:r>
    </w:p>
    <w:p>
      <w:r>
  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        <mc:Choice Requires="wps">
            <w:drawing>
              <wp:inline distT="0" distB="0" distL="0" distR="0">
                <wp:extent cx="2743200" cy="64008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rPr>
                                <w:rFonts w:ascii="Calibri" w:hAnsi="Calibri" w:cs="Calibri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  <w:rtl/>
                              </w:rPr>
                              <w:t xml:space="preserve">عنوان التقرير</w:t>
                            </w:r>
                          </w:p>
                          <w:p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abc 123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