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02C4" w14:textId="016CE685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  <w:t>Davide Gentile</w:t>
      </w:r>
    </w:p>
    <w:p w14:paraId="4B7DCFFA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kern w:val="0"/>
          <w:lang w:val="en-US"/>
          <w14:ligatures w14:val="none"/>
        </w:rPr>
      </w:pPr>
    </w:p>
    <w:p w14:paraId="009157E9" w14:textId="1BB6F040" w:rsidR="00AC7770" w:rsidRDefault="00AC7770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5 King's College Rd,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Rm. RS317</w:t>
      </w:r>
    </w:p>
    <w:p w14:paraId="4360F2DA" w14:textId="748ED56A" w:rsidR="00C75143" w:rsidRPr="00C75143" w:rsidRDefault="00C75143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University of </w:t>
      </w:r>
      <w:r w:rsidRPr="00C75143">
        <w:rPr>
          <w:rFonts w:ascii="Arial" w:eastAsia="Times New Roman" w:hAnsi="Arial" w:cs="Arial"/>
          <w:color w:val="000000"/>
          <w:kern w:val="0"/>
          <w14:ligatures w14:val="none"/>
        </w:rPr>
        <w:t>Toronto, ON</w:t>
      </w:r>
      <w:r w:rsid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C7770" w:rsidRPr="00AC7770">
        <w:rPr>
          <w:rFonts w:ascii="Arial" w:eastAsia="Times New Roman" w:hAnsi="Arial" w:cs="Arial"/>
          <w:color w:val="000000"/>
          <w:kern w:val="0"/>
          <w14:ligatures w14:val="none"/>
        </w:rPr>
        <w:t>M5S 3G8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 Canada</w:t>
      </w:r>
    </w:p>
    <w:p w14:paraId="07846C39" w14:textId="018F2AEA" w:rsidR="005339AA" w:rsidRPr="005339AA" w:rsidRDefault="00DA211E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+1 </w:t>
      </w:r>
      <w:r w:rsidR="005339AA"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416-302-21-24</w:t>
      </w:r>
    </w:p>
    <w:p w14:paraId="7E386B6B" w14:textId="31F36CE4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d.gentile@utoronto.ca</w:t>
      </w:r>
    </w:p>
    <w:p w14:paraId="557DE839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45348488" w14:textId="0ACD1EC4" w:rsidR="004F7C93" w:rsidRDefault="00DD448F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ACADEMIC APPOINTMENTS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 </w:t>
      </w:r>
    </w:p>
    <w:p w14:paraId="034E2866" w14:textId="77777777" w:rsidR="004F7C93" w:rsidRPr="005339AA" w:rsidRDefault="004F7C93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1260"/>
      </w:tblGrid>
      <w:tr w:rsidR="00DD448F" w14:paraId="5FF62144" w14:textId="77777777" w:rsidTr="00CA25F6">
        <w:tc>
          <w:tcPr>
            <w:tcW w:w="9747" w:type="dxa"/>
          </w:tcPr>
          <w:p w14:paraId="240DD89C" w14:textId="513D98B3" w:rsidR="00DD448F" w:rsidRPr="005339AA" w:rsidRDefault="00DD448F" w:rsidP="00DD448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Postdoctoral Fellow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Cognitive Engineering Laboratory,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Engineering</w:t>
            </w:r>
            <w:r w:rsidR="00CA25F6"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3775B614" w14:textId="0E0FCF1B" w:rsidR="00DF1AB0" w:rsidRDefault="0039029A" w:rsidP="00DF1AB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Leading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experimental and analytical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research projects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73EA9">
              <w:rPr>
                <w:rFonts w:ascii="Arial" w:hAnsi="Arial" w:cs="Arial"/>
                <w:color w:val="000000"/>
                <w:sz w:val="22"/>
                <w:szCs w:val="22"/>
              </w:rPr>
              <w:t xml:space="preserve">on human performance in safety-critical systems;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>selected and funded by the Natural Science and Engineering Research Council of Canada (NSERC) and the Canadian Nuclear Safety Commission (CNSC)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yielding 4 public presentations and 2 conference proceedings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in 5 months. </w:t>
            </w:r>
          </w:p>
          <w:p w14:paraId="53DBB046" w14:textId="3A7AE1D2" w:rsidR="000B73DC" w:rsidRDefault="00B53D90" w:rsidP="00B53D9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>Supervis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team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 researchers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industrial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engineer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 xml:space="preserve">resulting in the development of one MSc thesis and two PhD dissertations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using a micro-world research platform for human-subjects experiments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to study the human performance impacts of automated features in </w:t>
            </w:r>
            <w:r w:rsidR="00215E4D">
              <w:rPr>
                <w:rFonts w:ascii="Arial" w:hAnsi="Arial" w:cs="Arial"/>
                <w:color w:val="000000"/>
                <w:sz w:val="22"/>
                <w:szCs w:val="22"/>
              </w:rPr>
              <w:t>modern nuclear operations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2B4F2F5" w14:textId="77777777" w:rsidR="00B53D90" w:rsidRDefault="00EE76F9" w:rsidP="00EE76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Managing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collaboration across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national and international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partners, including Idaho National Laboratory in the USA, and the </w:t>
            </w:r>
            <w:r w:rsidR="00380911" w:rsidRPr="00380911">
              <w:rPr>
                <w:rFonts w:ascii="Arial" w:hAnsi="Arial" w:cs="Arial"/>
                <w:color w:val="000000"/>
                <w:sz w:val="22"/>
                <w:szCs w:val="22"/>
              </w:rPr>
              <w:t xml:space="preserve">Institute for Energy Technology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Norway. </w:t>
            </w:r>
          </w:p>
          <w:p w14:paraId="38B66C64" w14:textId="424EBB58" w:rsidR="00380911" w:rsidRPr="00EE76F9" w:rsidRDefault="00380911" w:rsidP="00380911">
            <w:pPr>
              <w:pStyle w:val="NormalWeb"/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9691923" w14:textId="59BAF81B" w:rsidR="00DD448F" w:rsidRPr="00DD448F" w:rsidRDefault="00DD448F" w:rsidP="008C529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</w:pPr>
            <w:r w:rsidRPr="00DD448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2024-Present</w:t>
            </w:r>
          </w:p>
        </w:tc>
      </w:tr>
      <w:tr w:rsidR="00BA7C4D" w14:paraId="31E794CC" w14:textId="77777777" w:rsidTr="00CA25F6">
        <w:tc>
          <w:tcPr>
            <w:tcW w:w="9747" w:type="dxa"/>
          </w:tcPr>
          <w:p w14:paraId="0AD7B459" w14:textId="00A60BE6" w:rsidR="00BA7C4D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Graduate Affiliate,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Schwartz Reisman Institute for Technology and Society, Toronto, Canada</w:t>
            </w:r>
          </w:p>
          <w:p w14:paraId="4F05BBAC" w14:textId="6AE27AEF" w:rsidR="00B832C6" w:rsidRP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llaborated</w:t>
            </w: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with experts and scholars from diverse fields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on topics related to the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impact of </w:t>
            </w:r>
            <w:r w:rsidR="00550C9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AI and other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emerging technologies on human communities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including bias, fairness, accountability and transparency. </w:t>
            </w:r>
          </w:p>
          <w:p w14:paraId="1AF0578B" w14:textId="77777777" w:rsid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Gained experience with applying both technical and non-technical (policy, ethical, social) approaches to model risk and impact assessments, as well as with the AI policy landscape as broadly defined (EU AI Act, ISO Standards, etc.).</w:t>
            </w:r>
          </w:p>
          <w:p w14:paraId="4B7F0C6C" w14:textId="7667B74A" w:rsidR="00BA7C4D" w:rsidRPr="006524B0" w:rsidRDefault="006524B0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Published articles on AI transparency, user interaction with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arge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anguage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odels, and ethical AI design.</w:t>
            </w:r>
            <w:r w:rsidR="008276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7F29887F" w14:textId="5F2CDC79" w:rsidR="00BA7C4D" w:rsidRPr="006524B0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</w:tcPr>
          <w:p w14:paraId="77667D73" w14:textId="590FA031" w:rsidR="00BA7C4D" w:rsidRPr="00C75143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2021-2024</w:t>
            </w:r>
          </w:p>
        </w:tc>
      </w:tr>
      <w:tr w:rsidR="00BA7C4D" w14:paraId="20B9AE20" w14:textId="77777777" w:rsidTr="00CA25F6">
        <w:tc>
          <w:tcPr>
            <w:tcW w:w="9747" w:type="dxa"/>
          </w:tcPr>
          <w:p w14:paraId="7C74ED71" w14:textId="7BC8B958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Engineering,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4EEBDE41" w14:textId="04B773EB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Led and published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multi-year 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projects in human-AI interaction focused on user performance consequences of machine feedback (transparency, explainability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) in industrial process control and related safety-critical systems.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49BA31B0" w14:textId="6C846619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Conducted extensive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machine learning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naturalistic driving data to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tailor insurance policies based on drivers’ risk of collision and near accident events.</w:t>
            </w:r>
          </w:p>
          <w:p w14:paraId="0711111F" w14:textId="77777777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Trained 400+ engineering students in statistics, R programming, and human factors; Advised students on projects in human-centered system design for Toronto-based industry partners (e.g., Metro, Voilà, Kritik) from inception to delivery. </w:t>
            </w:r>
          </w:p>
          <w:p w14:paraId="289240A9" w14:textId="7ED42C66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Disseminated research in peer-reviewed journals and international conferences. </w:t>
            </w:r>
          </w:p>
          <w:p w14:paraId="00670779" w14:textId="77777777" w:rsidR="00BA7C4D" w:rsidRPr="00447D77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0B96514D" w14:textId="592CBEE6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2019-2024</w:t>
            </w:r>
          </w:p>
        </w:tc>
      </w:tr>
      <w:tr w:rsidR="00BA7C4D" w14:paraId="4B4FAA80" w14:textId="77777777" w:rsidTr="00CA25F6">
        <w:tc>
          <w:tcPr>
            <w:tcW w:w="9747" w:type="dxa"/>
          </w:tcPr>
          <w:p w14:paraId="07DF1667" w14:textId="2B8323B3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Linguistics and Languages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University, C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anada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14573DB9" w14:textId="61639A3A" w:rsidR="00BA7C4D" w:rsidRPr="002C68B1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Conducted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topic modeling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 on Faceboo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textual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data to study the relationship between users’ language use, personality traits, and migration behavior. </w:t>
            </w:r>
          </w:p>
          <w:p w14:paraId="71E79ED2" w14:textId="707508E0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Completed coursework on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contemporary issues in neuroscience of language, eye-tracking research, and computational linguistics.</w:t>
            </w:r>
          </w:p>
          <w:p w14:paraId="25A414EE" w14:textId="4E0855F8" w:rsidR="00BA7C4D" w:rsidRPr="00380911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22C3C455" w14:textId="77A786E0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2017-2019</w:t>
            </w:r>
          </w:p>
        </w:tc>
      </w:tr>
    </w:tbl>
    <w:p w14:paraId="175795BD" w14:textId="77777777" w:rsidR="00452ED6" w:rsidRDefault="00452ED6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57DCE96" w14:textId="77777777" w:rsidR="0003329C" w:rsidRDefault="0003329C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0AC3FD9" w14:textId="38E5DDE1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lastRenderedPageBreak/>
        <w:t xml:space="preserve">Research Profile </w:t>
      </w:r>
    </w:p>
    <w:p w14:paraId="5FFF77C0" w14:textId="3B04C0B9" w:rsidR="003B51C3" w:rsidRDefault="003B51C3" w:rsidP="008352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1375A132" w14:textId="303FD6C3" w:rsidR="00452ED6" w:rsidRDefault="008A3A08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My research focuses on human-system integration within safety-critical industries, with a</w:t>
      </w:r>
      <w:r w:rsid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n 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emphasis on automated decision support systems,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such as machine learning </w:t>
      </w:r>
      <w:r w:rsidR="007263E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tools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for decision assistance, and human factors in modern nuclear systems. I 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believe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that safety-critical industries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>should lead the way in automation research, leveraging technology to complement human capabilities and limitations</w:t>
      </w:r>
      <w:r w:rsid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in increasingly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digital work environments.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My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methods are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inherently interdisciplinary, bridging engineering, cognitive science, and data-driven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systems for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decision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support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.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am dedicated to fostering a collaborative research environment where trainees are encouraged to pursue innovative questions</w:t>
      </w:r>
      <w:r w:rsidR="0079345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 My objective is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to develop critical thinkers and skilled researchers equipped to drive progress in academia, industry, and </w:t>
      </w:r>
      <w:r w:rsid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other contexts where science is applied to advance individual and societal well-being.</w:t>
      </w:r>
    </w:p>
    <w:p w14:paraId="5780F8EB" w14:textId="77777777" w:rsidR="00DE2314" w:rsidRPr="00DE2314" w:rsidRDefault="00DE2314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3171FECD" w14:textId="77777777" w:rsidR="00452ED6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DB17A54" w14:textId="22B5BF20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Publications</w:t>
      </w:r>
    </w:p>
    <w:p w14:paraId="0CAEA24A" w14:textId="77777777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722AD597" w14:textId="3FF331DE" w:rsidR="00C151E7" w:rsidRPr="00BF1406" w:rsidRDefault="00BE62DD" w:rsidP="00BE62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Liang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Y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., &amp; Jamieson, G. A. (202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, Accepted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).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Assessing measures of human performance in the nuclear control room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</w:p>
    <w:p w14:paraId="1E76F55F" w14:textId="7104CCBC" w:rsidR="00BF1406" w:rsidRPr="00BF1406" w:rsidRDefault="00BF1406" w:rsidP="00BF140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Lawson-Jack, K., </w:t>
      </w:r>
      <w:proofErr w:type="spellStart"/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>Zoutis</w:t>
      </w:r>
      <w:proofErr w:type="spellEnd"/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, S., </w:t>
      </w:r>
      <w:r w:rsidRPr="00EE76F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, &amp; Jamieson, G. A. (2025, Accepted).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Towards a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axonomy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eterogeneity in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esign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mall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odular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eactors and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mplications on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uman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>erformance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</w:p>
    <w:p w14:paraId="73467229" w14:textId="766740B8" w:rsidR="00B83DA7" w:rsidRPr="00B83DA7" w:rsidRDefault="00B83DA7" w:rsidP="00B83DA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83DA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Donmez, B., &amp; Jamieson, G. A. (2024). Human performance effects of combining counterfactual explanations with normative and contrastive explanations in supervised machine learning for automated decision assistance. </w:t>
      </w:r>
      <w:r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International Journal of Human-Computer Studies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103434.</w:t>
      </w:r>
    </w:p>
    <w:p w14:paraId="4EDD2C75" w14:textId="4F661A8E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Donmez, B., &amp; Jamieson, G. A. (2023). Human performance consequences of normative and contrastive explanations: An experiment in machine learning for reliability maintenance.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Artificial Intelligence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321, 103945. </w:t>
      </w:r>
    </w:p>
    <w:p w14:paraId="15FF5AC0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Nguyen, T., 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fr-FR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, Jamison, G. A., Gosine, R., &amp; Purmehdi, H. (2023).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Designing a glyph-based polar chart to interpret the results of machine learning models. In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Ergonomics in Design: The Quarterly of Human Factors Applications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 </w:t>
      </w:r>
    </w:p>
    <w:p w14:paraId="00492DDA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Jamieson, G. A., &amp; Donmez, B. (2021). Evaluating human understanding in XAI systems. In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 Position Papers of the ACM CHI Workshop on Operationalizing Human-Centered Perspectives in Explainable AI (HCXAI Workshop)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Online Virtual Conference.</w:t>
      </w:r>
    </w:p>
    <w:p w14:paraId="387CB18F" w14:textId="28249BCE" w:rsidR="00452ED6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 Min D., White T., &amp; Donmez B. (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2024, 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In review).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Assessing Risk of Collision with Fleet Telematics for Usage-Based Insurance: A Case Study</w:t>
      </w:r>
      <w:r w:rsidR="00A82C7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from South Korean Car Rental Operations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Submitted to </w:t>
      </w:r>
      <w:r w:rsidR="00B83DA7"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Transportation Research Record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BD53D14" w14:textId="77777777" w:rsidR="002C560A" w:rsidRPr="002C560A" w:rsidRDefault="002C560A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78A9B31D" w14:textId="77777777" w:rsidR="00015C93" w:rsidRPr="00015C93" w:rsidRDefault="00015C93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260D25F" w14:textId="1C01DFD5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bookmarkStart w:id="0" w:name="_Hlk186959784"/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Presentations </w:t>
      </w:r>
    </w:p>
    <w:p w14:paraId="37736DC4" w14:textId="77777777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bookmarkEnd w:id="0"/>
    <w:p w14:paraId="12ACD0D1" w14:textId="78DE55EA" w:rsidR="002C560A" w:rsidRPr="00A87554" w:rsidRDefault="00A87554" w:rsidP="00A87554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Jamieson G. A., Donmez B. (202</w:t>
      </w:r>
      <w:r>
        <w:rPr>
          <w:rFonts w:ascii="Arial" w:eastAsia="Calibri" w:hAnsi="Arial" w:cs="Arial"/>
        </w:rPr>
        <w:t>4</w:t>
      </w:r>
      <w:r w:rsidRPr="002C560A">
        <w:rPr>
          <w:rFonts w:ascii="Arial" w:eastAsia="Calibri" w:hAnsi="Arial" w:cs="Arial"/>
        </w:rPr>
        <w:t xml:space="preserve">). </w:t>
      </w:r>
      <w:r w:rsidR="002E6BDA" w:rsidRPr="002E6BDA">
        <w:rPr>
          <w:rFonts w:ascii="Arial" w:eastAsia="Calibri" w:hAnsi="Arial" w:cs="Arial"/>
        </w:rPr>
        <w:t>Supporting human performance with explanation interfaces in automated decision assistance</w:t>
      </w:r>
      <w:r w:rsidR="00456D7D">
        <w:rPr>
          <w:rFonts w:ascii="Arial" w:eastAsia="Calibri" w:hAnsi="Arial" w:cs="Arial"/>
        </w:rPr>
        <w:t xml:space="preserve"> for process control</w:t>
      </w:r>
      <w:r w:rsidR="002E6BDA">
        <w:rPr>
          <w:rFonts w:ascii="Arial" w:eastAsia="Calibri" w:hAnsi="Arial" w:cs="Arial"/>
        </w:rPr>
        <w:t xml:space="preserve">. </w:t>
      </w:r>
      <w:r w:rsidRPr="002C560A">
        <w:rPr>
          <w:rFonts w:ascii="Arial" w:eastAsia="Calibri" w:hAnsi="Arial" w:cs="Arial"/>
        </w:rPr>
        <w:t>Oral presentation at the</w:t>
      </w:r>
      <w:r w:rsidR="002E6BDA">
        <w:rPr>
          <w:rFonts w:ascii="Arial" w:eastAsia="Calibri" w:hAnsi="Arial" w:cs="Arial"/>
          <w:i/>
          <w:iCs/>
        </w:rPr>
        <w:t xml:space="preserve"> 2024 </w:t>
      </w:r>
      <w:r w:rsidR="002E6BDA" w:rsidRPr="002E6BDA">
        <w:rPr>
          <w:rFonts w:ascii="Arial" w:eastAsia="Calibri" w:hAnsi="Arial" w:cs="Arial"/>
          <w:i/>
          <w:iCs/>
        </w:rPr>
        <w:t>Disruptive, Innovative, and Emerging Technologies</w:t>
      </w:r>
      <w:r w:rsidR="002E6BDA">
        <w:rPr>
          <w:rFonts w:ascii="Arial" w:eastAsia="Calibri" w:hAnsi="Arial" w:cs="Arial"/>
          <w:i/>
          <w:iCs/>
        </w:rPr>
        <w:t xml:space="preserve"> in Nuclear</w:t>
      </w:r>
      <w:r w:rsidRPr="002C560A">
        <w:rPr>
          <w:rFonts w:ascii="Arial" w:eastAsia="Calibri" w:hAnsi="Arial" w:cs="Arial"/>
        </w:rPr>
        <w:t xml:space="preserve">, </w:t>
      </w:r>
      <w:r w:rsidR="002E6BDA">
        <w:rPr>
          <w:rFonts w:ascii="Arial" w:eastAsia="Calibri" w:hAnsi="Arial" w:cs="Arial"/>
        </w:rPr>
        <w:t>Toronto, Canada</w:t>
      </w:r>
      <w:r w:rsidRPr="002C560A">
        <w:rPr>
          <w:rFonts w:ascii="Arial" w:eastAsia="Calibri" w:hAnsi="Arial" w:cs="Arial"/>
        </w:rPr>
        <w:t xml:space="preserve">. </w:t>
      </w:r>
    </w:p>
    <w:p w14:paraId="0236230F" w14:textId="3E43D306" w:rsidR="002C560A" w:rsidRPr="002C560A" w:rsidRDefault="008479BB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8479BB">
        <w:rPr>
          <w:rFonts w:ascii="Arial" w:eastAsia="Calibri" w:hAnsi="Arial" w:cs="Arial"/>
          <w:b/>
          <w:bCs/>
        </w:rPr>
        <w:t>Gentile D.</w:t>
      </w:r>
      <w:r w:rsidRPr="008479BB">
        <w:rPr>
          <w:rFonts w:ascii="Arial" w:eastAsia="Calibri" w:hAnsi="Arial" w:cs="Arial"/>
        </w:rPr>
        <w:t xml:space="preserve">, Donmez, B., &amp; Jamieson, G. A. (2024). Enhancing Human Performance with Post-hoc Explanations in Machine Learning-based Decision Support Systems. Oral presentation at the </w:t>
      </w:r>
      <w:r w:rsidRPr="008479BB">
        <w:rPr>
          <w:rFonts w:ascii="Arial" w:eastAsia="Calibri" w:hAnsi="Arial" w:cs="Arial"/>
          <w:i/>
          <w:iCs/>
        </w:rPr>
        <w:t>7th International Conference on Intelligent Human Systems Integration: Integrating People and Intelligent Systems</w:t>
      </w:r>
      <w:r w:rsidRPr="008479BB">
        <w:rPr>
          <w:rFonts w:ascii="Arial" w:eastAsia="Calibri" w:hAnsi="Arial" w:cs="Arial"/>
        </w:rPr>
        <w:t>, Palermo, Italy</w:t>
      </w:r>
    </w:p>
    <w:p w14:paraId="004063E4" w14:textId="7BF85DDF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, Jamieson G. A., Donmez B. (2021). Evaluating human understanding in XAI systems. Oral presentation at the </w:t>
      </w:r>
      <w:r w:rsidRPr="002C560A">
        <w:rPr>
          <w:rFonts w:ascii="Arial" w:eastAsia="Calibri" w:hAnsi="Arial" w:cs="Arial"/>
          <w:i/>
          <w:iCs/>
        </w:rPr>
        <w:t>ACM CHI Workshop on Operationalizing Human-Centered Perspectives in Explainable AI</w:t>
      </w:r>
      <w:r w:rsidRPr="002C560A">
        <w:rPr>
          <w:rFonts w:ascii="Arial" w:eastAsia="Calibri" w:hAnsi="Arial" w:cs="Arial"/>
        </w:rPr>
        <w:t xml:space="preserve">, </w:t>
      </w:r>
      <w:r w:rsidRPr="002C560A">
        <w:rPr>
          <w:rFonts w:ascii="Arial" w:eastAsia="Calibri" w:hAnsi="Arial" w:cs="Arial"/>
          <w:i/>
          <w:iCs/>
        </w:rPr>
        <w:t>CHI Conference on Human Factors in Computing Systems (CHI ’21)</w:t>
      </w:r>
      <w:r w:rsidRPr="002C560A">
        <w:rPr>
          <w:rFonts w:ascii="Arial" w:eastAsia="Calibri" w:hAnsi="Arial" w:cs="Arial"/>
        </w:rPr>
        <w:t xml:space="preserve">, Yokohama, Japan (held virtually). </w:t>
      </w:r>
    </w:p>
    <w:p w14:paraId="4144D920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(2021). Designing for human-AI interactions in industrial condition monitoring. Oral presentation at </w:t>
      </w:r>
      <w:r w:rsidRPr="002C560A">
        <w:rPr>
          <w:rFonts w:ascii="Arial" w:eastAsia="Calibri" w:hAnsi="Arial" w:cs="Arial"/>
          <w:i/>
          <w:iCs/>
        </w:rPr>
        <w:t>GAIA (Global Artificial Intelligence Accelerator) Research Thursday</w:t>
      </w:r>
      <w:r w:rsidRPr="002C560A">
        <w:rPr>
          <w:rFonts w:ascii="Arial" w:eastAsia="Calibri" w:hAnsi="Arial" w:cs="Arial"/>
        </w:rPr>
        <w:t>, Ericsson Montreal, QC (held virtually).</w:t>
      </w:r>
    </w:p>
    <w:p w14:paraId="094A7C6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lastRenderedPageBreak/>
        <w:t>Gentile D.</w:t>
      </w:r>
      <w:r w:rsidRPr="002C560A">
        <w:rPr>
          <w:rFonts w:ascii="Arial" w:eastAsia="Calibri" w:hAnsi="Arial" w:cs="Arial"/>
        </w:rPr>
        <w:t xml:space="preserve"> (2020). Human Factors in Explainable AI. Invited panelist at the 2021</w:t>
      </w:r>
      <w:r w:rsidRPr="002C560A">
        <w:rPr>
          <w:rFonts w:ascii="Arial" w:eastAsia="Calibri" w:hAnsi="Arial" w:cs="Arial"/>
          <w:i/>
          <w:iCs/>
        </w:rPr>
        <w:t xml:space="preserve"> Graduate Student Research Showcase. </w:t>
      </w:r>
      <w:r w:rsidRPr="002C560A">
        <w:rPr>
          <w:rFonts w:ascii="Arial" w:eastAsia="Calibri" w:hAnsi="Arial" w:cs="Arial"/>
        </w:rPr>
        <w:t>Faculty of Applied Science and Engineering, University of Toronto (held virtually).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0993C3EE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Min D., White T., &amp; Donmez B. (2020). Assessing drivers’ collision risk with fleet telematics: a case study from car rental operations. Oral presentation at the 2020</w:t>
      </w:r>
      <w:r w:rsidRPr="002C560A">
        <w:rPr>
          <w:rFonts w:ascii="Arial" w:eastAsia="Calibri" w:hAnsi="Arial" w:cs="Arial"/>
          <w:i/>
          <w:iCs/>
        </w:rPr>
        <w:t xml:space="preserve"> American Statistical Association Joint Statistical Meetings, </w:t>
      </w:r>
      <w:r w:rsidRPr="002C560A">
        <w:rPr>
          <w:rFonts w:ascii="Arial" w:eastAsia="Calibri" w:hAnsi="Arial" w:cs="Arial"/>
        </w:rPr>
        <w:t xml:space="preserve">Philadelphia, PA (held virtually). </w:t>
      </w:r>
    </w:p>
    <w:p w14:paraId="04D037A3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 xml:space="preserve">Gentile D., </w:t>
      </w:r>
      <w:r w:rsidRPr="002C560A">
        <w:rPr>
          <w:rFonts w:ascii="Arial" w:eastAsia="Calibri" w:hAnsi="Arial" w:cs="Arial"/>
        </w:rPr>
        <w:t>Min D., White T., &amp; Donmez B. (2020). Assessing drivers’ collision risk with fleet telematics: a case study from car rental operations. Oral presentation at the</w:t>
      </w:r>
      <w:r w:rsidRPr="002C560A">
        <w:rPr>
          <w:rFonts w:ascii="Arial" w:eastAsia="Calibri" w:hAnsi="Arial" w:cs="Arial"/>
          <w:i/>
          <w:iCs/>
        </w:rPr>
        <w:t xml:space="preserve"> </w:t>
      </w:r>
      <w:r w:rsidRPr="002C560A">
        <w:rPr>
          <w:rFonts w:ascii="Arial" w:eastAsia="Calibri" w:hAnsi="Arial" w:cs="Arial"/>
        </w:rPr>
        <w:t xml:space="preserve">2020 </w:t>
      </w:r>
      <w:r w:rsidRPr="002C560A">
        <w:rPr>
          <w:rFonts w:ascii="Arial" w:eastAsia="Calibri" w:hAnsi="Arial" w:cs="Arial"/>
          <w:i/>
          <w:iCs/>
        </w:rPr>
        <w:t xml:space="preserve">University of Toronto Engineering Research Conference. </w:t>
      </w:r>
      <w:r w:rsidRPr="002C560A">
        <w:rPr>
          <w:rFonts w:ascii="Arial" w:eastAsia="Calibri" w:hAnsi="Arial" w:cs="Arial"/>
        </w:rPr>
        <w:t xml:space="preserve">Talk cluster: Artificial Intelligence and Data Analytics (held virtually). </w:t>
      </w:r>
    </w:p>
    <w:p w14:paraId="42F32834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Min D., White T., &amp; Donmez B.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Assessing collision risk in fleet operations using Internet of Things. Oral presentation at the</w:t>
      </w:r>
      <w:r w:rsidRPr="002C560A">
        <w:rPr>
          <w:rFonts w:ascii="Arial" w:eastAsia="Calibri" w:hAnsi="Arial" w:cs="Arial"/>
          <w:i/>
          <w:iCs/>
        </w:rPr>
        <w:t xml:space="preserve"> 20th Annual Human Factors Engineering Inter-University Workshop (IUW), </w:t>
      </w:r>
      <w:r w:rsidRPr="002C560A">
        <w:rPr>
          <w:rFonts w:ascii="Arial" w:eastAsia="Calibri" w:hAnsi="Arial" w:cs="Arial"/>
        </w:rPr>
        <w:t xml:space="preserve">Waterloo, ON. </w:t>
      </w:r>
    </w:p>
    <w:p w14:paraId="055A3161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The Big Five and immigration patterns within and across countries.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 xml:space="preserve">Portland, OR.  </w:t>
      </w:r>
    </w:p>
    <w:p w14:paraId="70250B96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</w:rPr>
        <w:t xml:space="preserve">Imbault C., </w:t>
      </w: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Gosling S., Rentfrow J., Potter J., &amp; Kuperman V. (2019). The chicken or the egg: does being open cause people to migrate, or does migration cause people to be open?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>Portland, OR.</w:t>
      </w:r>
    </w:p>
    <w:p w14:paraId="583A5FE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(2018). Personality as cause and effect of migration.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Psychonomic Society, </w:t>
      </w:r>
      <w:r w:rsidRPr="002C560A">
        <w:rPr>
          <w:rFonts w:ascii="Arial" w:eastAsia="Calibri" w:hAnsi="Arial" w:cs="Arial"/>
        </w:rPr>
        <w:t>New Orleans, LA.</w:t>
      </w:r>
    </w:p>
    <w:p w14:paraId="20BE74BA" w14:textId="5E30BC7D" w:rsidR="005339A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(2018).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Proximity predicts concreteness in natural language production</w:t>
      </w:r>
      <w:r w:rsidRPr="002C560A">
        <w:rPr>
          <w:rFonts w:ascii="Arial" w:eastAsia="Calibri" w:hAnsi="Arial" w:cs="Arial"/>
          <w:i/>
          <w:iCs/>
        </w:rPr>
        <w:t xml:space="preserve">. </w:t>
      </w:r>
      <w:r w:rsidRPr="002C560A">
        <w:rPr>
          <w:rFonts w:ascii="Arial" w:eastAsia="Calibri" w:hAnsi="Arial" w:cs="Arial"/>
        </w:rPr>
        <w:t>Oral presentation</w:t>
      </w:r>
      <w:r w:rsidR="00A4255F">
        <w:rPr>
          <w:rFonts w:ascii="Arial" w:eastAsia="Calibri" w:hAnsi="Arial" w:cs="Arial"/>
        </w:rPr>
        <w:t>,</w:t>
      </w:r>
      <w:r w:rsidRPr="002C560A">
        <w:rPr>
          <w:rFonts w:ascii="Arial" w:eastAsia="Calibri" w:hAnsi="Arial" w:cs="Arial"/>
          <w:i/>
          <w:iCs/>
        </w:rPr>
        <w:t xml:space="preserve"> Student Research Day, </w:t>
      </w:r>
      <w:r w:rsidRPr="002C560A">
        <w:rPr>
          <w:rFonts w:ascii="Arial" w:eastAsia="Calibri" w:hAnsi="Arial" w:cs="Arial"/>
        </w:rPr>
        <w:t>Department of Linguistics and Languages, McMaster University.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250FD8AD" w14:textId="77777777" w:rsidR="002C560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4B2BF1C2" w14:textId="77777777" w:rsidR="002C560A" w:rsidRPr="005339A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0AFBDB" w14:textId="6D917492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AREAS of Teaching Expertise </w:t>
      </w:r>
    </w:p>
    <w:p w14:paraId="670E9ADA" w14:textId="77777777" w:rsidR="00930DD1" w:rsidRDefault="00930DD1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BB13177" w14:textId="0B73BB4E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Human-</w:t>
      </w:r>
      <w:r w:rsidR="00DF35E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collaboration</w:t>
      </w:r>
    </w:p>
    <w:p w14:paraId="7CAE9F6D" w14:textId="62B067AA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 and design of experiments</w:t>
      </w:r>
    </w:p>
    <w:p w14:paraId="24095C73" w14:textId="7D374167" w:rsidR="00930DD1" w:rsidRPr="00D85CC1" w:rsidRDefault="00617650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e</w:t>
      </w:r>
      <w:r w:rsidR="00930DD1"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xplainability and interpretability</w:t>
      </w:r>
    </w:p>
    <w:p w14:paraId="67FB8AA2" w14:textId="69F40277" w:rsidR="00930DD1" w:rsidRPr="00D85CC1" w:rsidRDefault="00DF35EA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Sociotechnical evaluation of AI systems</w:t>
      </w:r>
    </w:p>
    <w:p w14:paraId="5909F490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DF8239B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37AF5B4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Teaching Experience </w:t>
      </w:r>
    </w:p>
    <w:p w14:paraId="5FA6FA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3D48C9C" w14:textId="5727CBAC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Teaching Assistant</w:t>
      </w:r>
      <w:r w:rsidR="00B1563E"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Department of Mechanical and Industrial Engineering, University of Toronto</w:t>
      </w:r>
    </w:p>
    <w:p w14:paraId="5140BD2C" w14:textId="6C2832FF" w:rsidR="00BF024E" w:rsidRPr="00814EF2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Case Studies in Human Factors and Ergonomics (MIE345)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B54DBD" w:rsidRPr="00B54DBD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2023-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2024</w:t>
      </w:r>
    </w:p>
    <w:p w14:paraId="601FEB7F" w14:textId="4ADE67CB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This project-based course applies human factors and ergonomics principles to system design, focusing on human-automation collaboration, safety, and user-centered approaches to ensure fairness and accessibility.</w:t>
      </w:r>
    </w:p>
    <w:p w14:paraId="1A01456A" w14:textId="0949C2A4" w:rsidR="000A6B74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 Factors Engineering (MIE240)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2022-2024</w:t>
      </w:r>
    </w:p>
    <w:p w14:paraId="62A0FF2F" w14:textId="3F2F4911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In this course, 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tudents learn to apply human-centered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design principles to systems, processes and consumer products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to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enhanc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e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usability, safety, and compliance with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legal standards.</w:t>
      </w:r>
    </w:p>
    <w:p w14:paraId="29DE0F63" w14:textId="477A448E" w:rsidR="00D95A97" w:rsidRDefault="00D95A97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</w:t>
      </w:r>
      <w:r w:rsidR="00B1563E"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and Design of Experiments (MIE237)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2020-2022</w:t>
      </w:r>
    </w:p>
    <w:p w14:paraId="600A3128" w14:textId="2EF10285" w:rsid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This course covers statistical methods for </w:t>
      </w:r>
      <w:r w:rsidR="001645FD">
        <w:rPr>
          <w:rFonts w:ascii="Arial" w:eastAsia="Times New Roman" w:hAnsi="Arial" w:cs="Arial"/>
          <w:i/>
          <w:color w:val="000000"/>
          <w:kern w:val="0"/>
          <w14:ligatures w14:val="none"/>
        </w:rPr>
        <w:t>empirical research</w:t>
      </w:r>
      <w:r w:rsidR="005C7619">
        <w:rPr>
          <w:rFonts w:ascii="Arial" w:eastAsia="Times New Roman" w:hAnsi="Arial" w:cs="Arial"/>
          <w:i/>
          <w:color w:val="000000"/>
          <w:kern w:val="0"/>
          <w14:ligatures w14:val="none"/>
        </w:rPr>
        <w:t>.</w:t>
      </w:r>
    </w:p>
    <w:p w14:paraId="3259CFE4" w14:textId="5F1934EB" w:rsidR="00452ED6" w:rsidRDefault="00452ED6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A981CAD" w14:textId="2890DDEF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Education </w:t>
      </w:r>
    </w:p>
    <w:p w14:paraId="61EE755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  <w:gridCol w:w="1255"/>
      </w:tblGrid>
      <w:tr w:rsidR="00D76F15" w14:paraId="6728BEF1" w14:textId="77777777" w:rsidTr="00FC39FC">
        <w:tc>
          <w:tcPr>
            <w:tcW w:w="9747" w:type="dxa"/>
          </w:tcPr>
          <w:p w14:paraId="545199DE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Doctor of Philosophy,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Industrial Engineering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Toronto, Canada</w:t>
            </w:r>
          </w:p>
          <w:p w14:paraId="5988BFD9" w14:textId="77777777" w:rsidR="00D76F15" w:rsidRPr="005339AA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Dissertation: 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“</w:t>
            </w:r>
            <w:r w:rsidRPr="00444C2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Supporting Human Performance with Post-hoc Explanations in Automated Decision Assistance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6E34DEBE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Advisors: Greg A. Jamieson, Birsen Donmez.</w:t>
            </w:r>
          </w:p>
          <w:p w14:paraId="7D5202F9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Committee: Christopher Beck, Scott Sanner, Alessandro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Bozzon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Pr="0008699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Oleksandr </w:t>
            </w:r>
            <w:proofErr w:type="spellStart"/>
            <w:r w:rsidRPr="0008699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Voznyy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(Chair).</w:t>
            </w:r>
          </w:p>
          <w:p w14:paraId="4E4916A6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64F6B272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2019-2024</w:t>
            </w:r>
          </w:p>
        </w:tc>
      </w:tr>
      <w:tr w:rsidR="00D76F15" w14:paraId="7BD95D48" w14:textId="77777777" w:rsidTr="00FC39FC">
        <w:tc>
          <w:tcPr>
            <w:tcW w:w="9747" w:type="dxa"/>
          </w:tcPr>
          <w:p w14:paraId="2132033D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 xml:space="preserve">Master of Science,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Cognitive Science of Language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Canada</w:t>
            </w:r>
          </w:p>
          <w:p w14:paraId="16B2ECEA" w14:textId="77777777" w:rsidR="00D76F15" w:rsidRPr="005339AA" w:rsidRDefault="00D76F15" w:rsidP="00D76F1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Victor Kuperman.</w:t>
            </w:r>
          </w:p>
          <w:p w14:paraId="693797DC" w14:textId="77777777" w:rsidR="00D76F15" w:rsidRPr="00015C93" w:rsidRDefault="00D76F15" w:rsidP="00D76F15">
            <w:pPr>
              <w:pStyle w:val="ListBullet"/>
              <w:numPr>
                <w:ilvl w:val="0"/>
                <w:numId w:val="12"/>
              </w:numPr>
              <w:rPr>
                <w:i w:val="0"/>
                <w:iCs w:val="0"/>
                <w14:ligatures w14:val="none"/>
              </w:rPr>
            </w:pPr>
            <w:r w:rsidRPr="007E2F4F">
              <w:rPr>
                <w:i w:val="0"/>
                <w:iCs w:val="0"/>
                <w14:ligatures w14:val="none"/>
              </w:rPr>
              <w:t>Academic awards:</w:t>
            </w:r>
            <w:r>
              <w:rPr>
                <w14:ligatures w14:val="none"/>
              </w:rPr>
              <w:t xml:space="preserve"> </w:t>
            </w:r>
            <w:r>
              <w:rPr>
                <w:i w:val="0"/>
                <w:iCs w:val="0"/>
                <w14:ligatures w14:val="none"/>
              </w:rPr>
              <w:t>Ontario Graduate Fellowship</w:t>
            </w:r>
            <w:r w:rsidRPr="00015C93">
              <w:rPr>
                <w:i w:val="0"/>
                <w:iCs w:val="0"/>
                <w14:ligatures w14:val="none"/>
              </w:rPr>
              <w:t>, Government of Ontario</w:t>
            </w:r>
            <w:r>
              <w:rPr>
                <w:i w:val="0"/>
                <w:iCs w:val="0"/>
                <w14:ligatures w14:val="none"/>
              </w:rPr>
              <w:t xml:space="preserve">; </w:t>
            </w:r>
            <w:r w:rsidRPr="00914CC7">
              <w:rPr>
                <w:i w:val="0"/>
                <w:iCs w:val="0"/>
                <w14:ligatures w14:val="none"/>
              </w:rPr>
              <w:t>MacData Institute Graduate Fellowshi</w:t>
            </w:r>
            <w:r>
              <w:rPr>
                <w:i w:val="0"/>
                <w:iCs w:val="0"/>
                <w14:ligatures w14:val="none"/>
              </w:rPr>
              <w:t>p.</w:t>
            </w:r>
          </w:p>
          <w:p w14:paraId="14C9BE5F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1A99081F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2017-2019</w:t>
            </w:r>
          </w:p>
        </w:tc>
      </w:tr>
      <w:tr w:rsidR="00D76F15" w14:paraId="3B57BCEC" w14:textId="77777777" w:rsidTr="00FC39FC">
        <w:tc>
          <w:tcPr>
            <w:tcW w:w="9747" w:type="dxa"/>
          </w:tcPr>
          <w:p w14:paraId="5CDC930F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Bachelor of Arts,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Lettere Moderne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Alma Mater Studiorum - 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Universit</w:t>
            </w:r>
            <w:r w:rsidRPr="00DD448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à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di Bologna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Italy</w:t>
            </w:r>
          </w:p>
          <w:p w14:paraId="150282B0" w14:textId="77777777" w:rsidR="00D76F15" w:rsidRDefault="00D76F15" w:rsidP="00D76F1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Fabio Tamburini.</w:t>
            </w:r>
          </w:p>
          <w:p w14:paraId="1C5C646B" w14:textId="77777777" w:rsidR="00D76F15" w:rsidRPr="008A3A08" w:rsidRDefault="00D76F15" w:rsidP="00D76F15">
            <w:pPr>
              <w:pStyle w:val="ListBullet"/>
              <w:numPr>
                <w:ilvl w:val="0"/>
                <w:numId w:val="13"/>
              </w:numPr>
              <w:rPr>
                <w:i w:val="0"/>
                <w:iCs w:val="0"/>
              </w:rPr>
            </w:pPr>
            <w:r w:rsidRPr="008A3A08">
              <w:rPr>
                <w:i w:val="0"/>
                <w:iCs w:val="0"/>
              </w:rPr>
              <w:t>Academic honors: Authored the first English-written thesis in Lettere Moderne at the University of Bologna since its founding in the year 1088.</w:t>
            </w:r>
          </w:p>
          <w:p w14:paraId="1F85257B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51FB9389" w14:textId="77777777" w:rsidR="00D76F15" w:rsidRPr="00EF31CB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EF31CB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2014-2017</w:t>
            </w:r>
          </w:p>
        </w:tc>
      </w:tr>
    </w:tbl>
    <w:p w14:paraId="2FF76E85" w14:textId="77777777" w:rsidR="00D76F15" w:rsidRPr="005339AA" w:rsidRDefault="00D76F15" w:rsidP="00D76F1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257B46A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FUND RAISING</w:t>
      </w:r>
    </w:p>
    <w:p w14:paraId="39B12704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C329C7E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have raised ov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er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$1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10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,000 CAD / 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$77,000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USD in research funding from:</w:t>
      </w:r>
    </w:p>
    <w:p w14:paraId="1CAA7806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52CB476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Schwartz Reisman Institute for Technology and Society.</w:t>
      </w:r>
    </w:p>
    <w:p w14:paraId="5B7E663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4505DE">
        <w:rPr>
          <w:rFonts w:ascii="Arial" w:eastAsia="Times New Roman" w:hAnsi="Arial" w:cs="Arial"/>
          <w:iCs/>
          <w:color w:val="000000"/>
          <w:kern w:val="0"/>
          <w14:ligatures w14:val="none"/>
        </w:rPr>
        <w:t>Mathematics of Information Technology and Complex Systems</w:t>
      </w:r>
      <w:r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(Mitacs)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</w:t>
      </w:r>
    </w:p>
    <w:p w14:paraId="446669DD" w14:textId="2AA193A6" w:rsidR="00D76F15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Government of Ontario.</w:t>
      </w:r>
    </w:p>
    <w:p w14:paraId="7D4E2212" w14:textId="77777777" w:rsidR="003F2174" w:rsidRPr="003F2174" w:rsidRDefault="003F2174" w:rsidP="003F2174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27F81868" w14:textId="7B747389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Further details are provided below:</w:t>
      </w:r>
    </w:p>
    <w:p w14:paraId="240D403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="432" w:tblpY="-18"/>
        <w:tblW w:w="0" w:type="auto"/>
        <w:tblLayout w:type="fixed"/>
        <w:tblLook w:val="0000" w:firstRow="0" w:lastRow="0" w:firstColumn="0" w:lastColumn="0" w:noHBand="0" w:noVBand="0"/>
      </w:tblPr>
      <w:tblGrid>
        <w:gridCol w:w="9315"/>
        <w:gridCol w:w="1141"/>
      </w:tblGrid>
      <w:tr w:rsidR="00D76F15" w:rsidRPr="00D95A97" w14:paraId="0B69A95C" w14:textId="77777777" w:rsidTr="00FC39FC">
        <w:trPr>
          <w:trHeight w:val="155"/>
        </w:trPr>
        <w:tc>
          <w:tcPr>
            <w:tcW w:w="9315" w:type="dxa"/>
          </w:tcPr>
          <w:p w14:paraId="6D023AE7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3A1CE9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School of Graduate Studies Conference Grant ($220).</w:t>
            </w:r>
          </w:p>
        </w:tc>
        <w:tc>
          <w:tcPr>
            <w:tcW w:w="1141" w:type="dxa"/>
          </w:tcPr>
          <w:p w14:paraId="099A9C45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59F440B4" w14:textId="77777777" w:rsidTr="00FC39FC">
        <w:trPr>
          <w:trHeight w:val="155"/>
        </w:trPr>
        <w:tc>
          <w:tcPr>
            <w:tcW w:w="9315" w:type="dxa"/>
          </w:tcPr>
          <w:p w14:paraId="6F92DAED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Schwartz Reisman Institute for Technology and Society Graduate Fellowship ($7,500).</w:t>
            </w:r>
          </w:p>
        </w:tc>
        <w:tc>
          <w:tcPr>
            <w:tcW w:w="1141" w:type="dxa"/>
          </w:tcPr>
          <w:p w14:paraId="6FE5B240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1AFC6ABB" w14:textId="77777777" w:rsidTr="00FC39FC">
        <w:trPr>
          <w:trHeight w:val="190"/>
        </w:trPr>
        <w:tc>
          <w:tcPr>
            <w:tcW w:w="9315" w:type="dxa"/>
          </w:tcPr>
          <w:p w14:paraId="0A63122F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Neil Duncan Thompson Memorial Scholarship ($4,000)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15BD51EB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2020 </w:t>
            </w:r>
          </w:p>
        </w:tc>
      </w:tr>
      <w:tr w:rsidR="00D76F15" w:rsidRPr="00D95A97" w14:paraId="54B66DEF" w14:textId="77777777" w:rsidTr="00FC39FC">
        <w:trPr>
          <w:trHeight w:val="190"/>
        </w:trPr>
        <w:tc>
          <w:tcPr>
            <w:tcW w:w="9315" w:type="dxa"/>
          </w:tcPr>
          <w:p w14:paraId="609750E9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proofErr w:type="spellStart"/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Mitacs</w:t>
            </w:r>
            <w:proofErr w:type="spellEnd"/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Accelerate Fellowship ($80,000)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807F7B4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0E021383" w14:textId="77777777" w:rsidTr="00FC39FC">
        <w:trPr>
          <w:trHeight w:val="190"/>
        </w:trPr>
        <w:tc>
          <w:tcPr>
            <w:tcW w:w="9315" w:type="dxa"/>
          </w:tcPr>
          <w:p w14:paraId="75A456D8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1st Place Prize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University of Toronto Engineering Research Conference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($500).</w:t>
            </w:r>
          </w:p>
        </w:tc>
        <w:tc>
          <w:tcPr>
            <w:tcW w:w="1141" w:type="dxa"/>
          </w:tcPr>
          <w:p w14:paraId="3CA4815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7C86F9D7" w14:textId="77777777" w:rsidTr="00FC39FC">
        <w:trPr>
          <w:trHeight w:val="190"/>
        </w:trPr>
        <w:tc>
          <w:tcPr>
            <w:tcW w:w="9315" w:type="dxa"/>
          </w:tcPr>
          <w:p w14:paraId="00B35193" w14:textId="6DE77016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Graduate Student Endowment Fund Award</w:t>
            </w:r>
            <w:r w:rsidR="00B73A29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($1,500).</w:t>
            </w:r>
          </w:p>
        </w:tc>
        <w:tc>
          <w:tcPr>
            <w:tcW w:w="1141" w:type="dxa"/>
          </w:tcPr>
          <w:p w14:paraId="7A4D24BA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48F8A1ED" w14:textId="77777777" w:rsidTr="00FC39FC">
        <w:trPr>
          <w:trHeight w:val="190"/>
        </w:trPr>
        <w:tc>
          <w:tcPr>
            <w:tcW w:w="9315" w:type="dxa"/>
          </w:tcPr>
          <w:p w14:paraId="612BA5AA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Ontario Graduate Fellowship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Government of Ontario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($12,500).</w:t>
            </w:r>
          </w:p>
        </w:tc>
        <w:tc>
          <w:tcPr>
            <w:tcW w:w="1141" w:type="dxa"/>
          </w:tcPr>
          <w:p w14:paraId="627F4EA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2019</w:t>
            </w:r>
          </w:p>
        </w:tc>
      </w:tr>
      <w:tr w:rsidR="00D76F15" w:rsidRPr="00D95A97" w14:paraId="6EA59A0D" w14:textId="77777777" w:rsidTr="00FC39FC">
        <w:trPr>
          <w:trHeight w:val="190"/>
        </w:trPr>
        <w:tc>
          <w:tcPr>
            <w:tcW w:w="9315" w:type="dxa"/>
          </w:tcPr>
          <w:p w14:paraId="0568CB5B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MacData Institute Graduate Fellowship ($7,500)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04E15C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2018</w:t>
            </w:r>
          </w:p>
        </w:tc>
      </w:tr>
    </w:tbl>
    <w:p w14:paraId="776C0523" w14:textId="77777777" w:rsidR="00D76F15" w:rsidRPr="00021D60" w:rsidRDefault="00D76F15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CD89A4C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Administrative 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SERVICE</w:t>
      </w:r>
    </w:p>
    <w:p w14:paraId="2CA438AB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24EBCF2C" w14:textId="77AD7E6F" w:rsidR="00BF0753" w:rsidRDefault="00BF0753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Reviewer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Journal of Cognitive Engineering and Decision-Making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202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5 - Present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 </w:t>
      </w:r>
    </w:p>
    <w:p w14:paraId="477C8DEA" w14:textId="48C7DF7F" w:rsidR="00BF0753" w:rsidRDefault="00D50B2E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The Journal of Cognitive Engineering and Decision Making (JCEDM)</w:t>
      </w:r>
      <w:r w:rsidR="00BF009B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focuses </w:t>
      </w: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on research that seeks to understand how people engage in cognitive work in real-world settings and the development of systems that support that work.</w:t>
      </w:r>
    </w:p>
    <w:p w14:paraId="5F889543" w14:textId="77777777" w:rsidR="00BF0753" w:rsidRDefault="00BF0753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331EBC02" w14:textId="105D1F5B" w:rsidR="003274E1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Chief Presiding Officer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University of Toronto, 2023. </w:t>
      </w:r>
    </w:p>
    <w:p w14:paraId="7AC9BFEA" w14:textId="27E91C11" w:rsidR="00301C4E" w:rsidRPr="000F5356" w:rsidRDefault="00301C4E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I oversaw the </w:t>
      </w:r>
      <w:r w:rsidR="00DB44F9"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management and </w:t>
      </w: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administration of exams for the Faculty of Applied Science and Engineering.</w:t>
      </w:r>
    </w:p>
    <w:p w14:paraId="00FB898D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3B370F94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C0A0590" w14:textId="67A4E020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PROFESSIONAL MEMBERSHIPS</w:t>
      </w:r>
    </w:p>
    <w:p w14:paraId="02F30548" w14:textId="77777777" w:rsidR="00086997" w:rsidRDefault="00086997" w:rsidP="00F10F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0"/>
        <w:gridCol w:w="1950"/>
      </w:tblGrid>
      <w:tr w:rsidR="00086997" w14:paraId="5AFD6A82" w14:textId="77777777" w:rsidTr="00F37693">
        <w:tc>
          <w:tcPr>
            <w:tcW w:w="8679" w:type="dxa"/>
          </w:tcPr>
          <w:p w14:paraId="0931B7F8" w14:textId="0C9BD6EF" w:rsidR="00086997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Human Factors and Ergonomics Society</w:t>
            </w:r>
          </w:p>
        </w:tc>
        <w:tc>
          <w:tcPr>
            <w:tcW w:w="1977" w:type="dxa"/>
          </w:tcPr>
          <w:p w14:paraId="536B6B3A" w14:textId="6617387E" w:rsidR="00086997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D20DB4" w14:paraId="694BD6C5" w14:textId="77777777" w:rsidTr="00F37693">
        <w:tc>
          <w:tcPr>
            <w:tcW w:w="8679" w:type="dxa"/>
          </w:tcPr>
          <w:p w14:paraId="46EBE048" w14:textId="3ACCB2A5" w:rsidR="00D20DB4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American Statistical Association</w:t>
            </w:r>
          </w:p>
        </w:tc>
        <w:tc>
          <w:tcPr>
            <w:tcW w:w="1977" w:type="dxa"/>
          </w:tcPr>
          <w:p w14:paraId="620808F0" w14:textId="59EE2CFF" w:rsidR="00D20DB4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78717F" w14:paraId="0EB71D63" w14:textId="77777777" w:rsidTr="00F37693">
        <w:tc>
          <w:tcPr>
            <w:tcW w:w="8679" w:type="dxa"/>
          </w:tcPr>
          <w:p w14:paraId="5D105B4A" w14:textId="429F4DF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Canadian Nuclear Society</w:t>
            </w:r>
          </w:p>
        </w:tc>
        <w:tc>
          <w:tcPr>
            <w:tcW w:w="1977" w:type="dxa"/>
          </w:tcPr>
          <w:p w14:paraId="578B1BD2" w14:textId="747E9049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2024 - Present</w:t>
            </w:r>
          </w:p>
        </w:tc>
      </w:tr>
      <w:tr w:rsidR="0078717F" w14:paraId="7F52B13B" w14:textId="77777777" w:rsidTr="00F37693">
        <w:tc>
          <w:tcPr>
            <w:tcW w:w="8679" w:type="dxa"/>
          </w:tcPr>
          <w:p w14:paraId="1D7B3FE0" w14:textId="581B0F6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Schwartz Reisman Institute for Technology and Society</w:t>
            </w:r>
          </w:p>
        </w:tc>
        <w:tc>
          <w:tcPr>
            <w:tcW w:w="1977" w:type="dxa"/>
          </w:tcPr>
          <w:p w14:paraId="1C4E34F7" w14:textId="76F3C452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2021 - 2024</w:t>
            </w:r>
          </w:p>
        </w:tc>
      </w:tr>
    </w:tbl>
    <w:p w14:paraId="7C2E43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5D01821" w14:textId="1164E6FC" w:rsidR="00CD6A00" w:rsidRDefault="00CD6A00">
      <w:pP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br w:type="page"/>
      </w:r>
    </w:p>
    <w:p w14:paraId="6B3A76F0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lastRenderedPageBreak/>
        <w:t xml:space="preserve">References </w:t>
      </w:r>
    </w:p>
    <w:p w14:paraId="546030DF" w14:textId="77777777" w:rsidR="00922BCE" w:rsidRDefault="00922BCE" w:rsidP="00922BC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607"/>
        <w:gridCol w:w="3579"/>
      </w:tblGrid>
      <w:tr w:rsidR="00922BCE" w14:paraId="007E888A" w14:textId="77777777" w:rsidTr="00F85190">
        <w:tc>
          <w:tcPr>
            <w:tcW w:w="3672" w:type="dxa"/>
          </w:tcPr>
          <w:p w14:paraId="1FD6287F" w14:textId="79EBD743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Greg A. Jamieson</w:t>
            </w:r>
          </w:p>
          <w:p w14:paraId="75DC5C51" w14:textId="77777777" w:rsidR="00811EE1" w:rsidRPr="00F64B0E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1CA2AD05" w14:textId="0368DBF4" w:rsidR="00F64B0E" w:rsidRPr="00811EE1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F64B0E">
              <w:rPr>
                <w:rFonts w:ascii="Arial" w:hAnsi="Arial" w:cs="Arial"/>
              </w:rPr>
              <w:t>Associate Chair, Professional Programs (MEng)</w:t>
            </w:r>
          </w:p>
          <w:p w14:paraId="21CE8D15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C0729A3" w14:textId="776294CD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RS306</w:t>
            </w:r>
          </w:p>
          <w:p w14:paraId="09D4FEE0" w14:textId="369DE7F5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4B4294BE" w14:textId="1F9D676F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jamieson@mie.utoronto.ca</w:t>
            </w:r>
          </w:p>
          <w:p w14:paraId="5ABE0B65" w14:textId="77777777" w:rsidR="00922BCE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  <w:p w14:paraId="6A16F9A4" w14:textId="77777777" w:rsidR="00A82C77" w:rsidRPr="00811EE1" w:rsidRDefault="00A82C7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5F1D407C" w14:textId="767229ED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Birsen Donmez</w:t>
            </w:r>
          </w:p>
          <w:p w14:paraId="003FD062" w14:textId="77777777" w:rsidR="00811EE1" w:rsidRPr="00200ACB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Professor, Industrial Engineering</w:t>
            </w:r>
          </w:p>
          <w:p w14:paraId="586EF64D" w14:textId="7E7CD022" w:rsidR="00F64B0E" w:rsidRPr="00200ACB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Canada Research Chair in Human Factors and Transportation</w:t>
            </w:r>
          </w:p>
          <w:p w14:paraId="2B29F254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342593C" w14:textId="692D01DE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RS305A</w:t>
            </w:r>
          </w:p>
          <w:p w14:paraId="2366170F" w14:textId="0160FBB6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416-978-7399</w:t>
            </w:r>
          </w:p>
          <w:p w14:paraId="1E8F6023" w14:textId="72BA2698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donmez@mie.utoronto.ca</w:t>
            </w:r>
          </w:p>
          <w:p w14:paraId="0E73EFAF" w14:textId="77777777" w:rsidR="00922BCE" w:rsidRPr="00811EE1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72AD24CE" w14:textId="77777777" w:rsidR="00922BCE" w:rsidRPr="00F64B0E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F64B0E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Victor Kuperman</w:t>
            </w:r>
          </w:p>
          <w:p w14:paraId="3B13E890" w14:textId="77777777" w:rsidR="00811EE1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Professor, Language Sciences</w:t>
            </w:r>
          </w:p>
          <w:p w14:paraId="7AAA0075" w14:textId="77777777" w:rsidR="00F85190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Canada Research Chair in Psycholinguistics</w:t>
            </w:r>
          </w:p>
          <w:p w14:paraId="04AF4A7D" w14:textId="16F9595B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McMaster University</w:t>
            </w:r>
          </w:p>
          <w:p w14:paraId="4CA3DB62" w14:textId="77777777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1280 Main Street West, Rm. 510</w:t>
            </w:r>
          </w:p>
          <w:p w14:paraId="072E8FB3" w14:textId="7FAA8DEC" w:rsidR="00452ED6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 xml:space="preserve">+1 </w:t>
            </w:r>
            <w:r w:rsid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905-525-9140 x20384</w:t>
            </w:r>
          </w:p>
          <w:p w14:paraId="10BEBDA8" w14:textId="59FAA00A" w:rsidR="00452ED6" w:rsidRPr="00811EE1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vickup@mcmaster.ca</w:t>
            </w:r>
          </w:p>
        </w:tc>
      </w:tr>
      <w:tr w:rsidR="00922BCE" w:rsidRPr="00DA523D" w14:paraId="3DC42C2F" w14:textId="77777777" w:rsidTr="00F85190">
        <w:tc>
          <w:tcPr>
            <w:tcW w:w="3672" w:type="dxa"/>
          </w:tcPr>
          <w:p w14:paraId="18E3D8D6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Christopher Beck</w:t>
            </w:r>
          </w:p>
          <w:p w14:paraId="78023BDE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2856FD0" w14:textId="14DC7C40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Toronto Intelligent Decision Eng</w:t>
            </w: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ineering Laboratory</w:t>
            </w:r>
          </w:p>
          <w:p w14:paraId="637C6AB8" w14:textId="76F56224" w:rsidR="00FA6ECF" w:rsidRPr="00200ACB" w:rsidRDefault="00FA6ECF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49799485" w14:textId="2505F2EE" w:rsidR="00293E9B" w:rsidRPr="00DF35EA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 w:rsidRPr="00DF35EA"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  <w:t>BA8126</w:t>
            </w:r>
          </w:p>
          <w:p w14:paraId="369D676C" w14:textId="52A9872B" w:rsidR="00200ACB" w:rsidRPr="00DF35EA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 xml:space="preserve">+1 </w:t>
            </w:r>
            <w:r w:rsidR="00293E9B"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416-946-8</w:t>
            </w: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854</w:t>
            </w:r>
          </w:p>
          <w:p w14:paraId="1148B395" w14:textId="67F250A4" w:rsidR="00293E9B" w:rsidRPr="00DF35EA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jcb@mie.utoronto.ca</w:t>
            </w:r>
          </w:p>
        </w:tc>
        <w:tc>
          <w:tcPr>
            <w:tcW w:w="3672" w:type="dxa"/>
          </w:tcPr>
          <w:p w14:paraId="0DFAEADD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Scott Sanner</w:t>
            </w:r>
          </w:p>
          <w:p w14:paraId="6E10D050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DE54DF1" w14:textId="2FAE9D18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Data-Driven Decision Making Lab (3DM)</w:t>
            </w:r>
          </w:p>
          <w:p w14:paraId="28C707CA" w14:textId="4600BBF0" w:rsidR="00200AC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37F44D15" w14:textId="37A397F5" w:rsidR="00293E9B" w:rsidRPr="00811EE1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BA8104</w:t>
            </w:r>
          </w:p>
          <w:p w14:paraId="323DF2ED" w14:textId="1A73D10D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0D9D2ED7" w14:textId="53F75D39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ssanner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@mie.utoronto.ca</w:t>
            </w:r>
          </w:p>
          <w:p w14:paraId="2D1E1D5E" w14:textId="41E35AA4" w:rsidR="00293E9B" w:rsidRPr="00200ACB" w:rsidRDefault="00293E9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3672" w:type="dxa"/>
          </w:tcPr>
          <w:p w14:paraId="5127CA57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 xml:space="preserve">Alessandro </w:t>
            </w:r>
            <w:proofErr w:type="spellStart"/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Bozzon</w:t>
            </w:r>
            <w:proofErr w:type="spellEnd"/>
          </w:p>
          <w:p w14:paraId="7E8A3DF3" w14:textId="0563F156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 xml:space="preserve">Professor, </w:t>
            </w:r>
            <w:r w:rsidR="00200ACB">
              <w:rPr>
                <w:rFonts w:ascii="Arial" w:eastAsia="Times New Roman" w:hAnsi="Arial" w:cs="Arial"/>
                <w:iCs/>
                <w:kern w:val="0"/>
                <w14:ligatures w14:val="none"/>
              </w:rPr>
              <w:t>Human-Centered AI</w:t>
            </w:r>
          </w:p>
          <w:p w14:paraId="18778505" w14:textId="40C5597B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>
              <w:rPr>
                <w:rFonts w:ascii="Arial" w:hAnsi="Arial" w:cs="Arial"/>
              </w:rPr>
              <w:t>Head</w:t>
            </w:r>
            <w:r w:rsidR="00293E9B" w:rsidRPr="00F64B0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Department of Sustainable Engineering</w:t>
            </w:r>
          </w:p>
          <w:p w14:paraId="3C36E077" w14:textId="48CB10B3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Delft University of Technology</w:t>
            </w:r>
          </w:p>
          <w:p w14:paraId="236E1880" w14:textId="7C3C9F16" w:rsidR="00DA523D" w:rsidRPr="00DA523D" w:rsidRDefault="00DA523D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DA52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Landbergstraat</w:t>
            </w:r>
            <w:proofErr w:type="spellEnd"/>
            <w:r w:rsidRPr="00DA52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15,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32B3370</w:t>
            </w:r>
          </w:p>
          <w:p w14:paraId="77597400" w14:textId="06F5EC12" w:rsidR="00293E9B" w:rsidRPr="00DA523D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DA523D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+31 15 2787822 A.Bozzon@tudelft.nl</w:t>
            </w:r>
          </w:p>
        </w:tc>
      </w:tr>
    </w:tbl>
    <w:p w14:paraId="3F464ABB" w14:textId="77777777" w:rsidR="00CF1D95" w:rsidRPr="00DA523D" w:rsidRDefault="00CF1D95"/>
    <w:p w14:paraId="37440299" w14:textId="77777777" w:rsidR="00C3787A" w:rsidRPr="00DA523D" w:rsidRDefault="00C3787A" w:rsidP="00CF1D95">
      <w:pPr>
        <w:jc w:val="right"/>
        <w:rPr>
          <w:rFonts w:ascii="Times New Roman" w:hAnsi="Times New Roman" w:cs="Times New Roman"/>
          <w:i/>
          <w:iCs/>
        </w:rPr>
      </w:pPr>
    </w:p>
    <w:p w14:paraId="53207867" w14:textId="20CB6DE7" w:rsidR="00CF1D95" w:rsidRPr="00CF1D95" w:rsidRDefault="00C3787A" w:rsidP="00CF1D95">
      <w:pPr>
        <w:jc w:val="right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Updat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ed: </w:t>
      </w:r>
      <w:r w:rsidR="00CD6A00">
        <w:rPr>
          <w:rFonts w:ascii="Times New Roman" w:hAnsi="Times New Roman" w:cs="Times New Roman"/>
          <w:i/>
          <w:iCs/>
          <w:lang w:val="en-US"/>
        </w:rPr>
        <w:t>January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 2025</w:t>
      </w:r>
    </w:p>
    <w:sectPr w:rsidR="00CF1D95" w:rsidRPr="00CF1D95" w:rsidSect="005E320E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918DF" w14:textId="77777777" w:rsidR="000051E0" w:rsidRDefault="000051E0" w:rsidP="00F64B0E">
      <w:pPr>
        <w:spacing w:after="0" w:line="240" w:lineRule="auto"/>
      </w:pPr>
      <w:r>
        <w:separator/>
      </w:r>
    </w:p>
  </w:endnote>
  <w:endnote w:type="continuationSeparator" w:id="0">
    <w:p w14:paraId="33987291" w14:textId="77777777" w:rsidR="000051E0" w:rsidRDefault="000051E0" w:rsidP="00F6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8724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DB5D7" w14:textId="2752C455" w:rsidR="00F64B0E" w:rsidRDefault="00F64B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5CAD8" w14:textId="5D8DAAC8" w:rsidR="00F64B0E" w:rsidRPr="00F64B0E" w:rsidRDefault="00F64B0E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E54DD" w14:textId="77777777" w:rsidR="000051E0" w:rsidRDefault="000051E0" w:rsidP="00F64B0E">
      <w:pPr>
        <w:spacing w:after="0" w:line="240" w:lineRule="auto"/>
      </w:pPr>
      <w:r>
        <w:separator/>
      </w:r>
    </w:p>
  </w:footnote>
  <w:footnote w:type="continuationSeparator" w:id="0">
    <w:p w14:paraId="3167747A" w14:textId="77777777" w:rsidR="000051E0" w:rsidRDefault="000051E0" w:rsidP="00F6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2B2"/>
    <w:multiLevelType w:val="hybridMultilevel"/>
    <w:tmpl w:val="2F181578"/>
    <w:lvl w:ilvl="0" w:tplc="EE5828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F244F"/>
    <w:multiLevelType w:val="hybridMultilevel"/>
    <w:tmpl w:val="420E82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4374A"/>
    <w:multiLevelType w:val="hybridMultilevel"/>
    <w:tmpl w:val="1C703414"/>
    <w:lvl w:ilvl="0" w:tplc="66846F50">
      <w:numFmt w:val="bullet"/>
      <w:pStyle w:val="List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B3623"/>
    <w:multiLevelType w:val="hybridMultilevel"/>
    <w:tmpl w:val="0B44A4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4714FA"/>
    <w:multiLevelType w:val="hybridMultilevel"/>
    <w:tmpl w:val="FD789D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17583"/>
    <w:multiLevelType w:val="hybridMultilevel"/>
    <w:tmpl w:val="5D64491E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CA6C6A"/>
    <w:multiLevelType w:val="hybridMultilevel"/>
    <w:tmpl w:val="C87A8D3A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404F1"/>
    <w:multiLevelType w:val="hybridMultilevel"/>
    <w:tmpl w:val="80801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417E5"/>
    <w:multiLevelType w:val="hybridMultilevel"/>
    <w:tmpl w:val="6ACA4C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5B0D"/>
    <w:multiLevelType w:val="hybridMultilevel"/>
    <w:tmpl w:val="958A35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F6CF5"/>
    <w:multiLevelType w:val="hybridMultilevel"/>
    <w:tmpl w:val="799E06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643B8A"/>
    <w:multiLevelType w:val="hybridMultilevel"/>
    <w:tmpl w:val="C3D663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42850"/>
    <w:multiLevelType w:val="hybridMultilevel"/>
    <w:tmpl w:val="D5B2B7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323459"/>
    <w:multiLevelType w:val="hybridMultilevel"/>
    <w:tmpl w:val="05D86CA6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560B3D"/>
    <w:multiLevelType w:val="multilevel"/>
    <w:tmpl w:val="A51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F0486"/>
    <w:multiLevelType w:val="hybridMultilevel"/>
    <w:tmpl w:val="71D46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7A4F"/>
    <w:multiLevelType w:val="hybridMultilevel"/>
    <w:tmpl w:val="ED125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F2A82"/>
    <w:multiLevelType w:val="hybridMultilevel"/>
    <w:tmpl w:val="4218F5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805473">
    <w:abstractNumId w:val="2"/>
  </w:num>
  <w:num w:numId="2" w16cid:durableId="746268575">
    <w:abstractNumId w:val="10"/>
  </w:num>
  <w:num w:numId="3" w16cid:durableId="1966571384">
    <w:abstractNumId w:val="6"/>
  </w:num>
  <w:num w:numId="4" w16cid:durableId="1787120892">
    <w:abstractNumId w:val="9"/>
  </w:num>
  <w:num w:numId="5" w16cid:durableId="1545756471">
    <w:abstractNumId w:val="4"/>
  </w:num>
  <w:num w:numId="6" w16cid:durableId="1586763537">
    <w:abstractNumId w:val="7"/>
  </w:num>
  <w:num w:numId="7" w16cid:durableId="1411587115">
    <w:abstractNumId w:val="0"/>
  </w:num>
  <w:num w:numId="8" w16cid:durableId="331880288">
    <w:abstractNumId w:val="8"/>
  </w:num>
  <w:num w:numId="9" w16cid:durableId="1501190188">
    <w:abstractNumId w:val="15"/>
  </w:num>
  <w:num w:numId="10" w16cid:durableId="1759865120">
    <w:abstractNumId w:val="5"/>
  </w:num>
  <w:num w:numId="11" w16cid:durableId="227616550">
    <w:abstractNumId w:val="3"/>
  </w:num>
  <w:num w:numId="12" w16cid:durableId="1830831147">
    <w:abstractNumId w:val="11"/>
  </w:num>
  <w:num w:numId="13" w16cid:durableId="1698846359">
    <w:abstractNumId w:val="17"/>
  </w:num>
  <w:num w:numId="14" w16cid:durableId="1192719910">
    <w:abstractNumId w:val="12"/>
  </w:num>
  <w:num w:numId="15" w16cid:durableId="2141612465">
    <w:abstractNumId w:val="13"/>
  </w:num>
  <w:num w:numId="16" w16cid:durableId="1931035762">
    <w:abstractNumId w:val="14"/>
  </w:num>
  <w:num w:numId="17" w16cid:durableId="2107074902">
    <w:abstractNumId w:val="16"/>
  </w:num>
  <w:num w:numId="18" w16cid:durableId="213833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84"/>
    <w:rsid w:val="00004DD2"/>
    <w:rsid w:val="000051E0"/>
    <w:rsid w:val="00011C1A"/>
    <w:rsid w:val="00015C93"/>
    <w:rsid w:val="00021D60"/>
    <w:rsid w:val="00024E12"/>
    <w:rsid w:val="0003329C"/>
    <w:rsid w:val="000678C2"/>
    <w:rsid w:val="0007326D"/>
    <w:rsid w:val="00086997"/>
    <w:rsid w:val="000A0843"/>
    <w:rsid w:val="000A6B74"/>
    <w:rsid w:val="000B73DC"/>
    <w:rsid w:val="000C5D7D"/>
    <w:rsid w:val="000F3810"/>
    <w:rsid w:val="000F5356"/>
    <w:rsid w:val="00120CB1"/>
    <w:rsid w:val="0014225D"/>
    <w:rsid w:val="00151F8F"/>
    <w:rsid w:val="00156E97"/>
    <w:rsid w:val="001645FD"/>
    <w:rsid w:val="001872DE"/>
    <w:rsid w:val="001A5902"/>
    <w:rsid w:val="001F0453"/>
    <w:rsid w:val="001F6F84"/>
    <w:rsid w:val="00200ACB"/>
    <w:rsid w:val="00215E4D"/>
    <w:rsid w:val="00216917"/>
    <w:rsid w:val="00242E3A"/>
    <w:rsid w:val="00257F60"/>
    <w:rsid w:val="00285BE0"/>
    <w:rsid w:val="00293E9B"/>
    <w:rsid w:val="002C560A"/>
    <w:rsid w:val="002C68B1"/>
    <w:rsid w:val="002C6919"/>
    <w:rsid w:val="002E6BDA"/>
    <w:rsid w:val="00301C4E"/>
    <w:rsid w:val="003274E1"/>
    <w:rsid w:val="00380911"/>
    <w:rsid w:val="0039029A"/>
    <w:rsid w:val="003A1CE9"/>
    <w:rsid w:val="003B51C3"/>
    <w:rsid w:val="003D2FD2"/>
    <w:rsid w:val="003F2174"/>
    <w:rsid w:val="00444C2F"/>
    <w:rsid w:val="00447D77"/>
    <w:rsid w:val="004505DE"/>
    <w:rsid w:val="00452ED6"/>
    <w:rsid w:val="00456D7D"/>
    <w:rsid w:val="00467E71"/>
    <w:rsid w:val="004B5C84"/>
    <w:rsid w:val="004F7C93"/>
    <w:rsid w:val="005339AA"/>
    <w:rsid w:val="005502EF"/>
    <w:rsid w:val="00550C9C"/>
    <w:rsid w:val="005A17D8"/>
    <w:rsid w:val="005A6667"/>
    <w:rsid w:val="005C7619"/>
    <w:rsid w:val="005D6080"/>
    <w:rsid w:val="005E320E"/>
    <w:rsid w:val="005E32AA"/>
    <w:rsid w:val="00606A21"/>
    <w:rsid w:val="00617650"/>
    <w:rsid w:val="006524B0"/>
    <w:rsid w:val="006B53E9"/>
    <w:rsid w:val="006E511C"/>
    <w:rsid w:val="007263E1"/>
    <w:rsid w:val="0073744C"/>
    <w:rsid w:val="00741754"/>
    <w:rsid w:val="00770956"/>
    <w:rsid w:val="0078717F"/>
    <w:rsid w:val="00793452"/>
    <w:rsid w:val="007E2F4F"/>
    <w:rsid w:val="00811EE1"/>
    <w:rsid w:val="00814EF2"/>
    <w:rsid w:val="008276B3"/>
    <w:rsid w:val="00835250"/>
    <w:rsid w:val="008479BB"/>
    <w:rsid w:val="00877BFE"/>
    <w:rsid w:val="008A3A08"/>
    <w:rsid w:val="008A7FB6"/>
    <w:rsid w:val="008C5293"/>
    <w:rsid w:val="008D3431"/>
    <w:rsid w:val="008E15E5"/>
    <w:rsid w:val="0091142A"/>
    <w:rsid w:val="00914CC7"/>
    <w:rsid w:val="00914F41"/>
    <w:rsid w:val="00922BCE"/>
    <w:rsid w:val="00924F0C"/>
    <w:rsid w:val="00930DD1"/>
    <w:rsid w:val="00A4255F"/>
    <w:rsid w:val="00A51A5A"/>
    <w:rsid w:val="00A82C77"/>
    <w:rsid w:val="00A8436C"/>
    <w:rsid w:val="00A87554"/>
    <w:rsid w:val="00AB06DC"/>
    <w:rsid w:val="00AC7770"/>
    <w:rsid w:val="00AD5089"/>
    <w:rsid w:val="00AF6E0F"/>
    <w:rsid w:val="00B058C6"/>
    <w:rsid w:val="00B1563E"/>
    <w:rsid w:val="00B2752F"/>
    <w:rsid w:val="00B35F2A"/>
    <w:rsid w:val="00B51DE2"/>
    <w:rsid w:val="00B53D90"/>
    <w:rsid w:val="00B54DBD"/>
    <w:rsid w:val="00B73A29"/>
    <w:rsid w:val="00B832C6"/>
    <w:rsid w:val="00B83DA7"/>
    <w:rsid w:val="00BA7C4D"/>
    <w:rsid w:val="00BE62DD"/>
    <w:rsid w:val="00BF009B"/>
    <w:rsid w:val="00BF024E"/>
    <w:rsid w:val="00BF0753"/>
    <w:rsid w:val="00BF1406"/>
    <w:rsid w:val="00BF614C"/>
    <w:rsid w:val="00C151E7"/>
    <w:rsid w:val="00C3105E"/>
    <w:rsid w:val="00C3787A"/>
    <w:rsid w:val="00C75143"/>
    <w:rsid w:val="00C95F74"/>
    <w:rsid w:val="00C976A6"/>
    <w:rsid w:val="00CA25F6"/>
    <w:rsid w:val="00CD2350"/>
    <w:rsid w:val="00CD6A00"/>
    <w:rsid w:val="00CD7685"/>
    <w:rsid w:val="00CE6B66"/>
    <w:rsid w:val="00CF1D95"/>
    <w:rsid w:val="00D20DB4"/>
    <w:rsid w:val="00D50B2E"/>
    <w:rsid w:val="00D56434"/>
    <w:rsid w:val="00D603CB"/>
    <w:rsid w:val="00D67AD8"/>
    <w:rsid w:val="00D76F15"/>
    <w:rsid w:val="00D83C4B"/>
    <w:rsid w:val="00D85CC1"/>
    <w:rsid w:val="00D95A97"/>
    <w:rsid w:val="00DA211E"/>
    <w:rsid w:val="00DA523D"/>
    <w:rsid w:val="00DB44F9"/>
    <w:rsid w:val="00DC32BC"/>
    <w:rsid w:val="00DD448F"/>
    <w:rsid w:val="00DE2314"/>
    <w:rsid w:val="00DF1AB0"/>
    <w:rsid w:val="00DF35EA"/>
    <w:rsid w:val="00E11FC7"/>
    <w:rsid w:val="00E21054"/>
    <w:rsid w:val="00E60756"/>
    <w:rsid w:val="00E663E2"/>
    <w:rsid w:val="00E73EA9"/>
    <w:rsid w:val="00E92EE9"/>
    <w:rsid w:val="00EC363E"/>
    <w:rsid w:val="00ED2685"/>
    <w:rsid w:val="00EE76F9"/>
    <w:rsid w:val="00EF31CB"/>
    <w:rsid w:val="00F015FB"/>
    <w:rsid w:val="00F10F41"/>
    <w:rsid w:val="00F27613"/>
    <w:rsid w:val="00F37693"/>
    <w:rsid w:val="00F64B0E"/>
    <w:rsid w:val="00F85190"/>
    <w:rsid w:val="00FA6EC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426"/>
  <w15:chartTrackingRefBased/>
  <w15:docId w15:val="{28ADF050-AEDE-4E03-8988-FE0A2A66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53"/>
  </w:style>
  <w:style w:type="paragraph" w:styleId="Heading1">
    <w:name w:val="heading 1"/>
    <w:basedOn w:val="Normal"/>
    <w:next w:val="Normal"/>
    <w:link w:val="Heading1Char"/>
    <w:uiPriority w:val="9"/>
    <w:qFormat/>
    <w:rsid w:val="001F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8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339AA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/>
      <w:iCs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C7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B0E"/>
  </w:style>
  <w:style w:type="paragraph" w:styleId="Footer">
    <w:name w:val="footer"/>
    <w:basedOn w:val="Normal"/>
    <w:link w:val="Foot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B0E"/>
  </w:style>
  <w:style w:type="paragraph" w:styleId="NormalWeb">
    <w:name w:val="Normal (Web)"/>
    <w:basedOn w:val="Normal"/>
    <w:uiPriority w:val="99"/>
    <w:unhideWhenUsed/>
    <w:rsid w:val="00DF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47D77"/>
    <w:rPr>
      <w:i/>
      <w:iCs/>
    </w:rPr>
  </w:style>
  <w:style w:type="paragraph" w:styleId="NoSpacing">
    <w:name w:val="No Spacing"/>
    <w:uiPriority w:val="1"/>
    <w:qFormat/>
    <w:rsid w:val="008E1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A174-8893-4F18-9FB2-715EA71F42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Gentile</dc:creator>
  <cp:keywords/>
  <dc:description/>
  <cp:lastModifiedBy>Davide Gentile</cp:lastModifiedBy>
  <cp:revision>2</cp:revision>
  <cp:lastPrinted>2025-01-13T10:57:00Z</cp:lastPrinted>
  <dcterms:created xsi:type="dcterms:W3CDTF">2025-02-18T15:42:00Z</dcterms:created>
  <dcterms:modified xsi:type="dcterms:W3CDTF">2025-02-18T15:42:00Z</dcterms:modified>
</cp:coreProperties>
</file>