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70" w:name="content"/>
    <w:bookmarkStart w:id="169" w:name="X4f29282022b32f597d6dbaf3e601b27cc8a03a3"/>
    <w:p>
      <w:pPr>
        <w:pStyle w:val="Heading1"/>
      </w:pPr>
      <w:r>
        <w:t xml:space="preserve">Harbor Agent – AI Tax Assistant Readiness Pack</w:t>
      </w:r>
    </w:p>
    <w:bookmarkStart w:id="21" w:name="pack-name-slug-and-description"/>
    <w:p>
      <w:pPr>
        <w:pStyle w:val="Heading2"/>
      </w:pPr>
      <w:r>
        <w:t xml:space="preserve">Pack Name, Slug, and Description</w:t>
      </w:r>
    </w:p>
    <w:p>
      <w:pPr>
        <w:pStyle w:val="Compact"/>
        <w:numPr>
          <w:ilvl w:val="0"/>
          <w:numId w:val="1001"/>
        </w:numPr>
      </w:pPr>
      <w:r>
        <w:rPr>
          <w:b/>
          <w:bCs/>
        </w:rPr>
        <w:t xml:space="preserve">Name:</w:t>
      </w:r>
      <w:r>
        <w:t xml:space="preserve"> </w:t>
      </w:r>
      <w:r>
        <w:t xml:space="preserve">AI-Augmented Tax Preparation Readiness Pack</w:t>
      </w:r>
    </w:p>
    <w:p>
      <w:pPr>
        <w:pStyle w:val="Compact"/>
        <w:numPr>
          <w:ilvl w:val="0"/>
          <w:numId w:val="1001"/>
        </w:numPr>
      </w:pPr>
      <w:r>
        <w:rPr>
          <w:b/>
          <w:bCs/>
        </w:rPr>
        <w:t xml:space="preserve">Slug:</w:t>
      </w:r>
      <w:r>
        <w:t xml:space="preserve"> </w:t>
      </w:r>
      <w:r>
        <w:rPr>
          <w:rStyle w:val="VerbatimChar"/>
        </w:rPr>
        <w:t xml:space="preserve">tax-ai-readiness</w:t>
      </w:r>
    </w:p>
    <w:p>
      <w:pPr>
        <w:pStyle w:val="Compact"/>
        <w:numPr>
          <w:ilvl w:val="0"/>
          <w:numId w:val="1001"/>
        </w:numPr>
      </w:pPr>
      <w:r>
        <w:rPr>
          <w:b/>
          <w:bCs/>
        </w:rPr>
        <w:t xml:space="preserve">Description:</w:t>
      </w:r>
      <w:r>
        <w:t xml:space="preserve"> </w:t>
      </w:r>
      <w:r>
        <w:t xml:space="preserve">A comprehensive toolkit to help tax professionals and tax software developers integrate AI assistants into tax preparation workflows for greater efficiency, accuracy, and compliance.</w:t>
      </w:r>
    </w:p>
    <w:bookmarkEnd w:id="21"/>
    <w:bookmarkStart w:id="30" w:name="Xdddc31ce222fb2fdd37c371a4c0a28b8780f423"/>
    <w:p>
      <w:pPr>
        <w:pStyle w:val="Heading2"/>
      </w:pPr>
      <w:r>
        <w:t xml:space="preserve">Target Audience and Ideal Customer Profile (ICP)</w:t>
      </w:r>
    </w:p>
    <w:p>
      <w:pPr>
        <w:pStyle w:val="FirstParagraph"/>
      </w:pPr>
      <w:r>
        <w:rPr>
          <w:b/>
          <w:bCs/>
        </w:rPr>
        <w:t xml:space="preserve">Primary Audiences:</w:t>
      </w:r>
      <w:r>
        <w:br/>
      </w:r>
      <w:r>
        <w:t xml:space="preserve">-</w:t>
      </w:r>
      <w:r>
        <w:t xml:space="preserve"> </w:t>
      </w:r>
      <w:r>
        <w:rPr>
          <w:b/>
          <w:bCs/>
        </w:rPr>
        <w:t xml:space="preserve">Independent Tax Preparers and Small CPA Firms:</w:t>
      </w:r>
      <w:r>
        <w:t xml:space="preserve"> </w:t>
      </w:r>
      <w:r>
        <w:t xml:space="preserve">Solo practitioners or small teams handling individual and small business tax returns. Often time-constrained and seeking ways to automate routine tasks (data entry, document sorting) and improve accuracy. They need guidance on using AI tools (like ChatGPT, TaxGPT, etc.) to enhance their practice without violating client confidentiality or professional standards.</w:t>
      </w:r>
      <w:r>
        <w:br/>
      </w:r>
      <w:r>
        <w:t xml:space="preserve">-</w:t>
      </w:r>
      <w:r>
        <w:t xml:space="preserve"> </w:t>
      </w:r>
      <w:r>
        <w:rPr>
          <w:b/>
          <w:bCs/>
        </w:rPr>
        <w:t xml:space="preserve">Tax Software Developers and Product Teams:</w:t>
      </w:r>
      <w:r>
        <w:t xml:space="preserve"> </w:t>
      </w:r>
      <w:r>
        <w:t xml:space="preserve">Engineers and product managers building tax preparation or accounting software who want to embed AI capabilities (e.g., auto-filling forms, error checking, chatbot assistants) into their applications. They require an</w:t>
      </w:r>
      <w:r>
        <w:t xml:space="preserve"> </w:t>
      </w:r>
      <w:r>
        <w:rPr>
          <w:b/>
          <w:bCs/>
        </w:rPr>
        <w:t xml:space="preserve">AI integration blueprint</w:t>
      </w:r>
      <w:r>
        <w:t xml:space="preserve"> </w:t>
      </w:r>
      <w:r>
        <w:t xml:space="preserve">that addresses technical implementation as well as security and compliance considerations for handling sensitive tax data.</w:t>
      </w:r>
      <w:r>
        <w:br/>
      </w:r>
      <w:r>
        <w:t xml:space="preserve">-</w:t>
      </w:r>
      <w:r>
        <w:t xml:space="preserve"> </w:t>
      </w:r>
      <w:r>
        <w:rPr>
          <w:b/>
          <w:bCs/>
        </w:rPr>
        <w:t xml:space="preserve">Mid-size CPA Firms’ Tax Professionals:</w:t>
      </w:r>
      <w:r>
        <w:t xml:space="preserve"> </w:t>
      </w:r>
      <w:r>
        <w:t xml:space="preserve">Tax managers and staff at mid-tier firms who prepare complex returns and advisory reports. They are interested in GenAI to speed up research, draft memos, analyze client data for planning opportunities, and automate parts of the review process. They face strict</w:t>
      </w:r>
      <w:r>
        <w:t xml:space="preserve"> </w:t>
      </w:r>
      <w:r>
        <w:rPr>
          <w:b/>
          <w:bCs/>
        </w:rPr>
        <w:t xml:space="preserve">due diligence and data security requirements</w:t>
      </w:r>
      <w:r>
        <w:t xml:space="preserve"> </w:t>
      </w:r>
      <w:r>
        <w:t xml:space="preserve">and need structured policies for using AI responsibly.</w:t>
      </w:r>
      <w:r>
        <w:br/>
      </w:r>
      <w:r>
        <w:t xml:space="preserve">-</w:t>
      </w:r>
      <w:r>
        <w:t xml:space="preserve"> </w:t>
      </w:r>
      <w:r>
        <w:rPr>
          <w:b/>
          <w:bCs/>
        </w:rPr>
        <w:t xml:space="preserve">Finance Departments and In-House Tax Teams:</w:t>
      </w:r>
      <w:r>
        <w:t xml:space="preserve"> </w:t>
      </w:r>
      <w:r>
        <w:t xml:space="preserve">Professionals in companies managing internal tax compliance and provision who want to leverage AI for tasks like tax law research, scenario modeling, and document generation. They need to ensure any AI use aligns with corporate data security policies and</w:t>
      </w:r>
      <w:r>
        <w:t xml:space="preserve"> </w:t>
      </w:r>
      <w:r>
        <w:rPr>
          <w:b/>
          <w:bCs/>
        </w:rPr>
        <w:t xml:space="preserve">regulatory compliance</w:t>
      </w:r>
      <w:r>
        <w:t xml:space="preserve">.</w:t>
      </w:r>
    </w:p>
    <w:p>
      <w:pPr>
        <w:pStyle w:val="BodyText"/>
      </w:pPr>
      <w:r>
        <w:rPr>
          <w:b/>
          <w:bCs/>
        </w:rPr>
        <w:t xml:space="preserve">Company Types:</w:t>
      </w:r>
      <w:r>
        <w:br/>
      </w:r>
      <w:r>
        <w:t xml:space="preserve">- Boutique tax advisory firms and local CPA offices (1-10 employees)</w:t>
      </w:r>
      <w:r>
        <w:br/>
      </w:r>
      <w:r>
        <w:t xml:space="preserve">- Tax preparation franchises or services looking to modernize (regional chains)</w:t>
      </w:r>
      <w:r>
        <w:br/>
      </w:r>
      <w:r>
        <w:t xml:space="preserve">- Tax and accounting software vendors (including startups building AI-driven tax tools)</w:t>
      </w:r>
      <w:r>
        <w:br/>
      </w:r>
      <w:r>
        <w:t xml:space="preserve">- Mid-sized accounting firms with emerging technology initiatives</w:t>
      </w:r>
      <w:r>
        <w:br/>
      </w:r>
      <w:r>
        <w:t xml:space="preserve">- Corporate finance/tax departments in SMEs experimenting with AI for internal tax workflows</w:t>
      </w:r>
    </w:p>
    <w:p>
      <w:pPr>
        <w:pStyle w:val="BodyText"/>
      </w:pPr>
      <w:r>
        <w:rPr>
          <w:b/>
          <w:bCs/>
        </w:rPr>
        <w:t xml:space="preserve">Pain Points &amp; Challenges:</w:t>
      </w:r>
      <w:r>
        <w:br/>
      </w:r>
      <w:r>
        <w:t xml:space="preserve">-</w:t>
      </w:r>
      <w:r>
        <w:t xml:space="preserve"> </w:t>
      </w:r>
      <w:r>
        <w:rPr>
          <w:b/>
          <w:bCs/>
        </w:rPr>
        <w:t xml:space="preserve">Manual, Time-Consuming Processes:</w:t>
      </w:r>
      <w:r>
        <w:t xml:space="preserve"> </w:t>
      </w:r>
      <w:r>
        <w:t xml:space="preserve">Tax professionals spend significant time on</w:t>
      </w:r>
      <w:r>
        <w:t xml:space="preserve"> </w:t>
      </w:r>
      <w:r>
        <w:rPr>
          <w:b/>
          <w:bCs/>
        </w:rPr>
        <w:t xml:space="preserve">data entry, document review, and research</w:t>
      </w:r>
      <w:r>
        <w:t xml:space="preserve">, leaving less time for high-value advisory work. Staff shortages and seasonal workload spikes make efficiency critical. AI promises time savings, as 79% of tax pros expect AI to transform their work within five years</w:t>
      </w:r>
      <w:hyperlink r:id="rId22">
        <w:r>
          <w:rPr>
            <w:rStyle w:val="Hyperlink"/>
          </w:rPr>
          <w:t xml:space="preserve">[1]</w:t>
        </w:r>
      </w:hyperlink>
      <w:r>
        <w:t xml:space="preserve">. However, firms struggle to translate AI’s potential into their day-to-day workflow.</w:t>
      </w:r>
      <w:r>
        <w:br/>
      </w:r>
      <w:r>
        <w:t xml:space="preserve">-</w:t>
      </w:r>
      <w:r>
        <w:t xml:space="preserve"> </w:t>
      </w:r>
      <w:r>
        <w:rPr>
          <w:b/>
          <w:bCs/>
        </w:rPr>
        <w:t xml:space="preserve">Navigating AI Tools and Accuracy:</w:t>
      </w:r>
      <w:r>
        <w:t xml:space="preserve"> </w:t>
      </w:r>
      <w:r>
        <w:t xml:space="preserve">There is an explosion of AI tools (ChatGPT, Microsoft 365 Copilot, TaxGPT, etc.), but practitioners are unsure which to trust or how to use them properly. They worry about</w:t>
      </w:r>
      <w:r>
        <w:t xml:space="preserve"> </w:t>
      </w:r>
      <w:r>
        <w:rPr>
          <w:b/>
          <w:bCs/>
        </w:rPr>
        <w:t xml:space="preserve">hallucinations and incorrect answers</w:t>
      </w:r>
      <w:r>
        <w:t xml:space="preserve"> </w:t>
      </w:r>
      <w:r>
        <w:t xml:space="preserve">from AI, which could lead to compliance errors. Indeed, experiments show current AI chatbots often produce misleading or wrong tax answers if used naively</w:t>
      </w:r>
      <w:hyperlink r:id="rId23">
        <w:r>
          <w:rPr>
            <w:rStyle w:val="Hyperlink"/>
          </w:rPr>
          <w:t xml:space="preserve">[2]</w:t>
        </w:r>
      </w:hyperlink>
      <w:hyperlink r:id="rId24">
        <w:r>
          <w:rPr>
            <w:rStyle w:val="Hyperlink"/>
          </w:rPr>
          <w:t xml:space="preserve">[3]</w:t>
        </w:r>
      </w:hyperlink>
      <w:r>
        <w:t xml:space="preserve">. The ICP needs guidance on selecting appropriate AI solutions (ideally ones with up-to-date tax knowledge) and on verifying AI outputs.</w:t>
      </w:r>
      <w:r>
        <w:br/>
      </w:r>
      <w:r>
        <w:t xml:space="preserve">-</w:t>
      </w:r>
      <w:r>
        <w:t xml:space="preserve"> </w:t>
      </w:r>
      <w:r>
        <w:rPr>
          <w:b/>
          <w:bCs/>
        </w:rPr>
        <w:t xml:space="preserve">Data Security and Client Confidentiality:</w:t>
      </w:r>
      <w:r>
        <w:t xml:space="preserve"> </w:t>
      </w:r>
      <w:r>
        <w:t xml:space="preserve">Tax data is highly sensitive (PII, financial info). A top concern (cited by 65% of professionals) is the</w:t>
      </w:r>
      <w:r>
        <w:t xml:space="preserve"> </w:t>
      </w:r>
      <w:r>
        <w:rPr>
          <w:b/>
          <w:bCs/>
        </w:rPr>
        <w:t xml:space="preserve">security of data and AI responses</w:t>
      </w:r>
      <w:hyperlink r:id="rId25">
        <w:r>
          <w:rPr>
            <w:rStyle w:val="Hyperlink"/>
          </w:rPr>
          <w:t xml:space="preserve">[4]</w:t>
        </w:r>
      </w:hyperlink>
      <w:hyperlink r:id="rId25">
        <w:r>
          <w:rPr>
            <w:rStyle w:val="Hyperlink"/>
          </w:rPr>
          <w:t xml:space="preserve">[5]</w:t>
        </w:r>
      </w:hyperlink>
      <w:r>
        <w:t xml:space="preserve">. Users fear that uploading client information to a third-party AI (like a public ChatGPT) could violate confidentiality or even accidentally expose data. They need clear protocols to protect data (encryption, anonymization) and to comply with IRS regulations (IRC §7216 on taxpayer data disclosure, etc.).</w:t>
      </w:r>
      <w:r>
        <w:br/>
      </w:r>
      <w:r>
        <w:t xml:space="preserve">-</w:t>
      </w:r>
      <w:r>
        <w:t xml:space="preserve"> </w:t>
      </w:r>
      <w:r>
        <w:rPr>
          <w:b/>
          <w:bCs/>
        </w:rPr>
        <w:t xml:space="preserve">Maintaining Professional Standards (Due Diligence &amp; Ethics):</w:t>
      </w:r>
      <w:r>
        <w:t xml:space="preserve"> </w:t>
      </w:r>
      <w:r>
        <w:t xml:space="preserve">CPAs and tax preparers are bound by Circular 230 and AICPA standards requiring due diligence, regardless of tools used. They cannot blindly rely on AI advice. In fact, Circular 230 §10.22(b) says practitioners must use “reasonable care” in</w:t>
      </w:r>
      <w:r>
        <w:t xml:space="preserve"> </w:t>
      </w:r>
      <w:r>
        <w:rPr>
          <w:b/>
          <w:bCs/>
        </w:rPr>
        <w:t xml:space="preserve">engaging, supervising, training, and evaluating</w:t>
      </w:r>
      <w:r>
        <w:t xml:space="preserve"> </w:t>
      </w:r>
      <w:r>
        <w:t xml:space="preserve">the work of others – which extends to AI</w:t>
      </w:r>
      <w:hyperlink r:id="rId26">
        <w:r>
          <w:rPr>
            <w:rStyle w:val="Hyperlink"/>
          </w:rPr>
          <w:t xml:space="preserve">[6]</w:t>
        </w:r>
      </w:hyperlink>
      <w:r>
        <w:t xml:space="preserve">. Many firms lack internal policies on AI, creating uncertainty on what staff can or cannot do.</w:t>
      </w:r>
      <w:r>
        <w:t xml:space="preserve"> </w:t>
      </w:r>
      <w:r>
        <w:rPr>
          <w:b/>
          <w:bCs/>
        </w:rPr>
        <w:t xml:space="preserve">57% of tax professionals support establishing AI certification processes and industry standards</w:t>
      </w:r>
      <w:hyperlink r:id="rId27">
        <w:r>
          <w:rPr>
            <w:rStyle w:val="Hyperlink"/>
            <w:b/>
            <w:bCs/>
          </w:rPr>
          <w:t xml:space="preserve">[7]</w:t>
        </w:r>
      </w:hyperlink>
      <w:hyperlink r:id="rId28">
        <w:r>
          <w:rPr>
            <w:rStyle w:val="Hyperlink"/>
            <w:b/>
            <w:bCs/>
          </w:rPr>
          <w:t xml:space="preserve">[8]</w:t>
        </w:r>
      </w:hyperlink>
      <w:r>
        <w:t xml:space="preserve">, indicating a desire for formal guidelines. This pack addresses that by providing structured best practices and checklists so firms can implement AI</w:t>
      </w:r>
      <w:r>
        <w:t xml:space="preserve"> </w:t>
      </w:r>
      <w:r>
        <w:rPr>
          <w:b/>
          <w:bCs/>
        </w:rPr>
        <w:t xml:space="preserve">with proper oversight and accountability</w:t>
      </w:r>
      <w:r>
        <w:t xml:space="preserve">.</w:t>
      </w:r>
      <w:r>
        <w:br/>
      </w:r>
      <w:r>
        <w:t xml:space="preserve">-</w:t>
      </w:r>
      <w:r>
        <w:t xml:space="preserve"> </w:t>
      </w:r>
      <w:r>
        <w:rPr>
          <w:b/>
          <w:bCs/>
        </w:rPr>
        <w:t xml:space="preserve">Integration Into Existing Workflows:</w:t>
      </w:r>
      <w:r>
        <w:t xml:space="preserve"> </w:t>
      </w:r>
      <w:r>
        <w:t xml:space="preserve">Tax pros and software teams want to use AI within their</w:t>
      </w:r>
      <w:r>
        <w:t xml:space="preserve"> </w:t>
      </w:r>
      <w:r>
        <w:rPr>
          <w:b/>
          <w:bCs/>
        </w:rPr>
        <w:t xml:space="preserve">current software and processes</w:t>
      </w:r>
      <w:r>
        <w:t xml:space="preserve"> </w:t>
      </w:r>
      <w:r>
        <w:t xml:space="preserve">– e.g., inside their tax prep software, spreadsheet models, or research platforms – rather than as a disconnected toy. They need to know</w:t>
      </w:r>
      <w:r>
        <w:t xml:space="preserve"> </w:t>
      </w:r>
      <w:r>
        <w:rPr>
          <w:b/>
          <w:bCs/>
        </w:rPr>
        <w:t xml:space="preserve">where AI can plug in</w:t>
      </w:r>
      <w:r>
        <w:t xml:space="preserve"> </w:t>
      </w:r>
      <w:r>
        <w:t xml:space="preserve">(for example, document intake, research, review steps) and get sample architectures or patterns to follow. For software developers, ensuring the AI features work with legacy systems and comply with data handling rules is a challenge.</w:t>
      </w:r>
      <w:r>
        <w:br/>
      </w:r>
      <w:r>
        <w:t xml:space="preserve">-</w:t>
      </w:r>
      <w:r>
        <w:t xml:space="preserve"> </w:t>
      </w:r>
      <w:r>
        <w:rPr>
          <w:b/>
          <w:bCs/>
        </w:rPr>
        <w:t xml:space="preserve">Rapidly Changing Environment:</w:t>
      </w:r>
      <w:r>
        <w:t xml:space="preserve"> </w:t>
      </w:r>
      <w:r>
        <w:t xml:space="preserve">Tax laws change frequently and AI technology evolves quickly. Professionals worry that an AI’s knowledge might be outdated or that new regulations (or firm policies) might soon govern AI use. They want a</w:t>
      </w:r>
      <w:r>
        <w:t xml:space="preserve"> </w:t>
      </w:r>
      <w:r>
        <w:rPr>
          <w:b/>
          <w:bCs/>
        </w:rPr>
        <w:t xml:space="preserve">phased roadmap</w:t>
      </w:r>
      <w:r>
        <w:t xml:space="preserve"> </w:t>
      </w:r>
      <w:r>
        <w:t xml:space="preserve">to adopt AI incrementally (30/60/90 days and beyond) and to remain agile as both tax rules and AI capabilities advance. Only 43% of practitioners are comfortable letting AI provide tax advice without oversight</w:t>
      </w:r>
      <w:hyperlink r:id="rId28">
        <w:r>
          <w:rPr>
            <w:rStyle w:val="Hyperlink"/>
          </w:rPr>
          <w:t xml:space="preserve">[8]</w:t>
        </w:r>
      </w:hyperlink>
      <w:hyperlink r:id="rId29">
        <w:r>
          <w:rPr>
            <w:rStyle w:val="Hyperlink"/>
          </w:rPr>
          <w:t xml:space="preserve">[9]</w:t>
        </w:r>
      </w:hyperlink>
      <w:r>
        <w:t xml:space="preserve">, underscoring the need for a gradual approach with human checks at each phase.</w:t>
      </w:r>
    </w:p>
    <w:bookmarkEnd w:id="30"/>
    <w:bookmarkStart w:id="40" w:name="executive-summary"/>
    <w:p>
      <w:pPr>
        <w:pStyle w:val="Heading2"/>
      </w:pPr>
      <w:r>
        <w:t xml:space="preserve">Executive Summary</w:t>
      </w:r>
    </w:p>
    <w:p>
      <w:pPr>
        <w:pStyle w:val="FirstParagraph"/>
      </w:pPr>
      <w:r>
        <w:t xml:space="preserve">The</w:t>
      </w:r>
      <w:r>
        <w:t xml:space="preserve"> </w:t>
      </w:r>
      <w:r>
        <w:rPr>
          <w:b/>
          <w:bCs/>
        </w:rPr>
        <w:t xml:space="preserve">AI Tax Assistant Readiness Pack</w:t>
      </w:r>
      <w:r>
        <w:t xml:space="preserve"> </w:t>
      </w:r>
      <w:r>
        <w:t xml:space="preserve">is a comprehensive guide and toolkit for integrating generative AI and assistive technologies into tax preparation and compliance workflows. In 2025, the tax profession is at a turning point: AI tools are increasingly capable of automating research, data extraction, and even complex planning analysis, yet most firms lack a clear plan to adopt these tools in a secure and accountable way. This pack translates the emerging best practices and industry guidelines around AI in tax into</w:t>
      </w:r>
      <w:r>
        <w:t xml:space="preserve"> </w:t>
      </w:r>
      <w:r>
        <w:rPr>
          <w:b/>
          <w:bCs/>
        </w:rPr>
        <w:t xml:space="preserve">actionable, developer-ready artifacts and AI-native workflows</w:t>
      </w:r>
      <w:r>
        <w:t xml:space="preserve">.</w:t>
      </w:r>
    </w:p>
    <w:p>
      <w:pPr>
        <w:pStyle w:val="BodyText"/>
      </w:pPr>
      <w:r>
        <w:rPr>
          <w:b/>
          <w:bCs/>
        </w:rPr>
        <w:t xml:space="preserve">Context:</w:t>
      </w:r>
      <w:r>
        <w:t xml:space="preserve"> </w:t>
      </w:r>
      <w:r>
        <w:t xml:space="preserve">The tax and accounting field is embracing AI at a rapid pace. Over 84% of tax professionals see AI as a “force for good” in their field</w:t>
      </w:r>
      <w:hyperlink r:id="rId22">
        <w:r>
          <w:rPr>
            <w:rStyle w:val="Hyperlink"/>
          </w:rPr>
          <w:t xml:space="preserve">[1]</w:t>
        </w:r>
      </w:hyperlink>
      <w:r>
        <w:t xml:space="preserve">, expecting improvements in efficiency and client service. Tools like OpenAI’s ChatGPT, Microsoft’s Copilot, and specialized platforms like</w:t>
      </w:r>
      <w:r>
        <w:t xml:space="preserve"> </w:t>
      </w:r>
      <w:r>
        <w:rPr>
          <w:b/>
          <w:bCs/>
        </w:rPr>
        <w:t xml:space="preserve">TaxGPT</w:t>
      </w:r>
      <w:r>
        <w:t xml:space="preserve"> </w:t>
      </w:r>
      <w:r>
        <w:t xml:space="preserve">and Thomson Reuters’</w:t>
      </w:r>
      <w:r>
        <w:t xml:space="preserve"> </w:t>
      </w:r>
      <w:r>
        <w:rPr>
          <w:b/>
          <w:bCs/>
        </w:rPr>
        <w:t xml:space="preserve">CoCounsel</w:t>
      </w:r>
      <w:r>
        <w:t xml:space="preserve"> </w:t>
      </w:r>
      <w:r>
        <w:t xml:space="preserve">are already</w:t>
      </w:r>
      <w:r>
        <w:t xml:space="preserve"> </w:t>
      </w:r>
      <w:r>
        <w:rPr>
          <w:b/>
          <w:bCs/>
        </w:rPr>
        <w:t xml:space="preserve">impacting how tax tasks are performed</w:t>
      </w:r>
      <w:hyperlink r:id="rId31">
        <w:r>
          <w:rPr>
            <w:rStyle w:val="Hyperlink"/>
            <w:b/>
            <w:bCs/>
          </w:rPr>
          <w:t xml:space="preserve">[10]</w:t>
        </w:r>
      </w:hyperlink>
      <w:r>
        <w:t xml:space="preserve"> </w:t>
      </w:r>
      <w:r>
        <w:t xml:space="preserve">– from automatically researching tax law changes to drafting client correspondence. At the same time, professional bodies (AICPA, state CPA societies) are issuing guidance on ethical AI use, emphasizing</w:t>
      </w:r>
      <w:r>
        <w:t xml:space="preserve"> </w:t>
      </w:r>
      <w:r>
        <w:rPr>
          <w:b/>
          <w:bCs/>
        </w:rPr>
        <w:t xml:space="preserve">data security, human oversight, and due diligence</w:t>
      </w:r>
      <w:hyperlink r:id="rId32">
        <w:r>
          <w:rPr>
            <w:rStyle w:val="Hyperlink"/>
          </w:rPr>
          <w:t xml:space="preserve">[11]</w:t>
        </w:r>
      </w:hyperlink>
      <w:hyperlink r:id="rId33">
        <w:r>
          <w:rPr>
            <w:rStyle w:val="Hyperlink"/>
          </w:rPr>
          <w:t xml:space="preserve">[12]</w:t>
        </w:r>
      </w:hyperlink>
      <w:r>
        <w:t xml:space="preserve">. This pack is aligned with those emerging standards, helping organizations harness AI’s benefits while mitigating its risks.</w:t>
      </w:r>
    </w:p>
    <w:p>
      <w:pPr>
        <w:pStyle w:val="BodyText"/>
      </w:pPr>
      <w:r>
        <w:rPr>
          <w:b/>
          <w:bCs/>
        </w:rPr>
        <w:t xml:space="preserve">Who is this for?</w:t>
      </w:r>
      <w:r>
        <w:t xml:space="preserve"> </w:t>
      </w:r>
      <w:r>
        <w:t xml:space="preserve">It provides value to</w:t>
      </w:r>
      <w:r>
        <w:t xml:space="preserve"> </w:t>
      </w:r>
      <w:r>
        <w:rPr>
          <w:b/>
          <w:bCs/>
        </w:rPr>
        <w:t xml:space="preserve">individual preparers, CPA firms, and tax software developers</w:t>
      </w:r>
      <w:r>
        <w:t xml:space="preserve"> </w:t>
      </w:r>
      <w:r>
        <w:t xml:space="preserve">who want to leverage AI to save time and reduce errors, without running afoul of confidentiality rules or quality standards. Whether you’re an independent CPA looking to offload some research to ChatGPT, or a software engineer embedding an AI-powered error checker in a tax prep app, this pack offers structured guidance.</w:t>
      </w:r>
    </w:p>
    <w:p>
      <w:pPr>
        <w:pStyle w:val="BodyText"/>
      </w:pPr>
      <w:r>
        <w:rPr>
          <w:b/>
          <w:bCs/>
        </w:rPr>
        <w:t xml:space="preserve">What’s inside:</w:t>
      </w:r>
      <w:r>
        <w:t xml:space="preserve"> </w:t>
      </w:r>
      <w:r>
        <w:t xml:space="preserve">The AI Tax Assistant Readiness Pack includes:</w:t>
      </w:r>
    </w:p>
    <w:p>
      <w:pPr>
        <w:pStyle w:val="Compact"/>
        <w:numPr>
          <w:ilvl w:val="0"/>
          <w:numId w:val="1002"/>
        </w:numPr>
      </w:pPr>
      <w:r>
        <w:rPr>
          <w:b/>
          <w:bCs/>
        </w:rPr>
        <w:t xml:space="preserve">Technical Overview</w:t>
      </w:r>
      <w:r>
        <w:t xml:space="preserve"> </w:t>
      </w:r>
      <w:r>
        <w:t xml:space="preserve">– A summary of key AI capabilities in tax workflows (e.g. document scanning, AI research, return verification) and the technical components needed to implement them. It outlines what an “AI-augmented” tax practice looks like in terms of data, tools, infrastructure, and governance.</w:t>
      </w:r>
    </w:p>
    <w:p>
      <w:pPr>
        <w:pStyle w:val="Compact"/>
        <w:numPr>
          <w:ilvl w:val="0"/>
          <w:numId w:val="1002"/>
        </w:numPr>
      </w:pPr>
      <w:r>
        <w:rPr>
          <w:b/>
          <w:bCs/>
        </w:rPr>
        <w:t xml:space="preserve">Full Readiness Checklist</w:t>
      </w:r>
      <w:r>
        <w:t xml:space="preserve"> </w:t>
      </w:r>
      <w:r>
        <w:t xml:space="preserve">– An ~100-item checklist covering five domains:</w:t>
      </w:r>
      <w:r>
        <w:t xml:space="preserve"> </w:t>
      </w:r>
      <w:r>
        <w:rPr>
          <w:b/>
          <w:bCs/>
        </w:rPr>
        <w:t xml:space="preserve">Data, AI Tools, Infrastructure, Security &amp; Governance, and Documentation/Process</w:t>
      </w:r>
      <w:r>
        <w:t xml:space="preserve">. This lets you assess your current state (e.g., do you have digitized client data? an AI usage policy? secure API setups?) and track progress toward AI integration. The checklist is actionable and specific – for instance, ensuring that</w:t>
      </w:r>
      <w:r>
        <w:t xml:space="preserve"> </w:t>
      </w:r>
      <w:r>
        <w:rPr>
          <w:i/>
          <w:iCs/>
        </w:rPr>
        <w:t xml:space="preserve">“client tax data is classified and only anonymized data is used with external AI services”</w:t>
      </w:r>
      <w:r>
        <w:t xml:space="preserve"> </w:t>
      </w:r>
      <w:r>
        <w:t xml:space="preserve">(Critical), or</w:t>
      </w:r>
      <w:r>
        <w:t xml:space="preserve"> </w:t>
      </w:r>
      <w:r>
        <w:rPr>
          <w:i/>
          <w:iCs/>
        </w:rPr>
        <w:t xml:space="preserve">“AI outputs are reviewed and cross-checked against authoritative sources before filing”</w:t>
      </w:r>
      <w:r>
        <w:t xml:space="preserve"> </w:t>
      </w:r>
      <w:r>
        <w:t xml:space="preserve">(Critical) – so you can maintain compliance and quality.</w:t>
      </w:r>
    </w:p>
    <w:p>
      <w:pPr>
        <w:pStyle w:val="Compact"/>
        <w:numPr>
          <w:ilvl w:val="0"/>
          <w:numId w:val="1002"/>
        </w:numPr>
      </w:pPr>
      <w:r>
        <w:rPr>
          <w:b/>
          <w:bCs/>
        </w:rPr>
        <w:t xml:space="preserve">Gap Analysis Worksheet</w:t>
      </w:r>
      <w:r>
        <w:t xml:space="preserve"> </w:t>
      </w:r>
      <w:r>
        <w:t xml:space="preserve">– A structured table to score your organization (0 = Not Present, 1 = Partial, 2 = Complete) on each readiness item, with columns for priority and responsible owner. This helps identify the most urgent gaps. For example, if</w:t>
      </w:r>
      <w:r>
        <w:t xml:space="preserve"> </w:t>
      </w:r>
      <w:r>
        <w:rPr>
          <w:i/>
          <w:iCs/>
        </w:rPr>
        <w:t xml:space="preserve">“Data extraction automation”</w:t>
      </w:r>
      <w:r>
        <w:t xml:space="preserve"> </w:t>
      </w:r>
      <w:r>
        <w:t xml:space="preserve">is scored 0 (not present) and marked Critical, the gap analysis flags it so you can prioritize implementing an OCR/AI solution. The worksheet can be used internally to plan improvement efforts.</w:t>
      </w:r>
    </w:p>
    <w:p>
      <w:pPr>
        <w:pStyle w:val="Compact"/>
        <w:numPr>
          <w:ilvl w:val="0"/>
          <w:numId w:val="1002"/>
        </w:numPr>
      </w:pPr>
      <w:r>
        <w:rPr>
          <w:b/>
          <w:bCs/>
        </w:rPr>
        <w:t xml:space="preserve">Security &amp; Governance Guidance</w:t>
      </w:r>
      <w:r>
        <w:t xml:space="preserve"> </w:t>
      </w:r>
      <w:r>
        <w:t xml:space="preserve">– An in-depth guide focused on</w:t>
      </w:r>
      <w:r>
        <w:t xml:space="preserve"> </w:t>
      </w:r>
      <w:r>
        <w:rPr>
          <w:b/>
          <w:bCs/>
        </w:rPr>
        <w:t xml:space="preserve">protecting taxpayer data, ethics, and oversight</w:t>
      </w:r>
      <w:r>
        <w:t xml:space="preserve"> </w:t>
      </w:r>
      <w:r>
        <w:t xml:space="preserve">when using AI. It provides engineering-focused best practices like setting up data classification (e.g., marking all client PII as “Confidential” and forbidding it from being sent to external AI without consent)</w:t>
      </w:r>
      <w:hyperlink r:id="rId34">
        <w:r>
          <w:rPr>
            <w:rStyle w:val="Hyperlink"/>
          </w:rPr>
          <w:t xml:space="preserve">[13]</w:t>
        </w:r>
      </w:hyperlink>
      <w:r>
        <w:t xml:space="preserve">, using encryption and secure APIs for any AI integration, and maintaining audit logs of AI tool usage. It also addresses</w:t>
      </w:r>
      <w:r>
        <w:t xml:space="preserve"> </w:t>
      </w:r>
      <w:r>
        <w:rPr>
          <w:b/>
          <w:bCs/>
        </w:rPr>
        <w:t xml:space="preserve">professional responsibilities</w:t>
      </w:r>
      <w:r>
        <w:t xml:space="preserve">: for instance, reminding that under AICPA’s SSTS 1.4, using an AI tool does</w:t>
      </w:r>
      <w:r>
        <w:t xml:space="preserve"> </w:t>
      </w:r>
      <w:r>
        <w:rPr>
          <w:i/>
          <w:iCs/>
        </w:rPr>
        <w:t xml:space="preserve">not</w:t>
      </w:r>
      <w:r>
        <w:t xml:space="preserve"> </w:t>
      </w:r>
      <w:r>
        <w:t xml:space="preserve">reduce the CPA’s responsibility for the work product</w:t>
      </w:r>
      <w:hyperlink r:id="rId35">
        <w:r>
          <w:rPr>
            <w:rStyle w:val="Hyperlink"/>
          </w:rPr>
          <w:t xml:space="preserve">[14]</w:t>
        </w:r>
      </w:hyperlink>
      <w:r>
        <w:t xml:space="preserve">. The guidance includes steps to establish internal AI use policies and training so that staff use these tools</w:t>
      </w:r>
      <w:r>
        <w:t xml:space="preserve"> </w:t>
      </w:r>
      <w:r>
        <w:rPr>
          <w:b/>
          <w:bCs/>
        </w:rPr>
        <w:t xml:space="preserve">“successfully and responsibly” with clear data security protocols</w:t>
      </w:r>
      <w:hyperlink r:id="rId36">
        <w:r>
          <w:rPr>
            <w:rStyle w:val="Hyperlink"/>
            <w:b/>
            <w:bCs/>
          </w:rPr>
          <w:t xml:space="preserve">[15]</w:t>
        </w:r>
      </w:hyperlink>
      <w:r>
        <w:t xml:space="preserve">.</w:t>
      </w:r>
    </w:p>
    <w:p>
      <w:pPr>
        <w:pStyle w:val="Compact"/>
        <w:numPr>
          <w:ilvl w:val="0"/>
          <w:numId w:val="1002"/>
        </w:numPr>
      </w:pPr>
      <w:r>
        <w:rPr>
          <w:b/>
          <w:bCs/>
        </w:rPr>
        <w:t xml:space="preserve">30/60/90-Day Roadmap and 6–12 Month Plan</w:t>
      </w:r>
      <w:r>
        <w:t xml:space="preserve"> </w:t>
      </w:r>
      <w:r>
        <w:t xml:space="preserve">– A phased roadmap to adopt AI in a manageable, low-risk way. In the first 30 days, you’ll focus on foundations: inventorying your data and tasks, selecting initial AI tools (and perhaps running some small experiments), and drafting policies. By 60 days, you start implementing quick wins (e.g., schema standards, basic OCR for data entry, using AI for research with careful review). By 90 days, you aim to have some AI-driven processes in routine use (like an AI reviewing returns for anomalies, with a human double-check). The roadmap then guides longer-term steps for 6 and 12 months, such as expanding to more use cases (e.g., AI-driven tax planning scenarios) and continuously auditing the AI’s performance. This phased approach recognizes that</w:t>
      </w:r>
      <w:r>
        <w:t xml:space="preserve"> </w:t>
      </w:r>
      <w:r>
        <w:rPr>
          <w:b/>
          <w:bCs/>
        </w:rPr>
        <w:t xml:space="preserve">“successful adoption requires moving from pilots to practice with a mindset shift and human-in-the-loop verification”</w:t>
      </w:r>
      <w:hyperlink r:id="rId37">
        <w:r>
          <w:rPr>
            <w:rStyle w:val="Hyperlink"/>
            <w:b/>
            <w:bCs/>
          </w:rPr>
          <w:t xml:space="preserve">[16]</w:t>
        </w:r>
      </w:hyperlink>
      <w:hyperlink r:id="rId38">
        <w:r>
          <w:rPr>
            <w:rStyle w:val="Hyperlink"/>
            <w:b/>
            <w:bCs/>
          </w:rPr>
          <w:t xml:space="preserve">[17]</w:t>
        </w:r>
      </w:hyperlink>
      <w:r>
        <w:t xml:space="preserve">.</w:t>
      </w:r>
    </w:p>
    <w:p>
      <w:pPr>
        <w:pStyle w:val="Compact"/>
        <w:numPr>
          <w:ilvl w:val="0"/>
          <w:numId w:val="1002"/>
        </w:numPr>
      </w:pPr>
      <w:r>
        <w:rPr>
          <w:b/>
          <w:bCs/>
        </w:rPr>
        <w:t xml:space="preserve">AI Copilot Playbooks</w:t>
      </w:r>
      <w:r>
        <w:t xml:space="preserve"> </w:t>
      </w:r>
      <w:r>
        <w:t xml:space="preserve">– Detailed instructions and prompt templates for using AI assistants effectively. This includes</w:t>
      </w:r>
      <w:r>
        <w:t xml:space="preserve"> </w:t>
      </w:r>
      <w:r>
        <w:rPr>
          <w:b/>
          <w:bCs/>
        </w:rPr>
        <w:t xml:space="preserve">examples of prompts</w:t>
      </w:r>
      <w:r>
        <w:t xml:space="preserve"> </w:t>
      </w:r>
      <w:r>
        <w:t xml:space="preserve">for tax-specific tasks (e.g., how to ask an AI to summarize a new tax law, or to identify errors in a tax return dataset), and guidelines to set boundaries for the AI. For developers, there are playbook sections on using AI coding assistants (like GitHub Copilot or Cursor) to implement features safely – for instance, how to prompt the AI to generate code that adheres to security requirements (never exposing secrets, etc.). For tax practitioners, the playbook suggests how to phrase queries to get useful answers (providing context, requesting citations or calculations) and how to do a “critical review” of AI outputs. It also covers</w:t>
      </w:r>
      <w:r>
        <w:t xml:space="preserve"> </w:t>
      </w:r>
      <w:r>
        <w:rPr>
          <w:b/>
          <w:bCs/>
        </w:rPr>
        <w:t xml:space="preserve">QA and self-correction patterns</w:t>
      </w:r>
      <w:r>
        <w:t xml:space="preserve">: for example, using a second prompt or tool to validate an AI’s answer (like cross-checking a calculation), and strategies to correct an AI when it produces a wrong or incomplete answer.</w:t>
      </w:r>
    </w:p>
    <w:p>
      <w:pPr>
        <w:pStyle w:val="FirstParagraph"/>
      </w:pPr>
      <w:r>
        <w:rPr>
          <w:b/>
          <w:bCs/>
        </w:rPr>
        <w:t xml:space="preserve">Value Proposition:</w:t>
      </w:r>
      <w:r>
        <w:t xml:space="preserve"> </w:t>
      </w:r>
      <w:r>
        <w:t xml:space="preserve">Harbor Agent’s mission is to</w:t>
      </w:r>
      <w:r>
        <w:t xml:space="preserve"> </w:t>
      </w:r>
      <w:r>
        <w:rPr>
          <w:b/>
          <w:bCs/>
        </w:rPr>
        <w:t xml:space="preserve">turn broad, ambiguous challenges into concrete, usable tools</w:t>
      </w:r>
      <w:r>
        <w:t xml:space="preserve">. In this case, the challenge is adopting AI in the tax domain – a field with intricate rules and high stakes for errors. This pack gives tax professionals a</w:t>
      </w:r>
      <w:r>
        <w:t xml:space="preserve"> </w:t>
      </w:r>
      <w:r>
        <w:rPr>
          <w:b/>
          <w:bCs/>
        </w:rPr>
        <w:t xml:space="preserve">structured, safe way to harness AI</w:t>
      </w:r>
      <w:r>
        <w:t xml:space="preserve">. Instead of guessing how to use ChatGPT or fearing the risks, you get checklists, templates, and code snippets that accelerate the process. It’s an</w:t>
      </w:r>
      <w:r>
        <w:t xml:space="preserve"> </w:t>
      </w:r>
      <w:r>
        <w:rPr>
          <w:b/>
          <w:bCs/>
        </w:rPr>
        <w:t xml:space="preserve">“AI-native” toolkit</w:t>
      </w:r>
      <w:r>
        <w:t xml:space="preserve"> </w:t>
      </w:r>
      <w:r>
        <w:t xml:space="preserve">– meaning it’s designed to work alongside AI assistants: for example, the included prompts and checklist can be loaded into an AI to guide its actions. Unlike generic articles or webinars on “AI in tax,” this pack delivers</w:t>
      </w:r>
      <w:r>
        <w:t xml:space="preserve"> </w:t>
      </w:r>
      <w:r>
        <w:rPr>
          <w:b/>
          <w:bCs/>
        </w:rPr>
        <w:t xml:space="preserve">developer-ready and practitioner-ready artifacts</w:t>
      </w:r>
      <w:r>
        <w:t xml:space="preserve">: editable documents, JSON/YAML schemas for tracking readiness, and even automation scripts to jumpstart your journey.</w:t>
      </w:r>
    </w:p>
    <w:p>
      <w:pPr>
        <w:pStyle w:val="BodyText"/>
      </w:pPr>
      <w:r>
        <w:rPr>
          <w:b/>
          <w:bCs/>
        </w:rPr>
        <w:t xml:space="preserve">Disclaimer:</w:t>
      </w:r>
      <w:r>
        <w:t xml:space="preserve"> </w:t>
      </w:r>
      <w:r>
        <w:t xml:space="preserve">This pack is</w:t>
      </w:r>
      <w:r>
        <w:t xml:space="preserve"> </w:t>
      </w:r>
      <w:r>
        <w:rPr>
          <w:i/>
          <w:iCs/>
        </w:rPr>
        <w:t xml:space="preserve">not</w:t>
      </w:r>
      <w:r>
        <w:t xml:space="preserve"> </w:t>
      </w:r>
      <w:r>
        <w:t xml:space="preserve">legal advice or a substitute for professional judgment. It does not guarantee compliance with any specific regulation. The guidance is based on current best practices and industry reports as of 2025. Users should still apply their own professional and ethical standards. In particular, any AI-generated tax advice should be reviewed by a qualified tax professional before being relied upon, in accordance with IRS and AICPA due diligence requirements. This resource is intended to</w:t>
      </w:r>
      <w:r>
        <w:t xml:space="preserve"> </w:t>
      </w:r>
      <w:r>
        <w:rPr>
          <w:b/>
          <w:bCs/>
        </w:rPr>
        <w:t xml:space="preserve">enhance internal readiness and modernization</w:t>
      </w:r>
      <w:r>
        <w:t xml:space="preserve">, helping you augment (not replace) your expertise with AI tools while maintaining control and accountability</w:t>
      </w:r>
      <w:hyperlink r:id="rId39">
        <w:r>
          <w:rPr>
            <w:rStyle w:val="Hyperlink"/>
          </w:rPr>
          <w:t xml:space="preserve">[18]</w:t>
        </w:r>
      </w:hyperlink>
      <w:r>
        <w:t xml:space="preserve">.</w:t>
      </w:r>
    </w:p>
    <w:p>
      <w:r>
        <w:pict>
          <v:rect style="width:0;height:1.5pt" o:hralign="center" o:hrstd="t" o:hr="t"/>
        </w:pict>
      </w:r>
    </w:p>
    <w:bookmarkEnd w:id="40"/>
    <w:bookmarkStart w:id="72" w:name="X8ad963caa4d15562c14a111f873a7f93bd6aff1"/>
    <w:p>
      <w:pPr>
        <w:pStyle w:val="Heading2"/>
      </w:pPr>
      <w:r>
        <w:t xml:space="preserve">Technical Overview: AI Integration in Tax Workflows</w:t>
      </w:r>
    </w:p>
    <w:p>
      <w:pPr>
        <w:pStyle w:val="FirstParagraph"/>
      </w:pPr>
      <w:r>
        <w:rPr>
          <w:b/>
          <w:bCs/>
        </w:rPr>
        <w:t xml:space="preserve">Overview:</w:t>
      </w:r>
      <w:r>
        <w:t xml:space="preserve"> </w:t>
      </w:r>
      <w:r>
        <w:t xml:space="preserve">Modern tax workflows can be significantly enhanced by AI at multiple points. This section provides a technical overview of how AI can be embedded in tax preparation processes and software. We describe the core functional components of an AI-augmented tax practice and what an organization should technically prepare to implement these components. Think of this as the</w:t>
      </w:r>
      <w:r>
        <w:t xml:space="preserve"> </w:t>
      </w:r>
      <w:r>
        <w:rPr>
          <w:i/>
          <w:iCs/>
        </w:rPr>
        <w:t xml:space="preserve">blueprint</w:t>
      </w:r>
      <w:r>
        <w:t xml:space="preserve"> </w:t>
      </w:r>
      <w:r>
        <w:t xml:space="preserve">of an AI-assisted tax system – from data ingestion to final filing.</w:t>
      </w:r>
    </w:p>
    <w:bookmarkStart w:id="57" w:name="Xe23228285ef33748f0a3a055343556cff28d36d"/>
    <w:p>
      <w:pPr>
        <w:pStyle w:val="Heading3"/>
      </w:pPr>
      <w:r>
        <w:t xml:space="preserve">1. Key AI-Enabled Capabilities in Tax Practice</w:t>
      </w:r>
    </w:p>
    <w:p>
      <w:pPr>
        <w:pStyle w:val="FirstParagraph"/>
      </w:pPr>
      <w:r>
        <w:t xml:space="preserve">In a tax context, AI (especially Generative AI and machine learning) can be applied to accomplish or accelerate various tasks that were traditionally manual. Below are the major capability areas where AI assistants can integrate into tax work, along with their roles:</w:t>
      </w:r>
    </w:p>
    <w:p>
      <w:pPr>
        <w:numPr>
          <w:ilvl w:val="0"/>
          <w:numId w:val="1003"/>
        </w:numPr>
      </w:pPr>
      <w:r>
        <w:rPr>
          <w:b/>
          <w:bCs/>
        </w:rPr>
        <w:t xml:space="preserve">1.1 Automated Document Ingestion and Data Extraction:</w:t>
      </w:r>
      <w:r>
        <w:t xml:space="preserve"> </w:t>
      </w:r>
      <w:r>
        <w:t xml:space="preserve">A large portion of tax prep time is spent collecting and entering data from client documents (W-2s, 1099s, receipts, prior year returns, etc.). AI-powered</w:t>
      </w:r>
      <w:r>
        <w:t xml:space="preserve"> </w:t>
      </w:r>
      <w:r>
        <w:rPr>
          <w:b/>
          <w:bCs/>
        </w:rPr>
        <w:t xml:space="preserve">OCR (Optical Character Recognition)</w:t>
      </w:r>
      <w:r>
        <w:t xml:space="preserve"> </w:t>
      </w:r>
      <w:r>
        <w:t xml:space="preserve">and document classification tools can drastically speed this up. For example, an AI document parser can read PDFs/scans and</w:t>
      </w:r>
      <w:r>
        <w:t xml:space="preserve"> </w:t>
      </w:r>
      <w:r>
        <w:rPr>
          <w:b/>
          <w:bCs/>
        </w:rPr>
        <w:t xml:space="preserve">extract key figures and text</w:t>
      </w:r>
      <w:r>
        <w:t xml:space="preserve">, then structure it for input into tax software. Modern AI can classify documents by type (identify a document as a W-2 vs a brokerage 1099-B) and pull relevant fields from each. It can also flag missing documents or information by cross-checking what’s provided against a checklist of expected forms for that client’s situation.</w:t>
      </w:r>
      <w:r>
        <w:t xml:space="preserve"> </w:t>
      </w:r>
      <w:r>
        <w:rPr>
          <w:b/>
          <w:bCs/>
        </w:rPr>
        <w:t xml:space="preserve">Error detection</w:t>
      </w:r>
      <w:r>
        <w:t xml:space="preserve"> </w:t>
      </w:r>
      <w:r>
        <w:t xml:space="preserve">is another benefit: AI can verify if numbers that should match across documents do match (e.g., total wages on a W-2 vs what’s in a draft return) and highlight discrepancies</w:t>
      </w:r>
      <w:hyperlink r:id="rId41">
        <w:r>
          <w:rPr>
            <w:rStyle w:val="Hyperlink"/>
          </w:rPr>
          <w:t xml:space="preserve">[19]</w:t>
        </w:r>
      </w:hyperlink>
      <w:hyperlink r:id="rId42">
        <w:r>
          <w:rPr>
            <w:rStyle w:val="Hyperlink"/>
          </w:rPr>
          <w:t xml:space="preserve">[20]</w:t>
        </w:r>
      </w:hyperlink>
      <w:r>
        <w:t xml:space="preserve">.</w:t>
      </w:r>
      <w:r>
        <w:t xml:space="preserve"> </w:t>
      </w:r>
      <w:r>
        <w:rPr>
          <w:i/>
          <w:iCs/>
        </w:rPr>
        <w:t xml:space="preserve">Technical components:</w:t>
      </w:r>
      <w:r>
        <w:t xml:space="preserve"> </w:t>
      </w:r>
      <w:r>
        <w:t xml:space="preserve">This capability requires an OCR engine (often ML-based), natural language processing to interpret forms, and perhaps a small knowledge base of tax form layouts. Many solutions (Adobe, Microsoft, etc.) offer OCR APIs, and specialized tax document tools exist that can be integrated via API. The output would be a structured data format (JSON, CSV) with fields like “W2.Box1 = $X”. Organizations need to</w:t>
      </w:r>
      <w:r>
        <w:t xml:space="preserve"> </w:t>
      </w:r>
      <w:r>
        <w:rPr>
          <w:b/>
          <w:bCs/>
        </w:rPr>
        <w:t xml:space="preserve">prepare by digitizing paper files</w:t>
      </w:r>
      <w:r>
        <w:t xml:space="preserve"> </w:t>
      </w:r>
      <w:r>
        <w:t xml:space="preserve">and ensuring scanned documents are available for AI processing, and by having a defined schema or template for the extracted data (for consistency).</w:t>
      </w:r>
    </w:p>
    <w:p>
      <w:pPr>
        <w:numPr>
          <w:ilvl w:val="0"/>
          <w:numId w:val="1003"/>
        </w:numPr>
      </w:pPr>
      <w:r>
        <w:rPr>
          <w:b/>
          <w:bCs/>
        </w:rPr>
        <w:t xml:space="preserve">1.2 AI-Assisted Tax Research and Planning:</w:t>
      </w:r>
      <w:r>
        <w:t xml:space="preserve"> </w:t>
      </w:r>
      <w:r>
        <w:t xml:space="preserve">Researching tax law changes, finding authoritative citations, and planning optimal tax strategies is a time-intensive activity that AI can augment. Generative AI models (like GPT-4) can sift through</w:t>
      </w:r>
      <w:r>
        <w:t xml:space="preserve"> </w:t>
      </w:r>
      <w:r>
        <w:rPr>
          <w:b/>
          <w:bCs/>
        </w:rPr>
        <w:t xml:space="preserve">vast tax knowledge bases</w:t>
      </w:r>
      <w:r>
        <w:t xml:space="preserve"> </w:t>
      </w:r>
      <w:r>
        <w:t xml:space="preserve">and answer natural language questions. For example, an AI assistant could answer, “What are the</w:t>
      </w:r>
      <w:r>
        <w:t xml:space="preserve"> </w:t>
      </w:r>
      <w:r>
        <w:rPr>
          <w:b/>
          <w:bCs/>
        </w:rPr>
        <w:t xml:space="preserve">2025 standard mileage rates</w:t>
      </w:r>
      <w:r>
        <w:t xml:space="preserve"> </w:t>
      </w:r>
      <w:r>
        <w:t xml:space="preserve">and have they changed from 2024?” by searching internal or external sources. More powerfully, AI can perform</w:t>
      </w:r>
      <w:r>
        <w:t xml:space="preserve"> </w:t>
      </w:r>
      <w:r>
        <w:rPr>
          <w:b/>
          <w:bCs/>
        </w:rPr>
        <w:t xml:space="preserve">predictive scenario analysis</w:t>
      </w:r>
      <w:r>
        <w:t xml:space="preserve">: given a set of client data and potential transactions, it can model different tax outcomes. A platform like TaxGPT, for instance, provides</w:t>
      </w:r>
      <w:r>
        <w:t xml:space="preserve"> </w:t>
      </w:r>
      <w:r>
        <w:rPr>
          <w:b/>
          <w:bCs/>
        </w:rPr>
        <w:t xml:space="preserve">automated monitoring of regulatory changes and real-time alerts</w:t>
      </w:r>
      <w:r>
        <w:t xml:space="preserve"> </w:t>
      </w:r>
      <w:r>
        <w:t xml:space="preserve">for updates at federal or state levels</w:t>
      </w:r>
      <w:hyperlink r:id="rId43">
        <w:r>
          <w:rPr>
            <w:rStyle w:val="Hyperlink"/>
          </w:rPr>
          <w:t xml:space="preserve">[21]</w:t>
        </w:r>
      </w:hyperlink>
      <w:r>
        <w:t xml:space="preserve">. It can also conduct</w:t>
      </w:r>
      <w:r>
        <w:t xml:space="preserve"> </w:t>
      </w:r>
      <w:r>
        <w:rPr>
          <w:b/>
          <w:bCs/>
        </w:rPr>
        <w:t xml:space="preserve">cross-jurisdictional analysis</w:t>
      </w:r>
      <w:r>
        <w:t xml:space="preserve">, automatically comparing tax rules across multiple states or countries for a client operating in different regions</w:t>
      </w:r>
      <w:hyperlink r:id="rId44">
        <w:r>
          <w:rPr>
            <w:rStyle w:val="Hyperlink"/>
          </w:rPr>
          <w:t xml:space="preserve">[22]</w:t>
        </w:r>
      </w:hyperlink>
      <w:r>
        <w:t xml:space="preserve">. Generative AI can quickly retrieve relevant tax laws, rulings, and even suggest planning ideas (e.g., pointing out a new deduction that fits the client’s facts)</w:t>
      </w:r>
      <w:hyperlink r:id="rId45">
        <w:r>
          <w:rPr>
            <w:rStyle w:val="Hyperlink"/>
          </w:rPr>
          <w:t xml:space="preserve">[23]</w:t>
        </w:r>
      </w:hyperlink>
      <w:hyperlink r:id="rId46">
        <w:r>
          <w:rPr>
            <w:rStyle w:val="Hyperlink"/>
          </w:rPr>
          <w:t xml:space="preserve">[24]</w:t>
        </w:r>
      </w:hyperlink>
      <w:r>
        <w:t xml:space="preserve">.</w:t>
      </w:r>
      <w:r>
        <w:t xml:space="preserve"> </w:t>
      </w:r>
      <w:r>
        <w:rPr>
          <w:i/>
          <w:iCs/>
        </w:rPr>
        <w:t xml:space="preserve">Technical components:</w:t>
      </w:r>
      <w:r>
        <w:t xml:space="preserve"> </w:t>
      </w:r>
      <w:r>
        <w:t xml:space="preserve">Implementing this might involve using an AI service with access to a tax law database or connecting an LLM to research tools. Thomson Reuters’</w:t>
      </w:r>
      <w:r>
        <w:t xml:space="preserve"> </w:t>
      </w:r>
      <w:r>
        <w:rPr>
          <w:b/>
          <w:bCs/>
        </w:rPr>
        <w:t xml:space="preserve">Checkpoint Edge</w:t>
      </w:r>
      <w:r>
        <w:t xml:space="preserve"> </w:t>
      </w:r>
      <w:r>
        <w:t xml:space="preserve">integrated with their AI (CoCounsel with Claude) is an example</w:t>
      </w:r>
      <w:hyperlink r:id="rId47">
        <w:r>
          <w:rPr>
            <w:rStyle w:val="Hyperlink"/>
          </w:rPr>
          <w:t xml:space="preserve">[25]</w:t>
        </w:r>
      </w:hyperlink>
      <w:r>
        <w:t xml:space="preserve">, where the AI can pull from a trusted database of tax law. In a custom setup, one might use embeddings or vector search on a corpus of tax regs and rulings so the AI can cite sources. Organizations should prepare by</w:t>
      </w:r>
      <w:r>
        <w:t xml:space="preserve"> </w:t>
      </w:r>
      <w:r>
        <w:rPr>
          <w:b/>
          <w:bCs/>
        </w:rPr>
        <w:t xml:space="preserve">ensuring access to up-to-date tax knowledge</w:t>
      </w:r>
      <w:r>
        <w:t xml:space="preserve"> </w:t>
      </w:r>
      <w:r>
        <w:t xml:space="preserve">– either via subscriptions to databases or by using AI models known to be trained on tax data up to current year. Also, staff should be trained to</w:t>
      </w:r>
      <w:r>
        <w:t xml:space="preserve"> </w:t>
      </w:r>
      <w:r>
        <w:rPr>
          <w:b/>
          <w:bCs/>
        </w:rPr>
        <w:t xml:space="preserve">formulate good prompts</w:t>
      </w:r>
      <w:r>
        <w:t xml:space="preserve"> </w:t>
      </w:r>
      <w:r>
        <w:t xml:space="preserve">for research (specifying year, jurisdiction, etc.) and to always request citations or references in AI outputs for verification.</w:t>
      </w:r>
    </w:p>
    <w:p>
      <w:pPr>
        <w:numPr>
          <w:ilvl w:val="0"/>
          <w:numId w:val="1003"/>
        </w:numPr>
      </w:pPr>
      <w:r>
        <w:rPr>
          <w:b/>
          <w:bCs/>
        </w:rPr>
        <w:t xml:space="preserve">1.3 AI-Enhanced Tax Document Drafting and Communication:</w:t>
      </w:r>
      <w:r>
        <w:t xml:space="preserve"> </w:t>
      </w:r>
      <w:r>
        <w:t xml:space="preserve">Tax professionals produce a lot of written content: client emails, cover letters, memos explaining tax positions, responses to IRS notices, etc. Generative AI can serve as a “co-writer” for these. For instance, AI can draft a memo explaining a complex tax scenario, complete with references to code sections – saving practitioners hours of writing while maintaining clarity</w:t>
      </w:r>
      <w:hyperlink r:id="rId48">
        <w:r>
          <w:rPr>
            <w:rStyle w:val="Hyperlink"/>
          </w:rPr>
          <w:t xml:space="preserve">[26]</w:t>
        </w:r>
      </w:hyperlink>
      <w:r>
        <w:t xml:space="preserve">. It can also help write</w:t>
      </w:r>
      <w:r>
        <w:t xml:space="preserve"> </w:t>
      </w:r>
      <w:r>
        <w:rPr>
          <w:b/>
          <w:bCs/>
        </w:rPr>
        <w:t xml:space="preserve">tax opinion letters</w:t>
      </w:r>
      <w:r>
        <w:t xml:space="preserve"> </w:t>
      </w:r>
      <w:r>
        <w:t xml:space="preserve">or summaries of law changes for clients, by compiling relevant authoritative references and presenting them in an understandable way</w:t>
      </w:r>
      <w:hyperlink r:id="rId48">
        <w:r>
          <w:rPr>
            <w:rStyle w:val="Hyperlink"/>
          </w:rPr>
          <w:t xml:space="preserve">[26]</w:t>
        </w:r>
      </w:hyperlink>
      <w:r>
        <w:t xml:space="preserve">. In terms of client communication, AI can generate</w:t>
      </w:r>
      <w:r>
        <w:t xml:space="preserve"> </w:t>
      </w:r>
      <w:r>
        <w:rPr>
          <w:b/>
          <w:bCs/>
        </w:rPr>
        <w:t xml:space="preserve">personalized emails and letters</w:t>
      </w:r>
      <w:r>
        <w:t xml:space="preserve">. Imagine an AI-driven system that, once a return is done, drafts a client email summarizing key points or next steps. AI can ensure consistency in tone and completeness: one could use</w:t>
      </w:r>
      <w:r>
        <w:t xml:space="preserve"> </w:t>
      </w:r>
      <w:r>
        <w:rPr>
          <w:b/>
          <w:bCs/>
        </w:rPr>
        <w:t xml:space="preserve">template-based prompts</w:t>
      </w:r>
      <w:r>
        <w:t xml:space="preserve"> </w:t>
      </w:r>
      <w:r>
        <w:t xml:space="preserve">to produce standardized yet customized messages (e.g., payment reminders, missing info requests)</w:t>
      </w:r>
      <w:hyperlink r:id="rId49">
        <w:r>
          <w:rPr>
            <w:rStyle w:val="Hyperlink"/>
          </w:rPr>
          <w:t xml:space="preserve">[27]</w:t>
        </w:r>
      </w:hyperlink>
      <w:hyperlink r:id="rId50">
        <w:r>
          <w:rPr>
            <w:rStyle w:val="Hyperlink"/>
          </w:rPr>
          <w:t xml:space="preserve">[28]</w:t>
        </w:r>
      </w:hyperlink>
      <w:r>
        <w:t xml:space="preserve">.</w:t>
      </w:r>
      <w:r>
        <w:t xml:space="preserve"> </w:t>
      </w:r>
      <w:r>
        <w:rPr>
          <w:i/>
          <w:iCs/>
        </w:rPr>
        <w:t xml:space="preserve">Technical components:</w:t>
      </w:r>
      <w:r>
        <w:t xml:space="preserve"> </w:t>
      </w:r>
      <w:r>
        <w:t xml:space="preserve">This may involve using an LLM (like GPT-4) with firm-approved templates. Possibly integrate with CRM or email systems via API so that an email draft appears for the preparer to review. To implement, the organization needs</w:t>
      </w:r>
      <w:r>
        <w:t xml:space="preserve"> </w:t>
      </w:r>
      <w:r>
        <w:rPr>
          <w:b/>
          <w:bCs/>
        </w:rPr>
        <w:t xml:space="preserve">prompt templates and data coupling</w:t>
      </w:r>
      <w:r>
        <w:t xml:space="preserve"> </w:t>
      </w:r>
      <w:r>
        <w:t xml:space="preserve">– for example, feeding the client’s data or specific question into the prompt. Ensure that any client-specific data merged into these AI drafts is properly handled (no sensitive data is sent beyond what’s necessary). It’s also important to set up a</w:t>
      </w:r>
      <w:r>
        <w:t xml:space="preserve"> </w:t>
      </w:r>
      <w:r>
        <w:rPr>
          <w:b/>
          <w:bCs/>
        </w:rPr>
        <w:t xml:space="preserve">review step</w:t>
      </w:r>
      <w:r>
        <w:t xml:space="preserve">: the draft comes back to the human who edits/approves before sending (to catch any subtle inaccuracies or tone issues).</w:t>
      </w:r>
    </w:p>
    <w:p>
      <w:pPr>
        <w:numPr>
          <w:ilvl w:val="0"/>
          <w:numId w:val="1003"/>
        </w:numPr>
      </w:pPr>
      <w:r>
        <w:rPr>
          <w:b/>
          <w:bCs/>
        </w:rPr>
        <w:t xml:space="preserve">1.4 Automated Return Review and Error Checking:</w:t>
      </w:r>
      <w:r>
        <w:t xml:space="preserve"> </w:t>
      </w:r>
      <w:r>
        <w:t xml:space="preserve">Before finalizing a tax return, professionals do a line-by-line review and cross-check across forms. AI can significantly automate this quality control. For example, an AI agent can</w:t>
      </w:r>
      <w:r>
        <w:t xml:space="preserve"> </w:t>
      </w:r>
      <w:r>
        <w:rPr>
          <w:b/>
          <w:bCs/>
        </w:rPr>
        <w:t xml:space="preserve">recalculate key totals, verify consistency across schedules, and compare current year vs prior year values</w:t>
      </w:r>
      <w:r>
        <w:t xml:space="preserve"> </w:t>
      </w:r>
      <w:r>
        <w:t xml:space="preserve">to flag outliers</w:t>
      </w:r>
      <w:hyperlink r:id="rId42">
        <w:r>
          <w:rPr>
            <w:rStyle w:val="Hyperlink"/>
          </w:rPr>
          <w:t xml:space="preserve">[29]</w:t>
        </w:r>
      </w:hyperlink>
      <w:hyperlink r:id="rId51">
        <w:r>
          <w:rPr>
            <w:rStyle w:val="Hyperlink"/>
          </w:rPr>
          <w:t xml:space="preserve">[30]</w:t>
        </w:r>
      </w:hyperlink>
      <w:r>
        <w:t xml:space="preserve">. If a number seems unexpectedly high or low relative to last year or relative to another form (say, income on Schedule C vs 1099s), the AI flags it for review, possibly suggesting what might be wrong (e.g., “Schedule C gross receipts are 30% lower than last year – is any income missing, or is there a reasonable cause like lost business?”). AI can perform</w:t>
      </w:r>
      <w:r>
        <w:t xml:space="preserve"> </w:t>
      </w:r>
      <w:r>
        <w:rPr>
          <w:b/>
          <w:bCs/>
        </w:rPr>
        <w:t xml:space="preserve">cross-form consistency checks</w:t>
      </w:r>
      <w:r>
        <w:t xml:space="preserve"> </w:t>
      </w:r>
      <w:r>
        <w:t xml:space="preserve">automatically – something that might take a human a lot of focus to do manually</w:t>
      </w:r>
      <w:hyperlink r:id="rId42">
        <w:r>
          <w:rPr>
            <w:rStyle w:val="Hyperlink"/>
          </w:rPr>
          <w:t xml:space="preserve">[20]</w:t>
        </w:r>
      </w:hyperlink>
      <w:r>
        <w:t xml:space="preserve">. It can also ensure all required forms are present by analyzing the data (e.g., if there’s K-1 income, did we include a Schedule E?). Another aspect is</w:t>
      </w:r>
      <w:r>
        <w:t xml:space="preserve"> </w:t>
      </w:r>
      <w:r>
        <w:rPr>
          <w:b/>
          <w:bCs/>
        </w:rPr>
        <w:t xml:space="preserve">mathematical accuracy</w:t>
      </w:r>
      <w:r>
        <w:t xml:space="preserve">: although tax software typically does calculations, if using spreadsheets or manual steps anywhere, an AI can double-check all math instantly</w:t>
      </w:r>
      <w:hyperlink r:id="rId42">
        <w:r>
          <w:rPr>
            <w:rStyle w:val="Hyperlink"/>
          </w:rPr>
          <w:t xml:space="preserve">[29]</w:t>
        </w:r>
      </w:hyperlink>
      <w:r>
        <w:t xml:space="preserve">.</w:t>
      </w:r>
      <w:r>
        <w:t xml:space="preserve"> </w:t>
      </w:r>
      <w:r>
        <w:rPr>
          <w:i/>
          <w:iCs/>
        </w:rPr>
        <w:t xml:space="preserve">Technical components:</w:t>
      </w:r>
      <w:r>
        <w:t xml:space="preserve"> </w:t>
      </w:r>
      <w:r>
        <w:t xml:space="preserve">This might be implemented as a script or AI agent that takes the draft return data (possibly in a standardized format like IRS XML or just the filled forms in PDF/text) and runs a series of checks. A simple approach: encode validation rules (some can be hard-coded, others using AI to detect anomalies or perform logic). A more advanced approach: use an LLM, give it the data (in structured form) plus instructions “Check for any inconsistencies or likely errors”. In fact, an AI can be prompted to act like a reviewer:</w:t>
      </w:r>
      <w:r>
        <w:t xml:space="preserve"> </w:t>
      </w:r>
      <w:r>
        <w:rPr>
          <w:i/>
          <w:iCs/>
        </w:rPr>
        <w:t xml:space="preserve">“You are an expert tax reviewer. Here is data from a tax return… Identify any potential errors or unusual items and explain.”</w:t>
      </w:r>
      <w:r>
        <w:t xml:space="preserve"> </w:t>
      </w:r>
      <w:r>
        <w:t xml:space="preserve">The organization will need to prepare by</w:t>
      </w:r>
      <w:r>
        <w:t xml:space="preserve"> </w:t>
      </w:r>
      <w:r>
        <w:rPr>
          <w:b/>
          <w:bCs/>
        </w:rPr>
        <w:t xml:space="preserve">exporting or exposing the return data</w:t>
      </w:r>
      <w:r>
        <w:t xml:space="preserve"> </w:t>
      </w:r>
      <w:r>
        <w:t xml:space="preserve">in a machine-readable way for the AI to analyze (many tax software allow exports or have APIs). They also need to define what constitutes an “anomaly” (e.g., threshold percentages for changes, known common errors). By catching issues before filing, AI reduces rework and IRS notices, aligning with the goal of improved accuracy (TaxGPT’s automated cross-checks exemplify this, catching mismatches that could cause problems if unnoticed</w:t>
      </w:r>
      <w:hyperlink r:id="rId52">
        <w:r>
          <w:rPr>
            <w:rStyle w:val="Hyperlink"/>
          </w:rPr>
          <w:t xml:space="preserve">[31]</w:t>
        </w:r>
      </w:hyperlink>
      <w:r>
        <w:t xml:space="preserve">).</w:t>
      </w:r>
    </w:p>
    <w:p>
      <w:pPr>
        <w:numPr>
          <w:ilvl w:val="0"/>
          <w:numId w:val="1003"/>
        </w:numPr>
      </w:pPr>
      <w:r>
        <w:rPr>
          <w:b/>
          <w:bCs/>
        </w:rPr>
        <w:t xml:space="preserve">1.5 AI-Driven Tax Planning and Proactive Guidance:</w:t>
      </w:r>
      <w:r>
        <w:t xml:space="preserve"> </w:t>
      </w:r>
      <w:r>
        <w:t xml:space="preserve">Beyond compliance, AI can help deliver more value through</w:t>
      </w:r>
      <w:r>
        <w:t xml:space="preserve"> </w:t>
      </w:r>
      <w:r>
        <w:rPr>
          <w:b/>
          <w:bCs/>
        </w:rPr>
        <w:t xml:space="preserve">advisory insights</w:t>
      </w:r>
      <w:r>
        <w:t xml:space="preserve">. For example, AI can analyze a client’s financials and prior returns to suggest tax planning opportunities – maybe identifying that the client consistently misses a certain deduction or could benefit from a different business structure. AI can perform</w:t>
      </w:r>
      <w:r>
        <w:t xml:space="preserve"> </w:t>
      </w:r>
      <w:r>
        <w:rPr>
          <w:b/>
          <w:bCs/>
        </w:rPr>
        <w:t xml:space="preserve">pattern recognition</w:t>
      </w:r>
      <w:r>
        <w:t xml:space="preserve"> </w:t>
      </w:r>
      <w:r>
        <w:t xml:space="preserve">across client data to find anomalies or opportunities. TaxGPT reportedly uses predictive analytics to suggest “untapped credits or deductions” for clients by scanning their data and known tax strategies</w:t>
      </w:r>
      <w:hyperlink r:id="rId53">
        <w:r>
          <w:rPr>
            <w:rStyle w:val="Hyperlink"/>
          </w:rPr>
          <w:t xml:space="preserve">[32]</w:t>
        </w:r>
      </w:hyperlink>
      <w:r>
        <w:t xml:space="preserve">. Another use case is</w:t>
      </w:r>
      <w:r>
        <w:t xml:space="preserve"> </w:t>
      </w:r>
      <w:r>
        <w:rPr>
          <w:b/>
          <w:bCs/>
        </w:rPr>
        <w:t xml:space="preserve">audit risk assessment</w:t>
      </w:r>
      <w:r>
        <w:t xml:space="preserve">: AI can examine a return for patterns that historically trigger audits (e.g., unusually high home office deductions for income level, or round numbers that might indicate estimates)</w:t>
      </w:r>
      <w:hyperlink r:id="rId54">
        <w:r>
          <w:rPr>
            <w:rStyle w:val="Hyperlink"/>
          </w:rPr>
          <w:t xml:space="preserve">[33]</w:t>
        </w:r>
      </w:hyperlink>
      <w:r>
        <w:t xml:space="preserve">. It can cross-reference with known IRS flags or even the firm’s own experience database. For instance, AI can note:</w:t>
      </w:r>
      <w:r>
        <w:t xml:space="preserve"> </w:t>
      </w:r>
      <w:r>
        <w:rPr>
          <w:i/>
          <w:iCs/>
        </w:rPr>
        <w:t xml:space="preserve">“This return has a much larger charitable contribution than typical for the income level; ensure documentation is in place as this might draw attention”</w:t>
      </w:r>
      <w:r>
        <w:t xml:space="preserve">. AI can also stay on top of law changes that affect planning – e.g., if a new law effective next year would change a credit’s availability, it can remind the preparer to inform the client (embedding a regulatory change alert into client advice).</w:t>
      </w:r>
      <w:r>
        <w:t xml:space="preserve"> </w:t>
      </w:r>
      <w:r>
        <w:rPr>
          <w:i/>
          <w:iCs/>
        </w:rPr>
        <w:t xml:space="preserve">Technical components:</w:t>
      </w:r>
      <w:r>
        <w:t xml:space="preserve"> </w:t>
      </w:r>
      <w:r>
        <w:t xml:space="preserve">Implementing proactive AI guidance might involve a combination of rules-based systems and AI. A knowledge base of common planning tactics or audit issues can be used. An LLM can take the client’s scenario and generate tailored suggestions, especially if fine-tuned on tax scenarios. The organization should prepare by</w:t>
      </w:r>
      <w:r>
        <w:t xml:space="preserve"> </w:t>
      </w:r>
      <w:r>
        <w:rPr>
          <w:b/>
          <w:bCs/>
        </w:rPr>
        <w:t xml:space="preserve">gathering historical data and patterns</w:t>
      </w:r>
      <w:r>
        <w:t xml:space="preserve"> </w:t>
      </w:r>
      <w:r>
        <w:t xml:space="preserve">(if available) to train or prompt the AI. Also needed: clear</w:t>
      </w:r>
      <w:r>
        <w:t xml:space="preserve"> </w:t>
      </w:r>
      <w:r>
        <w:rPr>
          <w:b/>
          <w:bCs/>
        </w:rPr>
        <w:t xml:space="preserve">boundaries on advice</w:t>
      </w:r>
      <w:r>
        <w:t xml:space="preserve"> </w:t>
      </w:r>
      <w:r>
        <w:t xml:space="preserve">– the AI might propose aggressive ideas, so set guardrails (e.g., instruct it to avoid anything potentially non-compliant or to always include a disclaimer like “consult with your CPA for applicability”). Many pros are not comfortable letting AI advise on tax positions without oversight</w:t>
      </w:r>
      <w:hyperlink r:id="rId28">
        <w:r>
          <w:rPr>
            <w:rStyle w:val="Hyperlink"/>
          </w:rPr>
          <w:t xml:space="preserve">[8]</w:t>
        </w:r>
      </w:hyperlink>
      <w:hyperlink r:id="rId29">
        <w:r>
          <w:rPr>
            <w:rStyle w:val="Hyperlink"/>
          </w:rPr>
          <w:t xml:space="preserve">[9]</w:t>
        </w:r>
      </w:hyperlink>
      <w:r>
        <w:t xml:space="preserve">, so this capability must always route suggestions to a human who validates them against professional judgment.</w:t>
      </w:r>
    </w:p>
    <w:p>
      <w:pPr>
        <w:pStyle w:val="FirstParagraph"/>
      </w:pPr>
      <w:r>
        <w:t xml:space="preserve">In summary, AI capabilities span from</w:t>
      </w:r>
      <w:r>
        <w:t xml:space="preserve"> </w:t>
      </w:r>
      <w:r>
        <w:rPr>
          <w:i/>
          <w:iCs/>
        </w:rPr>
        <w:t xml:space="preserve">data-centric automation</w:t>
      </w:r>
      <w:r>
        <w:t xml:space="preserve"> </w:t>
      </w:r>
      <w:r>
        <w:t xml:space="preserve">(reading and organizing inputs) to</w:t>
      </w:r>
      <w:r>
        <w:t xml:space="preserve"> </w:t>
      </w:r>
      <w:r>
        <w:rPr>
          <w:i/>
          <w:iCs/>
        </w:rPr>
        <w:t xml:space="preserve">knowledge-centric assistance</w:t>
      </w:r>
      <w:r>
        <w:t xml:space="preserve"> </w:t>
      </w:r>
      <w:r>
        <w:t xml:space="preserve">(researching and advising) to</w:t>
      </w:r>
      <w:r>
        <w:t xml:space="preserve"> </w:t>
      </w:r>
      <w:r>
        <w:rPr>
          <w:i/>
          <w:iCs/>
        </w:rPr>
        <w:t xml:space="preserve">quality assurance</w:t>
      </w:r>
      <w:r>
        <w:t xml:space="preserve"> </w:t>
      </w:r>
      <w:r>
        <w:t xml:space="preserve">(verifying outputs). The</w:t>
      </w:r>
      <w:r>
        <w:t xml:space="preserve"> </w:t>
      </w:r>
      <w:r>
        <w:rPr>
          <w:b/>
          <w:bCs/>
        </w:rPr>
        <w:t xml:space="preserve">common thread</w:t>
      </w:r>
      <w:r>
        <w:t xml:space="preserve"> </w:t>
      </w:r>
      <w:r>
        <w:t xml:space="preserve">is efficiency and insight: AI can handle rote tasks faster (saving time) and highlight patterns humans might miss, thereby freeing professionals to focus on high-level analysis and client relationships</w:t>
      </w:r>
      <w:hyperlink r:id="rId55">
        <w:r>
          <w:rPr>
            <w:rStyle w:val="Hyperlink"/>
          </w:rPr>
          <w:t xml:space="preserve">[34]</w:t>
        </w:r>
      </w:hyperlink>
      <w:hyperlink r:id="rId56">
        <w:r>
          <w:rPr>
            <w:rStyle w:val="Hyperlink"/>
          </w:rPr>
          <w:t xml:space="preserve">[35]</w:t>
        </w:r>
      </w:hyperlink>
      <w:r>
        <w:t xml:space="preserve">. The next subsections describe what technical and process preparations are needed to support these capabilities.</w:t>
      </w:r>
    </w:p>
    <w:bookmarkEnd w:id="57"/>
    <w:bookmarkStart w:id="71" w:name="X4ba73106095eaf89add2078254f9cc31dba02f3"/>
    <w:p>
      <w:pPr>
        <w:pStyle w:val="Heading3"/>
      </w:pPr>
      <w:r>
        <w:t xml:space="preserve">2. Preparation Checklist: Key Domains for Readiness</w:t>
      </w:r>
    </w:p>
    <w:p>
      <w:pPr>
        <w:pStyle w:val="FirstParagraph"/>
      </w:pPr>
      <w:r>
        <w:t xml:space="preserve">To implement the AI capabilities above, organizations should evaluate their readiness in several domains. We break these into five domains (mirroring our checklist):</w:t>
      </w:r>
      <w:r>
        <w:t xml:space="preserve"> </w:t>
      </w:r>
      <w:r>
        <w:rPr>
          <w:b/>
          <w:bCs/>
        </w:rPr>
        <w:t xml:space="preserve">Data, AI Tools/Models, Infrastructure, Security &amp; Governance, and Documentation/Process</w:t>
      </w:r>
      <w:r>
        <w:t xml:space="preserve">. Below we outline what it means to be “AI-ready” in each area, which also aligns to what the readiness checklist covers later.</w:t>
      </w:r>
    </w:p>
    <w:bookmarkStart w:id="59" w:name="data-readiness"/>
    <w:p>
      <w:pPr>
        <w:pStyle w:val="Heading4"/>
      </w:pPr>
      <w:r>
        <w:t xml:space="preserve">2.1 Data Readiness</w:t>
      </w:r>
    </w:p>
    <w:p>
      <w:pPr>
        <w:pStyle w:val="FirstParagraph"/>
      </w:pPr>
      <w:r>
        <w:t xml:space="preserve">AI is only as good as the data you feed it. For a tax practice,</w:t>
      </w:r>
      <w:r>
        <w:t xml:space="preserve"> </w:t>
      </w:r>
      <w:r>
        <w:rPr>
          <w:b/>
          <w:bCs/>
        </w:rPr>
        <w:t xml:space="preserve">data readiness</w:t>
      </w:r>
      <w:r>
        <w:t xml:space="preserve"> </w:t>
      </w:r>
      <w:r>
        <w:t xml:space="preserve">means your client and tax data is available, organized, and suitable for use with AI tools:</w:t>
      </w:r>
    </w:p>
    <w:p>
      <w:pPr>
        <w:numPr>
          <w:ilvl w:val="0"/>
          <w:numId w:val="1004"/>
        </w:numPr>
      </w:pPr>
      <w:r>
        <w:rPr>
          <w:b/>
          <w:bCs/>
        </w:rPr>
        <w:t xml:space="preserve">Digital and Structured Data:</w:t>
      </w:r>
      <w:r>
        <w:t xml:space="preserve"> </w:t>
      </w:r>
      <w:r>
        <w:t xml:space="preserve">Wherever possible, source data should be in digital form (or made digital via scanning). If you still have boxes of paper receipts or clients sending physical documents, establish a process to scan and OCR them. Make sure the scanned data is of good quality (readable text for OCR). Also, use structured formats: for instance, maintain client financial information in spreadsheets or software from which you can export to CSV/JSON. The goal is to have machine-readable inputs that an AI can easily ingest.</w:t>
      </w:r>
      <w:r>
        <w:t xml:space="preserve"> </w:t>
      </w:r>
      <w:r>
        <w:rPr>
          <w:i/>
          <w:iCs/>
        </w:rPr>
        <w:t xml:space="preserve">Checklist item example:</w:t>
      </w:r>
      <w:r>
        <w:t xml:space="preserve"> </w:t>
      </w:r>
      <w:r>
        <w:rPr>
          <w:i/>
          <w:iCs/>
        </w:rPr>
        <w:t xml:space="preserve">“All client source documents are digitized and saved in a structured format or with OCR text (Critical).”</w:t>
      </w:r>
    </w:p>
    <w:p>
      <w:pPr>
        <w:numPr>
          <w:ilvl w:val="0"/>
          <w:numId w:val="1004"/>
        </w:numPr>
      </w:pPr>
      <w:r>
        <w:rPr>
          <w:b/>
          <w:bCs/>
        </w:rPr>
        <w:t xml:space="preserve">Consistent Schema and Metadata:</w:t>
      </w:r>
      <w:r>
        <w:t xml:space="preserve"> </w:t>
      </w:r>
      <w:r>
        <w:t xml:space="preserve">Define a standard way to label and store data. For example, if you extract values from forms, have a consistent naming scheme (like</w:t>
      </w:r>
      <w:r>
        <w:t xml:space="preserve"> </w:t>
      </w:r>
      <w:r>
        <w:rPr>
          <w:rStyle w:val="VerbatimChar"/>
        </w:rPr>
        <w:t xml:space="preserve">income.wages</w:t>
      </w:r>
      <w:r>
        <w:t xml:space="preserve">,</w:t>
      </w:r>
      <w:r>
        <w:t xml:space="preserve"> </w:t>
      </w:r>
      <w:r>
        <w:rPr>
          <w:rStyle w:val="VerbatimChar"/>
        </w:rPr>
        <w:t xml:space="preserve">income.interest</w:t>
      </w:r>
      <w:r>
        <w:t xml:space="preserve">, etc.) so that the AI or any script knows where to find things. Track metadata like the year, document type, source of data, etc. Consistency will also aid in building prompts or rules for AI.</w:t>
      </w:r>
      <w:r>
        <w:t xml:space="preserve"> </w:t>
      </w:r>
      <w:r>
        <w:rPr>
          <w:i/>
          <w:iCs/>
        </w:rPr>
        <w:t xml:space="preserve">Checklist example:</w:t>
      </w:r>
      <w:r>
        <w:t xml:space="preserve"> </w:t>
      </w:r>
      <w:r>
        <w:rPr>
          <w:i/>
          <w:iCs/>
        </w:rPr>
        <w:t xml:space="preserve">“Metadata (e.g., document type, tax year, source) is recorded for each client document (Important).”</w:t>
      </w:r>
    </w:p>
    <w:p>
      <w:pPr>
        <w:numPr>
          <w:ilvl w:val="0"/>
          <w:numId w:val="1004"/>
        </w:numPr>
      </w:pPr>
      <w:r>
        <w:rPr>
          <w:b/>
          <w:bCs/>
        </w:rPr>
        <w:t xml:space="preserve">Data Quality and Completeness Checks:</w:t>
      </w:r>
      <w:r>
        <w:t xml:space="preserve"> </w:t>
      </w:r>
      <w:r>
        <w:t xml:space="preserve">Before feeding data to AI, ensure you have processes to check if data is complete and accurate. This includes human review steps or automated checks. For instance, verify that all expected forms for a client’s scenario are present. If using AI extraction, implement a verification step (maybe the AI itself can highlight low confidence extractions for human double-check). Also ensure data that’s passed to AI is cleaned (e.g., no OCR gibberish).</w:t>
      </w:r>
      <w:r>
        <w:t xml:space="preserve"> </w:t>
      </w:r>
      <w:r>
        <w:rPr>
          <w:i/>
          <w:iCs/>
        </w:rPr>
        <w:t xml:space="preserve">Checklist example:</w:t>
      </w:r>
      <w:r>
        <w:t xml:space="preserve"> </w:t>
      </w:r>
      <w:r>
        <w:rPr>
          <w:i/>
          <w:iCs/>
        </w:rPr>
        <w:t xml:space="preserve">“Procedure in place to validate OCR-extracted data against source documents for accuracy (Important).”</w:t>
      </w:r>
    </w:p>
    <w:p>
      <w:pPr>
        <w:numPr>
          <w:ilvl w:val="0"/>
          <w:numId w:val="1004"/>
        </w:numPr>
      </w:pPr>
      <w:r>
        <w:rPr>
          <w:b/>
          <w:bCs/>
        </w:rPr>
        <w:t xml:space="preserve">Data Classification and Sensitive Data Handling:</w:t>
      </w:r>
      <w:r>
        <w:t xml:space="preserve"> </w:t>
      </w:r>
      <w:r>
        <w:t xml:space="preserve">Not all data should be treated the same when it comes to AI usage. Classify data into categories (Public/Internal/Confidential/Restricted as per sensitivity)</w:t>
      </w:r>
      <w:hyperlink r:id="rId58">
        <w:r>
          <w:rPr>
            <w:rStyle w:val="Hyperlink"/>
          </w:rPr>
          <w:t xml:space="preserve">[36]</w:t>
        </w:r>
      </w:hyperlink>
      <w:r>
        <w:t xml:space="preserve">.</w:t>
      </w:r>
      <w:r>
        <w:t xml:space="preserve"> </w:t>
      </w:r>
      <w:r>
        <w:rPr>
          <w:b/>
          <w:bCs/>
        </w:rPr>
        <w:t xml:space="preserve">Tax return data and personal identifiers are Confidential at least</w:t>
      </w:r>
      <w:r>
        <w:t xml:space="preserve"> </w:t>
      </w:r>
      <w:r>
        <w:t xml:space="preserve">– likely highly Restricted. With classification in place, you can enforce rules like:</w:t>
      </w:r>
      <w:r>
        <w:t xml:space="preserve"> </w:t>
      </w:r>
      <w:r>
        <w:rPr>
          <w:i/>
          <w:iCs/>
        </w:rPr>
        <w:t xml:space="preserve">“Client PII (SSNs, names) must be masked or omitted before inputting into any third-party AI service”</w:t>
      </w:r>
      <w:hyperlink r:id="rId34">
        <w:r>
          <w:rPr>
            <w:rStyle w:val="Hyperlink"/>
          </w:rPr>
          <w:t xml:space="preserve">[13]</w:t>
        </w:r>
      </w:hyperlink>
      <w:r>
        <w:t xml:space="preserve">. For example, if you want to ask ChatGPT a question about a client scenario, you might replace the client’s name with “[Client]” and round or obfuscate certain figures.</w:t>
      </w:r>
      <w:r>
        <w:t xml:space="preserve"> </w:t>
      </w:r>
      <w:r>
        <w:rPr>
          <w:i/>
          <w:iCs/>
        </w:rPr>
        <w:t xml:space="preserve">Checklist examples:</w:t>
      </w:r>
      <w:r>
        <w:t xml:space="preserve"> </w:t>
      </w:r>
      <w:r>
        <w:rPr>
          <w:i/>
          <w:iCs/>
        </w:rPr>
        <w:t xml:space="preserve">“Data classification scheme is defined and applied to client data (Critical).”</w:t>
      </w:r>
      <w:r>
        <w:t xml:space="preserve"> </w:t>
      </w:r>
      <w:r>
        <w:t xml:space="preserve">and</w:t>
      </w:r>
      <w:r>
        <w:t xml:space="preserve"> </w:t>
      </w:r>
      <w:r>
        <w:rPr>
          <w:i/>
          <w:iCs/>
        </w:rPr>
        <w:t xml:space="preserve">“Policies in place to anonymize or redact Confidential data before using external AI tools (Critical).”</w:t>
      </w:r>
      <w:r>
        <w:t xml:space="preserve"> </w:t>
      </w:r>
      <w:r>
        <w:t xml:space="preserve">This ensures compliance with privacy obligations (IRS Reg. 301.7216 on taxpayer information, etc.) and mitigates risk if AI service providers log the data.</w:t>
      </w:r>
    </w:p>
    <w:p>
      <w:pPr>
        <w:numPr>
          <w:ilvl w:val="0"/>
          <w:numId w:val="1004"/>
        </w:numPr>
      </w:pPr>
      <w:r>
        <w:rPr>
          <w:b/>
          <w:bCs/>
        </w:rPr>
        <w:t xml:space="preserve">Data Access and Availability:</w:t>
      </w:r>
      <w:r>
        <w:t xml:space="preserve"> </w:t>
      </w:r>
      <w:r>
        <w:t xml:space="preserve">Data readiness also means the right people and systems can access the data when needed for AI processing. For instance, if an AI script runs on a server, does it have access to the document repository? If using a cloud AI API, can you programmatically send data to it? You may need to set up databases or cloud storage such that AI tools (or intermediate software) can retrieve data without manual steps. Ensure APIs or connectors are in place to pull data from your tax software or DMS (document management system).</w:t>
      </w:r>
    </w:p>
    <w:p>
      <w:pPr>
        <w:pStyle w:val="FirstParagraph"/>
      </w:pPr>
      <w:r>
        <w:t xml:space="preserve">In short, being data-ready is about having</w:t>
      </w:r>
      <w:r>
        <w:t xml:space="preserve"> </w:t>
      </w:r>
      <w:r>
        <w:rPr>
          <w:b/>
          <w:bCs/>
        </w:rPr>
        <w:t xml:space="preserve">clean, structured, accessible data and clear rules on its usage</w:t>
      </w:r>
      <w:r>
        <w:t xml:space="preserve">. An AI project can stall if data is locked in PDFs or if you’re worried about leaking sensitive info. Investment here upfront pays off with smoother AI integration later.</w:t>
      </w:r>
    </w:p>
    <w:bookmarkEnd w:id="59"/>
    <w:bookmarkStart w:id="62" w:name="ai-tools-models-readiness"/>
    <w:p>
      <w:pPr>
        <w:pStyle w:val="Heading4"/>
      </w:pPr>
      <w:r>
        <w:t xml:space="preserve">2.2 AI Tools (Models) Readiness</w:t>
      </w:r>
    </w:p>
    <w:p>
      <w:pPr>
        <w:pStyle w:val="FirstParagraph"/>
      </w:pPr>
      <w:r>
        <w:t xml:space="preserve">This domain is about the AI solutions themselves – selecting, configuring, and understanding the AI tools or models you will use:</w:t>
      </w:r>
    </w:p>
    <w:p>
      <w:pPr>
        <w:numPr>
          <w:ilvl w:val="0"/>
          <w:numId w:val="1005"/>
        </w:numPr>
      </w:pPr>
      <w:r>
        <w:rPr>
          <w:b/>
          <w:bCs/>
        </w:rPr>
        <w:t xml:space="preserve">Tool/Model Selection and Inventory:</w:t>
      </w:r>
      <w:r>
        <w:t xml:space="preserve"> </w:t>
      </w:r>
      <w:r>
        <w:t xml:space="preserve">Identify which AI tools or platforms you will leverage. Will you use a general model like OpenAI’s GPT-4 via the ChatGPT interface or API? A domain-specific solution like</w:t>
      </w:r>
      <w:r>
        <w:t xml:space="preserve"> </w:t>
      </w:r>
      <w:r>
        <w:rPr>
          <w:b/>
          <w:bCs/>
        </w:rPr>
        <w:t xml:space="preserve">TaxGPT</w:t>
      </w:r>
      <w:r>
        <w:t xml:space="preserve"> </w:t>
      </w:r>
      <w:r>
        <w:t xml:space="preserve">or</w:t>
      </w:r>
      <w:r>
        <w:t xml:space="preserve"> </w:t>
      </w:r>
      <w:r>
        <w:rPr>
          <w:b/>
          <w:bCs/>
        </w:rPr>
        <w:t xml:space="preserve">Blue J Tax</w:t>
      </w:r>
      <w:r>
        <w:t xml:space="preserve">? Perhaps an on-prem LLM for confidentiality? It could be a combination. Make a list (inventory) of all AI tools in use or planned, including their version or provider. This inventory should also capture each tool’s</w:t>
      </w:r>
      <w:r>
        <w:t xml:space="preserve"> </w:t>
      </w:r>
      <w:r>
        <w:rPr>
          <w:b/>
          <w:bCs/>
        </w:rPr>
        <w:t xml:space="preserve">capabilities and limitations</w:t>
      </w:r>
      <w:r>
        <w:t xml:space="preserve">: e.g., “GPT-4 (knowledge cutoff 2021, can do general Q&amp;A but not guaranteed up-to-date on 2025 tax law unless provided)”, or “Checkpoint/CoCounsel (updated with latest law, provides citations)”.</w:t>
      </w:r>
      <w:r>
        <w:t xml:space="preserve"> </w:t>
      </w:r>
      <w:r>
        <w:rPr>
          <w:i/>
          <w:iCs/>
        </w:rPr>
        <w:t xml:space="preserve">Checklist example:</w:t>
      </w:r>
      <w:r>
        <w:t xml:space="preserve"> </w:t>
      </w:r>
      <w:r>
        <w:rPr>
          <w:i/>
          <w:iCs/>
        </w:rPr>
        <w:t xml:space="preserve">“Inventory of AI tools and services (LLMs, OCR engines, etc.) maintained, including version and data privacy info (Critical).”</w:t>
      </w:r>
      <w:r>
        <w:t xml:space="preserve"> </w:t>
      </w:r>
      <w:r>
        <w:t xml:space="preserve">Keeping an inventory helps in governance (knowing where data might go) and in planning updates (if a new version of a model comes out, or a license expires, etc.).</w:t>
      </w:r>
    </w:p>
    <w:p>
      <w:pPr>
        <w:numPr>
          <w:ilvl w:val="0"/>
          <w:numId w:val="1005"/>
        </w:numPr>
      </w:pPr>
      <w:r>
        <w:rPr>
          <w:b/>
          <w:bCs/>
        </w:rPr>
        <w:t xml:space="preserve">Integration and API Setup:</w:t>
      </w:r>
      <w:r>
        <w:t xml:space="preserve"> </w:t>
      </w:r>
      <w:r>
        <w:t xml:space="preserve">Ensure that for each chosen AI tool, you have the necessary integration in place. For API-based services, that means obtaining API keys, setting up SDKs or HTTP calls in your code, and testing connectivity. For locally-run models, it means installing the model and having the environment (GPU, etc.) ready. E.g., if using OpenAI API, store the API key securely (not hard-coded; likely in a vault or .env)</w:t>
      </w:r>
      <w:hyperlink r:id="rId26">
        <w:r>
          <w:rPr>
            <w:rStyle w:val="Hyperlink"/>
          </w:rPr>
          <w:t xml:space="preserve">[6]</w:t>
        </w:r>
      </w:hyperlink>
      <w:hyperlink r:id="rId60">
        <w:r>
          <w:rPr>
            <w:rStyle w:val="Hyperlink"/>
          </w:rPr>
          <w:t xml:space="preserve">[37]</w:t>
        </w:r>
      </w:hyperlink>
      <w:r>
        <w:t xml:space="preserve">. If using an on-prem model, verify you have the compute resources.</w:t>
      </w:r>
      <w:r>
        <w:t xml:space="preserve"> </w:t>
      </w:r>
      <w:r>
        <w:rPr>
          <w:i/>
          <w:iCs/>
        </w:rPr>
        <w:t xml:space="preserve">Checklist example:</w:t>
      </w:r>
      <w:r>
        <w:t xml:space="preserve"> </w:t>
      </w:r>
      <w:r>
        <w:rPr>
          <w:i/>
          <w:iCs/>
        </w:rPr>
        <w:t xml:space="preserve">“API access for external AI services is configured using secure credentials management (Critical).”</w:t>
      </w:r>
      <w:r>
        <w:t xml:space="preserve"> </w:t>
      </w:r>
      <w:r>
        <w:t xml:space="preserve">and</w:t>
      </w:r>
      <w:r>
        <w:t xml:space="preserve"> </w:t>
      </w:r>
      <w:r>
        <w:rPr>
          <w:i/>
          <w:iCs/>
        </w:rPr>
        <w:t xml:space="preserve">“Local AI model environments are set up with required libraries and hardware (Important).”</w:t>
      </w:r>
      <w:r>
        <w:t xml:space="preserve">. Essentially, you should be ready to invoke the AI when needed without manual fiddling.</w:t>
      </w:r>
    </w:p>
    <w:p>
      <w:pPr>
        <w:numPr>
          <w:ilvl w:val="0"/>
          <w:numId w:val="1005"/>
        </w:numPr>
      </w:pPr>
      <w:r>
        <w:rPr>
          <w:b/>
          <w:bCs/>
        </w:rPr>
        <w:t xml:space="preserve">Prompt Templates and Usage Guidelines:</w:t>
      </w:r>
      <w:r>
        <w:t xml:space="preserve"> </w:t>
      </w:r>
      <w:r>
        <w:t xml:space="preserve">Develop standardized prompts or instructions for your common use cases. This prevents ad-hoc, potentially risky prompt usage by staff. For instance, have a template for asking tax research questions that reminds the user (or the AI) to provide sources:</w:t>
      </w:r>
      <w:r>
        <w:t xml:space="preserve"> </w:t>
      </w:r>
      <w:r>
        <w:rPr>
          <w:i/>
          <w:iCs/>
        </w:rPr>
        <w:t xml:space="preserve">“You are a tax expert AI. Using the Internal Revenue Code and latest IRS publications, answer the following question… Provide references to code sections or official guidance in your answer.”</w:t>
      </w:r>
      <w:r>
        <w:t xml:space="preserve"> </w:t>
      </w:r>
      <w:r>
        <w:t xml:space="preserve">Similarly, if staff will use AI for drafting letters, provide a prompt template that ensures inclusion of necessary info and a professional tone.</w:t>
      </w:r>
      <w:r>
        <w:t xml:space="preserve"> </w:t>
      </w:r>
      <w:r>
        <w:rPr>
          <w:i/>
          <w:iCs/>
        </w:rPr>
        <w:t xml:space="preserve">Checklist example:</w:t>
      </w:r>
      <w:r>
        <w:t xml:space="preserve"> </w:t>
      </w:r>
      <w:r>
        <w:rPr>
          <w:i/>
          <w:iCs/>
        </w:rPr>
        <w:t xml:space="preserve">“Curated prompt templates exist for key tasks (research, letter drafting, etc.), incorporating quality and compliance checks (Important).”</w:t>
      </w:r>
      <w:r>
        <w:t xml:space="preserve">. Additionally, usage guidelines for staff should be in place: e.g.,</w:t>
      </w:r>
      <w:r>
        <w:t xml:space="preserve"> </w:t>
      </w:r>
      <w:r>
        <w:rPr>
          <w:b/>
          <w:bCs/>
        </w:rPr>
        <w:t xml:space="preserve">never ask the AI to make the final decision on a tax position</w:t>
      </w:r>
      <w:r>
        <w:t xml:space="preserve">, always frame it as advice; avoid prompts that would elicit disallowed content (like personal client data). This overlaps with training but is part of being “model ready” – essentially,</w:t>
      </w:r>
      <w:r>
        <w:t xml:space="preserve"> </w:t>
      </w:r>
      <w:r>
        <w:rPr>
          <w:b/>
          <w:bCs/>
        </w:rPr>
        <w:t xml:space="preserve">preparing the AI to be used correctly</w:t>
      </w:r>
      <w:r>
        <w:t xml:space="preserve"> </w:t>
      </w:r>
      <w:r>
        <w:t xml:space="preserve">through good prompting practices.</w:t>
      </w:r>
    </w:p>
    <w:p>
      <w:pPr>
        <w:numPr>
          <w:ilvl w:val="0"/>
          <w:numId w:val="1005"/>
        </w:numPr>
      </w:pPr>
      <w:r>
        <w:rPr>
          <w:b/>
          <w:bCs/>
        </w:rPr>
        <w:t xml:space="preserve">Quality and Limitations Awareness:</w:t>
      </w:r>
      <w:r>
        <w:t xml:space="preserve"> </w:t>
      </w:r>
      <w:r>
        <w:t xml:space="preserve">The team should be aware of each AI tool’s limitations and have a plan to mitigate them. For example, if using ChatGPT (which might not know 2025 laws by default), plan to feed it the relevant new information or use tools that have browsing. If a tool has a known bias or error pattern, document that. In the TXCPA analysis, they found GPT-based tools sometimes gave</w:t>
      </w:r>
      <w:r>
        <w:t xml:space="preserve"> </w:t>
      </w:r>
      <w:r>
        <w:rPr>
          <w:b/>
          <w:bCs/>
        </w:rPr>
        <w:t xml:space="preserve">hedged or statistically likely (but not accurate) answers</w:t>
      </w:r>
      <w:hyperlink r:id="rId61">
        <w:r>
          <w:rPr>
            <w:rStyle w:val="Hyperlink"/>
          </w:rPr>
          <w:t xml:space="preserve">[38]</w:t>
        </w:r>
      </w:hyperlink>
      <w:r>
        <w:t xml:space="preserve">, and that one model might answer differently on different attempts</w:t>
      </w:r>
      <w:hyperlink r:id="rId61">
        <w:r>
          <w:rPr>
            <w:rStyle w:val="Hyperlink"/>
          </w:rPr>
          <w:t xml:space="preserve">[39]</w:t>
        </w:r>
      </w:hyperlink>
      <w:r>
        <w:t xml:space="preserve">. Being ready means you might implement a strategy like “for complex questions, query more than one model” or “if the AI says ‘not sure’ or gives a non-committal answer, escalate to human research.”</w:t>
      </w:r>
      <w:r>
        <w:t xml:space="preserve"> </w:t>
      </w:r>
      <w:r>
        <w:rPr>
          <w:i/>
          <w:iCs/>
        </w:rPr>
        <w:t xml:space="preserve">Checklist example:</w:t>
      </w:r>
      <w:r>
        <w:t xml:space="preserve"> </w:t>
      </w:r>
      <w:r>
        <w:rPr>
          <w:i/>
          <w:iCs/>
        </w:rPr>
        <w:t xml:space="preserve">“Known limitations of AI tools (knowledge cutoff, tendency to fabricate sources) are documented and communicated to users (Critical).”</w:t>
      </w:r>
      <w:r>
        <w:t xml:space="preserve">. Also consider</w:t>
      </w:r>
      <w:r>
        <w:t xml:space="preserve"> </w:t>
      </w:r>
      <w:r>
        <w:rPr>
          <w:b/>
          <w:bCs/>
        </w:rPr>
        <w:t xml:space="preserve">duty to update</w:t>
      </w:r>
      <w:r>
        <w:t xml:space="preserve">: have a process to check periodically if the model’s knowledge is outdated and feed new data as needed.</w:t>
      </w:r>
    </w:p>
    <w:p>
      <w:pPr>
        <w:numPr>
          <w:ilvl w:val="0"/>
          <w:numId w:val="1005"/>
        </w:numPr>
      </w:pPr>
      <w:r>
        <w:rPr>
          <w:b/>
          <w:bCs/>
        </w:rPr>
        <w:t xml:space="preserve">Testing and Validation of AI Outputs:</w:t>
      </w:r>
      <w:r>
        <w:t xml:space="preserve"> </w:t>
      </w:r>
      <w:r>
        <w:t xml:space="preserve">Before fully deploying a model in production use, conduct some internal tests. For example, run the AI on a set of sample tasks from last tax season (without sensitive data) to see how it performs. Measure accuracy: did it find the correct answer? Did it cite something incorrectly? This baseline testing will reveal if you need additional fine-tuning or prompt adjustments. For a coding assistant, maybe generate a few code suggestions and do a code review for security issues.</w:t>
      </w:r>
      <w:r>
        <w:t xml:space="preserve"> </w:t>
      </w:r>
      <w:r>
        <w:rPr>
          <w:i/>
          <w:iCs/>
        </w:rPr>
        <w:t xml:space="preserve">Checklist example:</w:t>
      </w:r>
      <w:r>
        <w:t xml:space="preserve"> </w:t>
      </w:r>
      <w:r>
        <w:rPr>
          <w:i/>
          <w:iCs/>
        </w:rPr>
        <w:t xml:space="preserve">“AI outputs undergo validation testing on sample scenarios before live use (Important).”</w:t>
      </w:r>
      <w:r>
        <w:t xml:space="preserve">. If you find, say, ChatGPT gives a wrong answer about a specific credit, you might note to avoid using it for that or to always double-check that topic.</w:t>
      </w:r>
    </w:p>
    <w:p>
      <w:pPr>
        <w:numPr>
          <w:ilvl w:val="0"/>
          <w:numId w:val="1005"/>
        </w:numPr>
      </w:pPr>
      <w:r>
        <w:rPr>
          <w:b/>
          <w:bCs/>
        </w:rPr>
        <w:t xml:space="preserve">Maintenance and Model Updates:</w:t>
      </w:r>
      <w:r>
        <w:t xml:space="preserve"> </w:t>
      </w:r>
      <w:r>
        <w:t xml:space="preserve">Being model-ready also means planning for updates. AI services improve frequently; new versions might require changes in prompts or might behave differently. Designate someone to keep track of updates (e.g., OpenAI releases GPT-4.5, or your on-prem model gets a new training data set). Also be ready to retrain or fine-tune if you are using any custom models for your firm (not common in small firms, but possible in larger orgs).</w:t>
      </w:r>
      <w:r>
        <w:t xml:space="preserve"> </w:t>
      </w:r>
      <w:r>
        <w:rPr>
          <w:i/>
          <w:iCs/>
        </w:rPr>
        <w:t xml:space="preserve">Checklist example:</w:t>
      </w:r>
      <w:r>
        <w:t xml:space="preserve"> </w:t>
      </w:r>
      <w:r>
        <w:rPr>
          <w:i/>
          <w:iCs/>
        </w:rPr>
        <w:t xml:space="preserve">“Process in place to monitor and apply updates or upgrades to AI tools (Optional).”</w:t>
      </w:r>
      <w:r>
        <w:t xml:space="preserve"> </w:t>
      </w:r>
      <w:r>
        <w:t xml:space="preserve">(Optional if you rely on vendor updates implicitly, but if critical, could be Important).</w:t>
      </w:r>
    </w:p>
    <w:p>
      <w:pPr>
        <w:pStyle w:val="FirstParagraph"/>
      </w:pPr>
      <w:r>
        <w:t xml:space="preserve">In essence,</w:t>
      </w:r>
      <w:r>
        <w:t xml:space="preserve"> </w:t>
      </w:r>
      <w:r>
        <w:rPr>
          <w:b/>
          <w:bCs/>
        </w:rPr>
        <w:t xml:space="preserve">AI Tools readiness</w:t>
      </w:r>
      <w:r>
        <w:t xml:space="preserve"> </w:t>
      </w:r>
      <w:r>
        <w:t xml:space="preserve">is about having the right AI toolset chosen and integrated, and ensuring you know how to use those tools effectively and safely. This domain turns the focus on the</w:t>
      </w:r>
      <w:r>
        <w:t xml:space="preserve"> </w:t>
      </w:r>
      <w:r>
        <w:rPr>
          <w:b/>
          <w:bCs/>
        </w:rPr>
        <w:t xml:space="preserve">AI itself as a “product”</w:t>
      </w:r>
      <w:r>
        <w:t xml:space="preserve"> </w:t>
      </w:r>
      <w:r>
        <w:t xml:space="preserve">that needs configuration, rather than on your data or infrastructure.</w:t>
      </w:r>
    </w:p>
    <w:bookmarkEnd w:id="62"/>
    <w:bookmarkStart w:id="64" w:name="infrastructure-readiness"/>
    <w:p>
      <w:pPr>
        <w:pStyle w:val="Heading4"/>
      </w:pPr>
      <w:r>
        <w:t xml:space="preserve">2.3 Infrastructure Readiness</w:t>
      </w:r>
    </w:p>
    <w:p>
      <w:pPr>
        <w:pStyle w:val="FirstParagraph"/>
      </w:pPr>
      <w:r>
        <w:t xml:space="preserve">Infrastructure readiness covers the IT systems, architecture, and development environment needed to operationalize AI in your workflow or product. It ensures that the introduction of AI doesn’t break your systems or create vulnerabilities, and that it fits into your existing tech stack:</w:t>
      </w:r>
    </w:p>
    <w:p>
      <w:pPr>
        <w:numPr>
          <w:ilvl w:val="0"/>
          <w:numId w:val="1006"/>
        </w:numPr>
      </w:pPr>
      <w:r>
        <w:rPr>
          <w:b/>
          <w:bCs/>
        </w:rPr>
        <w:t xml:space="preserve">Environment and Platform for AI:</w:t>
      </w:r>
      <w:r>
        <w:t xml:space="preserve"> </w:t>
      </w:r>
      <w:r>
        <w:t xml:space="preserve">Decide where the AI-related processes will run. For example, if you are a CPA firm without a lot of IT, you might run AI queries from users’ desktops or via cloud services. If you are integrating into a web application (for a software product), you might run AI calls on your backend servers or as microservices. Ensure the environment (cloud tenant, on-prem server, etc.) is set up and allowed to communicate with the AI services.</w:t>
      </w:r>
      <w:r>
        <w:t xml:space="preserve"> </w:t>
      </w:r>
      <w:r>
        <w:rPr>
          <w:i/>
          <w:iCs/>
        </w:rPr>
        <w:t xml:space="preserve">Checklist example:</w:t>
      </w:r>
      <w:r>
        <w:t xml:space="preserve"> </w:t>
      </w:r>
      <w:r>
        <w:rPr>
          <w:i/>
          <w:iCs/>
        </w:rPr>
        <w:t xml:space="preserve">“Designated environment (cloud or on-prem) for running AI workloads is configured and tested (Important).”</w:t>
      </w:r>
      <w:r>
        <w:t xml:space="preserve">. If using cloud functions or a server, verify it can handle the data volume (uploading documents to an OCR service, etc.).</w:t>
      </w:r>
    </w:p>
    <w:p>
      <w:pPr>
        <w:numPr>
          <w:ilvl w:val="0"/>
          <w:numId w:val="1006"/>
        </w:numPr>
      </w:pPr>
      <w:r>
        <w:rPr>
          <w:b/>
          <w:bCs/>
        </w:rPr>
        <w:t xml:space="preserve">Connectivity and API Management:</w:t>
      </w:r>
      <w:r>
        <w:t xml:space="preserve"> </w:t>
      </w:r>
      <w:r>
        <w:t xml:space="preserve">If multiple systems are involved (say your tax software, a document management system, and an AI service), design and implement the integration points. For instance, when a user uploads a document in your app, an event triggers an OCR AI call; when an AI returns suggestions, they appear in the UI. This might involve message queues, webhooks, or just direct API calls within your code. Also manage API usage – set up quotas or monitoring so you know how many requests you’re making (to control cost and avoid hitting limits).</w:t>
      </w:r>
      <w:r>
        <w:t xml:space="preserve"> </w:t>
      </w:r>
      <w:r>
        <w:rPr>
          <w:i/>
          <w:iCs/>
        </w:rPr>
        <w:t xml:space="preserve">Checklist example:</w:t>
      </w:r>
      <w:r>
        <w:t xml:space="preserve"> </w:t>
      </w:r>
      <w:r>
        <w:rPr>
          <w:i/>
          <w:iCs/>
        </w:rPr>
        <w:t xml:space="preserve">“Integration between tax software and AI services implemented (e.g., API calls or middleware) with error handling and rate limiting (Critical).”</w:t>
      </w:r>
      <w:r>
        <w:t xml:space="preserve">.</w:t>
      </w:r>
    </w:p>
    <w:p>
      <w:pPr>
        <w:numPr>
          <w:ilvl w:val="0"/>
          <w:numId w:val="1006"/>
        </w:numPr>
      </w:pPr>
      <w:r>
        <w:rPr>
          <w:b/>
          <w:bCs/>
        </w:rPr>
        <w:t xml:space="preserve">Security of Infrastructure:</w:t>
      </w:r>
      <w:r>
        <w:t xml:space="preserve"> </w:t>
      </w:r>
      <w:r>
        <w:t xml:space="preserve">(This overlaps with security domain, but here focus on infra config.) Ensure any new components (like an AI microservice) follow your network security rules. For example, if deploying code that calls an external API, ensure your firewall or proxy allows that domain but still protects other data. Use HTTPS/TLS for all calls (most APIs require it by default)</w:t>
      </w:r>
      <w:hyperlink r:id="rId63">
        <w:r>
          <w:rPr>
            <w:rStyle w:val="Hyperlink"/>
          </w:rPr>
          <w:t xml:space="preserve">[40]</w:t>
        </w:r>
      </w:hyperlink>
      <w:r>
        <w:t xml:space="preserve">. If you set up a database or cache to store AI results, secure it (auth, encryption at rest).</w:t>
      </w:r>
      <w:r>
        <w:t xml:space="preserve"> </w:t>
      </w:r>
      <w:r>
        <w:rPr>
          <w:i/>
          <w:iCs/>
        </w:rPr>
        <w:t xml:space="preserve">Checklist example:</w:t>
      </w:r>
      <w:r>
        <w:t xml:space="preserve"> </w:t>
      </w:r>
      <w:r>
        <w:rPr>
          <w:i/>
          <w:iCs/>
        </w:rPr>
        <w:t xml:space="preserve">“Network connectivity for AI integrations is restricted to required endpoints and uses encryption in transit (Critical).”</w:t>
      </w:r>
      <w:r>
        <w:t xml:space="preserve">. Also isolate these processes if needed – e.g., an OCR service might run in a container that doesn’t have access to other client data except what you feed it.</w:t>
      </w:r>
    </w:p>
    <w:p>
      <w:pPr>
        <w:numPr>
          <w:ilvl w:val="0"/>
          <w:numId w:val="1006"/>
        </w:numPr>
      </w:pPr>
      <w:r>
        <w:rPr>
          <w:b/>
          <w:bCs/>
        </w:rPr>
        <w:t xml:space="preserve">Development and Deployment Pipelines:</w:t>
      </w:r>
      <w:r>
        <w:t xml:space="preserve"> </w:t>
      </w:r>
      <w:r>
        <w:t xml:space="preserve">For software developers, incorporate the AI features into your normal dev cycle. That means source-controlling any scripts or prompt templates, writing unit/integration tests if possible (e.g., a test that the AI returns a result for a sample query and that your code handles it). If using CI/CD, include the AI components (maybe mock external calls in tests to not hit API each time).</w:t>
      </w:r>
      <w:r>
        <w:t xml:space="preserve"> </w:t>
      </w:r>
      <w:r>
        <w:rPr>
          <w:i/>
          <w:iCs/>
        </w:rPr>
        <w:t xml:space="preserve">Checklist example:</w:t>
      </w:r>
      <w:r>
        <w:t xml:space="preserve"> </w:t>
      </w:r>
      <w:r>
        <w:rPr>
          <w:i/>
          <w:iCs/>
        </w:rPr>
        <w:t xml:space="preserve">“Code and configuration for AI integrations are in version control and part of CI/CD deployment (Important).”</w:t>
      </w:r>
      <w:r>
        <w:t xml:space="preserve">. Automation ensures that your AI features deploy consistently across staging/production.</w:t>
      </w:r>
    </w:p>
    <w:p>
      <w:pPr>
        <w:numPr>
          <w:ilvl w:val="0"/>
          <w:numId w:val="1006"/>
        </w:numPr>
      </w:pPr>
      <w:r>
        <w:rPr>
          <w:b/>
          <w:bCs/>
        </w:rPr>
        <w:t xml:space="preserve">Performance and Scalability:</w:t>
      </w:r>
      <w:r>
        <w:t xml:space="preserve"> </w:t>
      </w:r>
      <w:r>
        <w:t xml:space="preserve">Consider the performance impact. AI calls can be slower than normal code execution (a GPT-4 call might take a few seconds or more). If your use case is interactive (user waiting on an answer), you may need loading indicators or async processing. If batch (like reviewing 100 returns overnight), ensure you can parallelize or have enough throughput (maybe use an AI with batch processing if available). Prepare infrastructure to handle peak loads (like the crunch time before filing deadlines – you don’t want the AI service to become a bottleneck).</w:t>
      </w:r>
      <w:r>
        <w:t xml:space="preserve"> </w:t>
      </w:r>
      <w:r>
        <w:rPr>
          <w:i/>
          <w:iCs/>
        </w:rPr>
        <w:t xml:space="preserve">Checklist example:</w:t>
      </w:r>
      <w:r>
        <w:t xml:space="preserve"> </w:t>
      </w:r>
      <w:r>
        <w:rPr>
          <w:i/>
          <w:iCs/>
        </w:rPr>
        <w:t xml:space="preserve">“System is designed to handle AI response latency and throughput (e.g., async tasks, queueing) (Important).”</w:t>
      </w:r>
      <w:r>
        <w:t xml:space="preserve">. Possibly have fallbacks: if the AI is down or slow, your app should not crash – maybe it warns “AI feature temporarily unavailable, please proceed manually.”</w:t>
      </w:r>
    </w:p>
    <w:p>
      <w:pPr>
        <w:numPr>
          <w:ilvl w:val="0"/>
          <w:numId w:val="1006"/>
        </w:numPr>
      </w:pPr>
      <w:r>
        <w:rPr>
          <w:b/>
          <w:bCs/>
        </w:rPr>
        <w:t xml:space="preserve">Logging and Monitoring in Infrastructure:</w:t>
      </w:r>
      <w:r>
        <w:t xml:space="preserve"> </w:t>
      </w:r>
      <w:r>
        <w:t xml:space="preserve">As you add AI calls, extend your monitoring. Log when AI requests are made (not necessarily the full data if sensitive, but at least that a request happened and whether it succeeded). Monitor for errors in the integration (failed API calls, timeouts) and have alerting in place. This is important to maintain reliability – e.g., if the OCR service stops working, you want to know so you can fix it or revert to manual process.</w:t>
      </w:r>
      <w:r>
        <w:t xml:space="preserve"> </w:t>
      </w:r>
      <w:r>
        <w:rPr>
          <w:i/>
          <w:iCs/>
        </w:rPr>
        <w:t xml:space="preserve">Checklist example:</w:t>
      </w:r>
      <w:r>
        <w:t xml:space="preserve"> </w:t>
      </w:r>
      <w:r>
        <w:rPr>
          <w:i/>
          <w:iCs/>
        </w:rPr>
        <w:t xml:space="preserve">“Monitoring and alerts set up for AI integration failures or performance issues (Important).”</w:t>
      </w:r>
      <w:r>
        <w:t xml:space="preserve">.</w:t>
      </w:r>
    </w:p>
    <w:p>
      <w:pPr>
        <w:pStyle w:val="FirstParagraph"/>
      </w:pPr>
      <w:r>
        <w:t xml:space="preserve">Overall, infrastructure readiness means your IT backbone can</w:t>
      </w:r>
      <w:r>
        <w:t xml:space="preserve"> </w:t>
      </w:r>
      <w:r>
        <w:rPr>
          <w:b/>
          <w:bCs/>
        </w:rPr>
        <w:t xml:space="preserve">support the AI features smoothly and securely</w:t>
      </w:r>
      <w:r>
        <w:t xml:space="preserve">. Many early AI experiments fail not because the AI can’t do the task, but because integration wasn’t thought through (files can’t be easily passed, or the system times out, etc.). By addressing these, you ensure AI actually delivers value in practice.</w:t>
      </w:r>
    </w:p>
    <w:bookmarkEnd w:id="64"/>
    <w:bookmarkStart w:id="69" w:name="security-governance-readiness"/>
    <w:p>
      <w:pPr>
        <w:pStyle w:val="Heading4"/>
      </w:pPr>
      <w:r>
        <w:t xml:space="preserve">2.4 Security &amp; Governance Readiness</w:t>
      </w:r>
    </w:p>
    <w:p>
      <w:pPr>
        <w:pStyle w:val="FirstParagraph"/>
      </w:pPr>
      <w:r>
        <w:t xml:space="preserve">Security and governance are critical when introducing AI, given the sensitivity of tax data and the need to remain compliant with laws and professional standards. This domain overlaps with everything (data, tools, infra) but focuses on policies, controls, and oversight mechanisms:</w:t>
      </w:r>
    </w:p>
    <w:p>
      <w:pPr>
        <w:numPr>
          <w:ilvl w:val="0"/>
          <w:numId w:val="1007"/>
        </w:numPr>
      </w:pPr>
      <w:r>
        <w:rPr>
          <w:b/>
          <w:bCs/>
        </w:rPr>
        <w:t xml:space="preserve">Data Security (Encryption &amp; Storage):</w:t>
      </w:r>
      <w:r>
        <w:t xml:space="preserve"> </w:t>
      </w:r>
      <w:r>
        <w:t xml:space="preserve">All the best practices for data security still apply and should be reaffirmed. Ensure</w:t>
      </w:r>
      <w:r>
        <w:t xml:space="preserve"> </w:t>
      </w:r>
      <w:r>
        <w:rPr>
          <w:b/>
          <w:bCs/>
        </w:rPr>
        <w:t xml:space="preserve">encryption in transit</w:t>
      </w:r>
      <w:r>
        <w:t xml:space="preserve"> </w:t>
      </w:r>
      <w:r>
        <w:t xml:space="preserve">for any data going to/from AI services (TLS 1.2+ for API calls)</w:t>
      </w:r>
      <w:hyperlink r:id="rId65">
        <w:r>
          <w:rPr>
            <w:rStyle w:val="Hyperlink"/>
          </w:rPr>
          <w:t xml:space="preserve">[41]</w:t>
        </w:r>
      </w:hyperlink>
      <w:r>
        <w:t xml:space="preserve">. Use</w:t>
      </w:r>
      <w:r>
        <w:t xml:space="preserve"> </w:t>
      </w:r>
      <w:r>
        <w:rPr>
          <w:b/>
          <w:bCs/>
        </w:rPr>
        <w:t xml:space="preserve">encryption at rest</w:t>
      </w:r>
      <w:r>
        <w:t xml:space="preserve"> </w:t>
      </w:r>
      <w:r>
        <w:t xml:space="preserve">for storing client data and AI outputs on your side (disk encryption, database encryption)</w:t>
      </w:r>
      <w:hyperlink r:id="rId66">
        <w:r>
          <w:rPr>
            <w:rStyle w:val="Hyperlink"/>
          </w:rPr>
          <w:t xml:space="preserve">[42]</w:t>
        </w:r>
      </w:hyperlink>
      <w:r>
        <w:t xml:space="preserve">. If you’re caching AI results (say you store an AI-generated memo draft), treat it as client data and secure it accordingly.</w:t>
      </w:r>
      <w:r>
        <w:t xml:space="preserve"> </w:t>
      </w:r>
      <w:r>
        <w:rPr>
          <w:i/>
          <w:iCs/>
        </w:rPr>
        <w:t xml:space="preserve">Checklist example:</w:t>
      </w:r>
      <w:r>
        <w:t xml:space="preserve"> </w:t>
      </w:r>
      <w:r>
        <w:rPr>
          <w:i/>
          <w:iCs/>
        </w:rPr>
        <w:t xml:space="preserve">“Client data used in AI processes is encrypted at rest and in transit (Critical).”</w:t>
      </w:r>
      <w:r>
        <w:t xml:space="preserve">. Verify that any third-party AI tool you use also has strong security – e.g., OpenAI claims not to train on your data if you use their business API and turn data sharing off, and data is encrypted on their end; get documentation of that for your records.</w:t>
      </w:r>
    </w:p>
    <w:p>
      <w:pPr>
        <w:numPr>
          <w:ilvl w:val="0"/>
          <w:numId w:val="1007"/>
        </w:numPr>
      </w:pPr>
      <w:r>
        <w:rPr>
          <w:b/>
          <w:bCs/>
        </w:rPr>
        <w:t xml:space="preserve">Access Controls and Identity Management:</w:t>
      </w:r>
      <w:r>
        <w:t xml:space="preserve"> </w:t>
      </w:r>
      <w:r>
        <w:t xml:space="preserve">Implement</w:t>
      </w:r>
      <w:r>
        <w:t xml:space="preserve"> </w:t>
      </w:r>
      <w:r>
        <w:rPr>
          <w:b/>
          <w:bCs/>
        </w:rPr>
        <w:t xml:space="preserve">least privilege</w:t>
      </w:r>
      <w:r>
        <w:t xml:space="preserve"> </w:t>
      </w:r>
      <w:r>
        <w:t xml:space="preserve">for AI-related systems. Only authorized team members or services should be able to invoke AI processes with client data. For instance, if you have an internal tool that staff use to query an AI, ensure it requires login and that each staff sees only their clients’ data. If an AI process runs on a server, use a service identity with limited access (it shouldn’t have carte blanche access to all files, only to the specific data it needs). Audit your roles: who can input data to AI and who can view AI outputs? Align this with your overall practice management.</w:t>
      </w:r>
      <w:r>
        <w:t xml:space="preserve"> </w:t>
      </w:r>
      <w:r>
        <w:rPr>
          <w:i/>
          <w:iCs/>
        </w:rPr>
        <w:t xml:space="preserve">Checklist example:</w:t>
      </w:r>
      <w:r>
        <w:t xml:space="preserve"> </w:t>
      </w:r>
      <w:r>
        <w:rPr>
          <w:i/>
          <w:iCs/>
        </w:rPr>
        <w:t xml:space="preserve">“Role-based access control extends to AI tools (e.g., only managers can run full client analysis reports) and all AI actions are authenticated (Critical).”</w:t>
      </w:r>
      <w:r>
        <w:t xml:space="preserve">. Also, consider</w:t>
      </w:r>
      <w:r>
        <w:t xml:space="preserve"> </w:t>
      </w:r>
      <w:r>
        <w:rPr>
          <w:b/>
          <w:bCs/>
        </w:rPr>
        <w:t xml:space="preserve">logging access</w:t>
      </w:r>
      <w:r>
        <w:t xml:space="preserve">: maintain logs of who initiated an AI operation on which client data and when, similar to an access log, since this is part of an audit trail (if something goes wrong or a client asks how their data was used).</w:t>
      </w:r>
    </w:p>
    <w:p>
      <w:pPr>
        <w:numPr>
          <w:ilvl w:val="0"/>
          <w:numId w:val="1007"/>
        </w:numPr>
      </w:pPr>
      <w:r>
        <w:rPr>
          <w:b/>
          <w:bCs/>
        </w:rPr>
        <w:t xml:space="preserve">Confidentiality and Regulatory Compliance:</w:t>
      </w:r>
      <w:r>
        <w:t xml:space="preserve"> </w:t>
      </w:r>
      <w:r>
        <w:t xml:space="preserve">Establish clear guidelines to comply with regulations like IRS Circular 230, IRC §7216, and professional standards. For example, Reg. 7216 requires client consent in many cases to disclose tax return information to third parties for purposes other than preparing the return. If you plan to use a third-party AI service in the prep process, this arguably falls under using a tool for prep (which can be okay as an auxiliary, but if the data is stored or used by that service beyond the immediate query, you might need consent). Many firms choose to include a clause in engagement letters like “We may use anonymized client information with third-party AI software to assist in your tax preparation. We will ensure confidentiality is maintained.” Consider whether you want explicit client consent. The</w:t>
      </w:r>
      <w:r>
        <w:t xml:space="preserve"> </w:t>
      </w:r>
      <w:r>
        <w:rPr>
          <w:b/>
          <w:bCs/>
        </w:rPr>
        <w:t xml:space="preserve">Journal of Accountancy</w:t>
      </w:r>
      <w:r>
        <w:t xml:space="preserve"> </w:t>
      </w:r>
      <w:r>
        <w:t xml:space="preserve">suggests that being transparent can build trust</w:t>
      </w:r>
      <w:hyperlink r:id="rId67">
        <w:r>
          <w:rPr>
            <w:rStyle w:val="Hyperlink"/>
          </w:rPr>
          <w:t xml:space="preserve">[43]</w:t>
        </w:r>
      </w:hyperlink>
      <w:r>
        <w:t xml:space="preserve">.</w:t>
      </w:r>
      <w:r>
        <w:t xml:space="preserve"> </w:t>
      </w:r>
      <w:r>
        <w:rPr>
          <w:i/>
          <w:iCs/>
        </w:rPr>
        <w:t xml:space="preserve">Checklist example:</w:t>
      </w:r>
      <w:r>
        <w:t xml:space="preserve"> </w:t>
      </w:r>
      <w:r>
        <w:rPr>
          <w:i/>
          <w:iCs/>
        </w:rPr>
        <w:t xml:space="preserve">“Client engagement letters updated to disclose any use of AI tools in service delivery, as appropriate (Optional/Recommended).”</w:t>
      </w:r>
      <w:r>
        <w:t xml:space="preserve">. At minimum internally, document that you have evaluated 7216 and determined how you use AI is compliant (or get consents). Also ensure compliance with AICPA’s</w:t>
      </w:r>
      <w:r>
        <w:t xml:space="preserve"> </w:t>
      </w:r>
      <w:r>
        <w:rPr>
          <w:b/>
          <w:bCs/>
        </w:rPr>
        <w:t xml:space="preserve">SSTS (Statements on Standards for Tax Services)</w:t>
      </w:r>
      <w:r>
        <w:t xml:space="preserve"> </w:t>
      </w:r>
      <w:r>
        <w:t xml:space="preserve">– for instance, SSTS No.1 says you must exercise reasonable care with using tools</w:t>
      </w:r>
      <w:hyperlink r:id="rId68">
        <w:r>
          <w:rPr>
            <w:rStyle w:val="Hyperlink"/>
          </w:rPr>
          <w:t xml:space="preserve">[44]</w:t>
        </w:r>
      </w:hyperlink>
      <w:r>
        <w:t xml:space="preserve">, SSTS 1.4.3 specifically says the CPA retains responsibility when using any tool (software, AI, etc.)</w:t>
      </w:r>
      <w:hyperlink r:id="rId35">
        <w:r>
          <w:rPr>
            <w:rStyle w:val="Hyperlink"/>
          </w:rPr>
          <w:t xml:space="preserve">[14]</w:t>
        </w:r>
      </w:hyperlink>
      <w:r>
        <w:t xml:space="preserve">. So a governance item is</w:t>
      </w:r>
      <w:r>
        <w:t xml:space="preserve"> </w:t>
      </w:r>
      <w:r>
        <w:rPr>
          <w:i/>
          <w:iCs/>
        </w:rPr>
        <w:t xml:space="preserve">“Firm policy states that AI outputs are advisory only and must be reviewed – practitioner remains responsible for all final conclusions (Critical).”</w:t>
      </w:r>
      <w:r>
        <w:t xml:space="preserve"> </w:t>
      </w:r>
      <w:r>
        <w:t xml:space="preserve">This directly addresses the due diligence requirement.</w:t>
      </w:r>
    </w:p>
    <w:p>
      <w:pPr>
        <w:numPr>
          <w:ilvl w:val="0"/>
          <w:numId w:val="1007"/>
        </w:numPr>
      </w:pPr>
      <w:r>
        <w:rPr>
          <w:b/>
          <w:bCs/>
        </w:rPr>
        <w:t xml:space="preserve">Human Oversight and Review Process:</w:t>
      </w:r>
      <w:r>
        <w:t xml:space="preserve"> </w:t>
      </w:r>
      <w:r>
        <w:t xml:space="preserve">Perhaps the most important governance aspect is ensuring AI does not operate unchecked. Put in place a</w:t>
      </w:r>
      <w:r>
        <w:t xml:space="preserve"> </w:t>
      </w:r>
      <w:r>
        <w:rPr>
          <w:b/>
          <w:bCs/>
        </w:rPr>
        <w:t xml:space="preserve">human-in-the-loop</w:t>
      </w:r>
      <w:r>
        <w:t xml:space="preserve"> </w:t>
      </w:r>
      <w:r>
        <w:t xml:space="preserve">at critical points. For example, if AI drafts an explanation letter, a human must review and approve it before it goes out. If an AI suggests a tax position, a licensed tax professional must verify it with primary sources. Document these required review steps as policy. Only 43% of practitioners are comfortable with AI giving tax advice without their oversight</w:t>
      </w:r>
      <w:hyperlink r:id="rId28">
        <w:r>
          <w:rPr>
            <w:rStyle w:val="Hyperlink"/>
          </w:rPr>
          <w:t xml:space="preserve">[8]</w:t>
        </w:r>
      </w:hyperlink>
      <w:hyperlink r:id="rId29">
        <w:r>
          <w:rPr>
            <w:rStyle w:val="Hyperlink"/>
          </w:rPr>
          <w:t xml:space="preserve">[9]</w:t>
        </w:r>
      </w:hyperlink>
      <w:r>
        <w:t xml:space="preserve"> </w:t>
      </w:r>
      <w:r>
        <w:t xml:space="preserve">– and rightly so. The pack’s stance is that AI should</w:t>
      </w:r>
      <w:r>
        <w:t xml:space="preserve"> </w:t>
      </w:r>
      <w:r>
        <w:rPr>
          <w:i/>
          <w:iCs/>
        </w:rPr>
        <w:t xml:space="preserve">complement, not replace</w:t>
      </w:r>
      <w:r>
        <w:t xml:space="preserve"> </w:t>
      </w:r>
      <w:r>
        <w:t xml:space="preserve">human expertise</w:t>
      </w:r>
      <w:hyperlink r:id="rId39">
        <w:r>
          <w:rPr>
            <w:rStyle w:val="Hyperlink"/>
          </w:rPr>
          <w:t xml:space="preserve">[18]</w:t>
        </w:r>
      </w:hyperlink>
      <w:r>
        <w:t xml:space="preserve">.</w:t>
      </w:r>
      <w:r>
        <w:t xml:space="preserve"> </w:t>
      </w:r>
      <w:r>
        <w:rPr>
          <w:i/>
          <w:iCs/>
        </w:rPr>
        <w:t xml:space="preserve">Checklist example:</w:t>
      </w:r>
      <w:r>
        <w:t xml:space="preserve"> </w:t>
      </w:r>
      <w:r>
        <w:rPr>
          <w:i/>
          <w:iCs/>
        </w:rPr>
        <w:t xml:space="preserve">“All AI-generated content (research answers, memos, return changes) is reviewed by a qualified tax professional prior to client use or filing (Critical).”</w:t>
      </w:r>
      <w:r>
        <w:t xml:space="preserve">. You can also assign responsibility: e.g., “Reviewing AI outputs” could be part of a senior accountant’s role on each engagement. This ties into quality control systems akin to what firms do normally (reviewer/partner sign-off) – integrate AI into that: maybe create a checklist for reviewers specifically to check AI-influenced sections more carefully.</w:t>
      </w:r>
    </w:p>
    <w:p>
      <w:pPr>
        <w:numPr>
          <w:ilvl w:val="0"/>
          <w:numId w:val="1007"/>
        </w:numPr>
      </w:pPr>
      <w:r>
        <w:rPr>
          <w:b/>
          <w:bCs/>
        </w:rPr>
        <w:t xml:space="preserve">Logging and Audit Trails:</w:t>
      </w:r>
      <w:r>
        <w:t xml:space="preserve"> </w:t>
      </w:r>
      <w:r>
        <w:t xml:space="preserve">Keep records of AI usage and outputs, in case of future questions or disputes. For instance, if AI was used to determine an amount, have a note “AI tool suggested X, human verified with IRC §__.” If an AI yields a particular analysis, save that output (with date/time) to the workpapers. This way, you have an audit trail showing you exercised due diligence – you didn’t just accept AI blindly, you documented how it was used. Also, should an AI mistake come up later, you can review what it said and why.</w:t>
      </w:r>
      <w:r>
        <w:t xml:space="preserve"> </w:t>
      </w:r>
      <w:r>
        <w:rPr>
          <w:i/>
          <w:iCs/>
        </w:rPr>
        <w:t xml:space="preserve">Checklist example:</w:t>
      </w:r>
      <w:r>
        <w:t xml:space="preserve"> </w:t>
      </w:r>
      <w:r>
        <w:rPr>
          <w:i/>
          <w:iCs/>
        </w:rPr>
        <w:t xml:space="preserve">“Maintain a log or workpaper documentation of AI contributions to each engagement (Important).”</w:t>
      </w:r>
      <w:r>
        <w:t xml:space="preserve"> </w:t>
      </w:r>
      <w:r>
        <w:t xml:space="preserve">(This might note the query and summary of answer or incorporate the AI output itself if it’s not too voluminous, with sensitive info handled properly).</w:t>
      </w:r>
    </w:p>
    <w:p>
      <w:pPr>
        <w:numPr>
          <w:ilvl w:val="0"/>
          <w:numId w:val="1007"/>
        </w:numPr>
      </w:pPr>
      <w:r>
        <w:rPr>
          <w:b/>
          <w:bCs/>
        </w:rPr>
        <w:t xml:space="preserve">Ethical Use and Bias Monitoring:</w:t>
      </w:r>
      <w:r>
        <w:t xml:space="preserve"> </w:t>
      </w:r>
      <w:r>
        <w:t xml:space="preserve">Ensure the AI is not introducing bias or unethical recommendations. For example, if an AI tool were to consistently understate tax liabilities by “optimistic” interpretations, that’s a risk. Or it might flag certain returns for audit risk in a way that inadvertently profiles clients. Establish that you will monitor the outcomes for any systematic issues. This is a bit forward-looking, but part of AI governance.</w:t>
      </w:r>
      <w:r>
        <w:t xml:space="preserve"> </w:t>
      </w:r>
      <w:r>
        <w:rPr>
          <w:i/>
          <w:iCs/>
        </w:rPr>
        <w:t xml:space="preserve">Checklist example:</w:t>
      </w:r>
      <w:r>
        <w:t xml:space="preserve"> </w:t>
      </w:r>
      <w:r>
        <w:rPr>
          <w:i/>
          <w:iCs/>
        </w:rPr>
        <w:t xml:space="preserve">“Periodically review AI-generated outputs for consistency, potential bias, or aggressive positions (Optional).”</w:t>
      </w:r>
      <w:r>
        <w:t xml:space="preserve">.</w:t>
      </w:r>
    </w:p>
    <w:p>
      <w:pPr>
        <w:numPr>
          <w:ilvl w:val="0"/>
          <w:numId w:val="1007"/>
        </w:numPr>
      </w:pPr>
      <w:r>
        <w:rPr>
          <w:b/>
          <w:bCs/>
        </w:rPr>
        <w:t xml:space="preserve">Incident Response Plan:</w:t>
      </w:r>
      <w:r>
        <w:t xml:space="preserve"> </w:t>
      </w:r>
      <w:r>
        <w:t xml:space="preserve">What if something goes wrong – e.g., a data leak via an AI service or the AI gives a disastrously wrong suggestion that was acted on? Incorporate AI-related scenarios into your incident response. For data, know how you’d contain and notify if needed (if an AI vendor had a breach, etc.). For advice errors, have a plan (like how to correct filings, communicate with client, etc.).</w:t>
      </w:r>
      <w:r>
        <w:t xml:space="preserve"> </w:t>
      </w:r>
      <w:r>
        <w:rPr>
          <w:i/>
          <w:iCs/>
        </w:rPr>
        <w:t xml:space="preserve">Checklist example:</w:t>
      </w:r>
      <w:r>
        <w:t xml:space="preserve"> </w:t>
      </w:r>
      <w:r>
        <w:rPr>
          <w:i/>
          <w:iCs/>
        </w:rPr>
        <w:t xml:space="preserve">“Incident response plan updated to include AI tool failures or data incidents (Optional).”</w:t>
      </w:r>
      <w:r>
        <w:t xml:space="preserve">.</w:t>
      </w:r>
    </w:p>
    <w:p>
      <w:pPr>
        <w:pStyle w:val="FirstParagraph"/>
      </w:pPr>
      <w:r>
        <w:t xml:space="preserve">Security &amp; governance readiness is ultimately about</w:t>
      </w:r>
      <w:r>
        <w:t xml:space="preserve"> </w:t>
      </w:r>
      <w:r>
        <w:rPr>
          <w:b/>
          <w:bCs/>
        </w:rPr>
        <w:t xml:space="preserve">maintaining trust and compliance</w:t>
      </w:r>
      <w:r>
        <w:t xml:space="preserve"> </w:t>
      </w:r>
      <w:r>
        <w:t xml:space="preserve">while using AI. Clients trust you with sensitive info; regulators trust you to uphold standards. This domain ensures that adopting AI doesn’t compromise those obligations. By having strong policies and controls, you can confidently use AI as a competitive advantage (e.g., faster service) without creating new liabilities.</w:t>
      </w:r>
    </w:p>
    <w:bookmarkEnd w:id="69"/>
    <w:bookmarkStart w:id="70" w:name="documentation-process-readiness"/>
    <w:p>
      <w:pPr>
        <w:pStyle w:val="Heading4"/>
      </w:pPr>
      <w:r>
        <w:t xml:space="preserve">2.5 Documentation &amp; Process Readiness</w:t>
      </w:r>
    </w:p>
    <w:p>
      <w:pPr>
        <w:pStyle w:val="FirstParagraph"/>
      </w:pPr>
      <w:r>
        <w:t xml:space="preserve">The final domain covers the documentation, training, and process adjustments needed to embed AI into your practice in a sustainable, repeatable way:</w:t>
      </w:r>
    </w:p>
    <w:p>
      <w:pPr>
        <w:numPr>
          <w:ilvl w:val="0"/>
          <w:numId w:val="1008"/>
        </w:numPr>
      </w:pPr>
      <w:r>
        <w:rPr>
          <w:b/>
          <w:bCs/>
        </w:rPr>
        <w:t xml:space="preserve">Internal Documentation:</w:t>
      </w:r>
      <w:r>
        <w:t xml:space="preserve"> </w:t>
      </w:r>
      <w:r>
        <w:t xml:space="preserve">Prepare or update documentation to reflect new AI-integrated processes. This includes</w:t>
      </w:r>
      <w:r>
        <w:t xml:space="preserve"> </w:t>
      </w:r>
      <w:r>
        <w:rPr>
          <w:b/>
          <w:bCs/>
        </w:rPr>
        <w:t xml:space="preserve">workflow diagrams</w:t>
      </w:r>
      <w:r>
        <w:t xml:space="preserve"> </w:t>
      </w:r>
      <w:r>
        <w:t xml:space="preserve">(how does a tax return flow now with AI steps included?),</w:t>
      </w:r>
      <w:r>
        <w:t xml:space="preserve"> </w:t>
      </w:r>
      <w:r>
        <w:rPr>
          <w:b/>
          <w:bCs/>
        </w:rPr>
        <w:t xml:space="preserve">architecture diagrams</w:t>
      </w:r>
      <w:r>
        <w:t xml:space="preserve"> </w:t>
      </w:r>
      <w:r>
        <w:t xml:space="preserve">(for tech implementations), and written procedures. If you maintain a policies and procedures manual or a “Tax practice governance binder,” add sections on AI usage. For instance, document the step in your tax preparation checklist where OCR is run and data is verified, or how a draft letter from AI is reviewed. Visual aids like a flowchart showing, say, “Client documents -&gt; OCR -&gt; populate software -&gt; preparer reviews flagged items” can be very helpful for team understanding.</w:t>
      </w:r>
      <w:r>
        <w:t xml:space="preserve"> </w:t>
      </w:r>
      <w:r>
        <w:rPr>
          <w:i/>
          <w:iCs/>
        </w:rPr>
        <w:t xml:space="preserve">Checklist example:</w:t>
      </w:r>
      <w:r>
        <w:t xml:space="preserve"> </w:t>
      </w:r>
      <w:r>
        <w:rPr>
          <w:i/>
          <w:iCs/>
        </w:rPr>
        <w:t xml:space="preserve">“Updated workflow diagrams and procedure docs reflecting AI augmentation (Important).”</w:t>
      </w:r>
      <w:r>
        <w:t xml:space="preserve"> </w:t>
      </w:r>
      <w:r>
        <w:t xml:space="preserve">and</w:t>
      </w:r>
      <w:r>
        <w:t xml:space="preserve"> </w:t>
      </w:r>
      <w:r>
        <w:rPr>
          <w:i/>
          <w:iCs/>
        </w:rPr>
        <w:t xml:space="preserve">“An ‘AI in Tax Prep’ policy document or section is created, covering usage guidelines, example scenarios, and review requirements (Critical).”</w:t>
      </w:r>
      <w:r>
        <w:t xml:space="preserve">. This ensures everyone is on the same page and new hires can be onboarded to these augmented workflows.</w:t>
      </w:r>
    </w:p>
    <w:p>
      <w:pPr>
        <w:numPr>
          <w:ilvl w:val="0"/>
          <w:numId w:val="1008"/>
        </w:numPr>
      </w:pPr>
      <w:r>
        <w:rPr>
          <w:b/>
          <w:bCs/>
        </w:rPr>
        <w:t xml:space="preserve">Knowledge Base and Playbooks:</w:t>
      </w:r>
      <w:r>
        <w:t xml:space="preserve"> </w:t>
      </w:r>
      <w:r>
        <w:t xml:space="preserve">In addition to formal SOPs, it’s useful to have less formal knowledge resources, like an</w:t>
      </w:r>
      <w:r>
        <w:t xml:space="preserve"> </w:t>
      </w:r>
      <w:r>
        <w:rPr>
          <w:b/>
          <w:bCs/>
        </w:rPr>
        <w:t xml:space="preserve">AI usage FAQ or tips sheet</w:t>
      </w:r>
      <w:r>
        <w:t xml:space="preserve"> </w:t>
      </w:r>
      <w:r>
        <w:t xml:space="preserve">for staff. For example, compile a list of effective prompts they can try, or common issues and how to solve them (e.g., “If the AI response seems off, try asking it to provide the authoritative source or break down the calculation.”). The pack’s AI Copilot playbook will provide many such examples which you can adapt. Storing these in an internal wiki or knowledge base is beneficial.</w:t>
      </w:r>
      <w:r>
        <w:t xml:space="preserve"> </w:t>
      </w:r>
      <w:r>
        <w:rPr>
          <w:i/>
          <w:iCs/>
        </w:rPr>
        <w:t xml:space="preserve">Checklist example:</w:t>
      </w:r>
      <w:r>
        <w:t xml:space="preserve"> </w:t>
      </w:r>
      <w:r>
        <w:rPr>
          <w:i/>
          <w:iCs/>
        </w:rPr>
        <w:t xml:space="preserve">“Maintain an internal knowledge base of approved AI prompts, best practices, and troubleshooting tips (Important).”</w:t>
      </w:r>
      <w:r>
        <w:t xml:space="preserve">.</w:t>
      </w:r>
    </w:p>
    <w:p>
      <w:pPr>
        <w:numPr>
          <w:ilvl w:val="0"/>
          <w:numId w:val="1008"/>
        </w:numPr>
      </w:pPr>
      <w:r>
        <w:rPr>
          <w:b/>
          <w:bCs/>
        </w:rPr>
        <w:t xml:space="preserve">Training and Skills Development:</w:t>
      </w:r>
      <w:r>
        <w:t xml:space="preserve"> </w:t>
      </w:r>
      <w:r>
        <w:t xml:space="preserve">Ensure that the team is trained to use the new tools. This might involve live training sessions, recorded demos, or required reading. Topics should include how to access the AI tools, how to formulate queries, how to interpret AI output (e.g., recognizing when the AI is unsure – perhaps it uses phrases like “I am not certain but…” which could be a red flag requiring further research), and importantly, how to apply professional skepticism. Also train on the policies: what not to do (e.g., entering client SSNs into ChatGPT is a no-no, etc.). Ideally, do a trial run or simulation: have staff practice with the AI on a fake client to build comfort.</w:t>
      </w:r>
      <w:r>
        <w:t xml:space="preserve"> </w:t>
      </w:r>
      <w:r>
        <w:rPr>
          <w:i/>
          <w:iCs/>
        </w:rPr>
        <w:t xml:space="preserve">Checklist example:</w:t>
      </w:r>
      <w:r>
        <w:t xml:space="preserve"> </w:t>
      </w:r>
      <w:r>
        <w:rPr>
          <w:i/>
          <w:iCs/>
        </w:rPr>
        <w:t xml:space="preserve">“Staff have received training on AI tools and protocols (e.g., via workshop or documented guide) (Critical).”</w:t>
      </w:r>
      <w:r>
        <w:t xml:space="preserve">. It’s often said that adopting AI is 10% tech, 90% people – getting your team on board and skilled is key.</w:t>
      </w:r>
    </w:p>
    <w:p>
      <w:pPr>
        <w:numPr>
          <w:ilvl w:val="0"/>
          <w:numId w:val="1008"/>
        </w:numPr>
      </w:pPr>
      <w:r>
        <w:rPr>
          <w:b/>
          <w:bCs/>
        </w:rPr>
        <w:t xml:space="preserve">Change Management and Buy-In:</w:t>
      </w:r>
      <w:r>
        <w:t xml:space="preserve"> </w:t>
      </w:r>
      <w:r>
        <w:t xml:space="preserve">Document the strategic plan for rolling out AI, and get leadership buy-in. Perhaps create an “AI implementation taskforce” or designate a champion (maybe a tech-savvy senior preparer or IT lead). Document meeting notes, progress reports, etc., as you go – this is part of change management process documentation. It might go beyond the scope of pack documents, but it’s a readiness factor: an organization needs a clear plan on who is responsible for what in this transition.</w:t>
      </w:r>
      <w:r>
        <w:t xml:space="preserve"> </w:t>
      </w:r>
      <w:r>
        <w:rPr>
          <w:i/>
          <w:iCs/>
        </w:rPr>
        <w:t xml:space="preserve">Checklist example:</w:t>
      </w:r>
      <w:r>
        <w:t xml:space="preserve"> </w:t>
      </w:r>
      <w:r>
        <w:rPr>
          <w:i/>
          <w:iCs/>
        </w:rPr>
        <w:t xml:space="preserve">“AI adoption initiative has an assigned owner/champion and a documented change management plan (Important).”</w:t>
      </w:r>
      <w:r>
        <w:t xml:space="preserve">.</w:t>
      </w:r>
    </w:p>
    <w:p>
      <w:pPr>
        <w:numPr>
          <w:ilvl w:val="0"/>
          <w:numId w:val="1008"/>
        </w:numPr>
      </w:pPr>
      <w:r>
        <w:rPr>
          <w:b/>
          <w:bCs/>
        </w:rPr>
        <w:t xml:space="preserve">External Documentation (Client-Facing):</w:t>
      </w:r>
      <w:r>
        <w:t xml:space="preserve"> </w:t>
      </w:r>
      <w:r>
        <w:t xml:space="preserve">This could include updates to your website or client communications about how you use technology. Some firms may want to advertise it (“We use advanced AI tools to double-check every return for maximum accuracy!”) – if so, ensure any claims are accurate and not misleading. Or as mentioned, engagement letters might need an update. These are documents too, albeit client-facing ones.</w:t>
      </w:r>
      <w:r>
        <w:t xml:space="preserve"> </w:t>
      </w:r>
      <w:r>
        <w:rPr>
          <w:i/>
          <w:iCs/>
        </w:rPr>
        <w:t xml:space="preserve">Checklist example:</w:t>
      </w:r>
      <w:r>
        <w:t xml:space="preserve"> </w:t>
      </w:r>
      <w:r>
        <w:rPr>
          <w:i/>
          <w:iCs/>
        </w:rPr>
        <w:t xml:space="preserve">“Client communication templates updated to include AI-related info if needed (Optional).”</w:t>
      </w:r>
      <w:r>
        <w:t xml:space="preserve">. This is optional but can differentiate your service – however, be cautious to phrase it as AI aiding the professionals, not replacing them, to maintain confidence.</w:t>
      </w:r>
    </w:p>
    <w:p>
      <w:pPr>
        <w:numPr>
          <w:ilvl w:val="0"/>
          <w:numId w:val="1008"/>
        </w:numPr>
      </w:pPr>
      <w:r>
        <w:rPr>
          <w:b/>
          <w:bCs/>
        </w:rPr>
        <w:t xml:space="preserve">Continuous Improvement Process:</w:t>
      </w:r>
      <w:r>
        <w:t xml:space="preserve"> </w:t>
      </w:r>
      <w:r>
        <w:t xml:space="preserve">Document how you will gather feedback and continuously improve the AI integration. Perhaps schedule a 3-month and 6-month review of how things are going, and document outcomes. Are staff finding the AI saves time or is it causing friction anywhere? Keep a log of issues encountered and how they were solved (this can feed back into training docs). Essentially, have a documented loop for updating all of the above (data, tools, infra, security, docs) as you learn and as technology evolves.</w:t>
      </w:r>
      <w:r>
        <w:t xml:space="preserve"> </w:t>
      </w:r>
      <w:r>
        <w:rPr>
          <w:i/>
          <w:iCs/>
        </w:rPr>
        <w:t xml:space="preserve">Checklist example:</w:t>
      </w:r>
      <w:r>
        <w:t xml:space="preserve"> </w:t>
      </w:r>
      <w:r>
        <w:rPr>
          <w:i/>
          <w:iCs/>
        </w:rPr>
        <w:t xml:space="preserve">“Process documented for periodic review and updating of AI-related workflows (Optional).”</w:t>
      </w:r>
      <w:r>
        <w:t xml:space="preserve">.</w:t>
      </w:r>
    </w:p>
    <w:p>
      <w:pPr>
        <w:pStyle w:val="FirstParagraph"/>
      </w:pPr>
      <w:r>
        <w:t xml:space="preserve">By ensuring documentation and processes are up-to-date, you institutionalize the changes. This makes the AI adoption not just a one-time experiment, but a lasting capability of the firm that is consistently applied. It also helps in scenarios like regulatory inquiries or peer reviews – you can show documentation of your processes integrating AI consistent with professional standards, which demonstrates that you maintain quality control even with new tech.</w:t>
      </w:r>
    </w:p>
    <w:p>
      <w:r>
        <w:pict>
          <v:rect style="width:0;height:1.5pt" o:hralign="center" o:hrstd="t" o:hr="t"/>
        </w:pict>
      </w:r>
    </w:p>
    <w:p>
      <w:pPr>
        <w:pStyle w:val="FirstParagraph"/>
      </w:pPr>
      <w:r>
        <w:t xml:space="preserve">With these domains in mind, the pack provides detailed checklists and templates. In the next section, we present the</w:t>
      </w:r>
      <w:r>
        <w:t xml:space="preserve"> </w:t>
      </w:r>
      <w:r>
        <w:rPr>
          <w:b/>
          <w:bCs/>
        </w:rPr>
        <w:t xml:space="preserve">Readiness Checklist</w:t>
      </w:r>
      <w:r>
        <w:t xml:space="preserve"> </w:t>
      </w:r>
      <w:r>
        <w:t xml:space="preserve">with specific items under each domain, which serves as a practical assessment and to-do list for your AI adoption project.</w:t>
      </w:r>
    </w:p>
    <w:bookmarkEnd w:id="70"/>
    <w:bookmarkEnd w:id="71"/>
    <w:bookmarkEnd w:id="72"/>
    <w:bookmarkStart w:id="92" w:name="readiness-checklist-draft-overview"/>
    <w:p>
      <w:pPr>
        <w:pStyle w:val="Heading2"/>
      </w:pPr>
      <w:r>
        <w:t xml:space="preserve">Readiness Checklist (Draft Overview)</w:t>
      </w:r>
    </w:p>
    <w:p>
      <w:pPr>
        <w:pStyle w:val="FirstParagraph"/>
      </w:pPr>
      <w:r>
        <w:rPr>
          <w:i/>
          <w:iCs/>
        </w:rPr>
        <w:t xml:space="preserve">This checklist is a comprehensive list of actions or criteria to ensure readiness for AI integration in tax workflows, divided into the five domains: Data, AI Tools, Infrastructure, Security &amp; Governance, and Documentation/Process. Each item can be marked as Not Started, In Progress, or Complete. We also assign a priority – Critical (C), Important (I), or Optional (O) – to help prioritize, and these priorities are based on risk and impact (e.g., Critical means high risk if not done, or fundamental to success). Below is an overview with selected key items in each category.</w:t>
      </w:r>
    </w:p>
    <w:p>
      <w:pPr>
        <w:pStyle w:val="BodyText"/>
      </w:pPr>
      <w:r>
        <w:rPr>
          <w:b/>
          <w:bCs/>
        </w:rPr>
        <w:t xml:space="preserve">Note:</w:t>
      </w:r>
      <w:r>
        <w:t xml:space="preserve"> </w:t>
      </w:r>
      <w:r>
        <w:t xml:space="preserve">The checklist in the actual pack will have 80-120 items (roughly 15-25 per domain), including those listed here and more granular items. It is intended to be used as a working document by the team.</w:t>
      </w:r>
    </w:p>
    <w:bookmarkStart w:id="80" w:name="data-readiness-1"/>
    <w:p>
      <w:pPr>
        <w:pStyle w:val="Heading3"/>
      </w:pPr>
      <w:r>
        <w:t xml:space="preserve">1. Data Readiness</w:t>
      </w:r>
    </w:p>
    <w:p>
      <w:pPr>
        <w:pStyle w:val="FirstParagraph"/>
      </w:pPr>
      <w:r>
        <w:rPr>
          <w:b/>
          <w:bCs/>
        </w:rPr>
        <w:t xml:space="preserve">Structure and Quality:</w:t>
      </w:r>
      <w:r>
        <w:br/>
      </w:r>
      <w:r>
        <w:t xml:space="preserve">- [ ]</w:t>
      </w:r>
      <w:r>
        <w:t xml:space="preserve"> </w:t>
      </w:r>
      <w:r>
        <w:rPr>
          <w:b/>
          <w:bCs/>
        </w:rPr>
        <w:t xml:space="preserve">All client source data is digitized or scheduled for digitization (C)</w:t>
      </w:r>
      <w:r>
        <w:t xml:space="preserve"> </w:t>
      </w:r>
      <w:r>
        <w:t xml:space="preserve">– e.g., paper documents scanned to PDF, and digital files aggregated in a central repository.</w:t>
      </w:r>
      <w:r>
        <w:br/>
      </w:r>
      <w:r>
        <w:t xml:space="preserve">- [ ]</w:t>
      </w:r>
      <w:r>
        <w:t xml:space="preserve"> </w:t>
      </w:r>
      <w:r>
        <w:rPr>
          <w:b/>
          <w:bCs/>
        </w:rPr>
        <w:t xml:space="preserve">Documented schemas for key data (C)</w:t>
      </w:r>
      <w:r>
        <w:t xml:space="preserve"> </w:t>
      </w:r>
      <w:r>
        <w:t xml:space="preserve">– e.g., a standard format for organizing tax data from documents (names of fields, data types) is defined and used.</w:t>
      </w:r>
      <w:r>
        <w:br/>
      </w:r>
      <w:r>
        <w:t xml:space="preserve">- [ ]</w:t>
      </w:r>
      <w:r>
        <w:t xml:space="preserve"> </w:t>
      </w:r>
      <w:r>
        <w:rPr>
          <w:b/>
          <w:bCs/>
        </w:rPr>
        <w:t xml:space="preserve">Metadata is consistent across datasets (C)</w:t>
      </w:r>
      <w:r>
        <w:t xml:space="preserve"> </w:t>
      </w:r>
      <w:r>
        <w:t xml:space="preserve">– ensure every client file or data record has tags like tax year, document type, received date, etc., applied uniformly</w:t>
      </w:r>
      <w:hyperlink r:id="rId73">
        <w:r>
          <w:rPr>
            <w:rStyle w:val="Hyperlink"/>
          </w:rPr>
          <w:t xml:space="preserve">[45]</w:t>
        </w:r>
      </w:hyperlink>
      <w:r>
        <w:t xml:space="preserve">.</w:t>
      </w:r>
      <w:r>
        <w:br/>
      </w:r>
      <w:r>
        <w:t xml:space="preserve">- [ ]</w:t>
      </w:r>
      <w:r>
        <w:t xml:space="preserve"> </w:t>
      </w:r>
      <w:r>
        <w:rPr>
          <w:b/>
          <w:bCs/>
        </w:rPr>
        <w:t xml:space="preserve">Data provenance is tracked (C)</w:t>
      </w:r>
      <w:r>
        <w:t xml:space="preserve"> </w:t>
      </w:r>
      <w:r>
        <w:t xml:space="preserve">– one can trace each piece of data to its source (which document, when extracted)</w:t>
      </w:r>
      <w:hyperlink r:id="rId74">
        <w:r>
          <w:rPr>
            <w:rStyle w:val="Hyperlink"/>
          </w:rPr>
          <w:t xml:space="preserve">[46]</w:t>
        </w:r>
      </w:hyperlink>
      <w:r>
        <w:t xml:space="preserve">. This might be in a log or an annotation in the data itself.</w:t>
      </w:r>
      <w:r>
        <w:br/>
      </w:r>
      <w:r>
        <w:t xml:space="preserve">- [ ]</w:t>
      </w:r>
      <w:r>
        <w:t xml:space="preserve"> </w:t>
      </w:r>
      <w:r>
        <w:rPr>
          <w:b/>
          <w:bCs/>
        </w:rPr>
        <w:t xml:space="preserve">Dataset versioning in place for key data (I)</w:t>
      </w:r>
      <w:r>
        <w:t xml:space="preserve"> </w:t>
      </w:r>
      <w:r>
        <w:t xml:space="preserve">– if you update or correct data, maintain versions or changelogs (e.g., if you adjust extracted data after review, note the change)</w:t>
      </w:r>
      <w:hyperlink r:id="rId75">
        <w:r>
          <w:rPr>
            <w:rStyle w:val="Hyperlink"/>
          </w:rPr>
          <w:t xml:space="preserve">[47]</w:t>
        </w:r>
      </w:hyperlink>
      <w:r>
        <w:t xml:space="preserve">.</w:t>
      </w:r>
      <w:r>
        <w:br/>
      </w:r>
      <w:r>
        <w:t xml:space="preserve">- [ ]</w:t>
      </w:r>
      <w:r>
        <w:t xml:space="preserve"> </w:t>
      </w:r>
      <w:r>
        <w:rPr>
          <w:b/>
          <w:bCs/>
        </w:rPr>
        <w:t xml:space="preserve">Quality checks implemented (I)</w:t>
      </w:r>
      <w:r>
        <w:t xml:space="preserve"> </w:t>
      </w:r>
      <w:r>
        <w:t xml:space="preserve">– e.g., outlier detection or validation rules (like totals matching) are automated or at least a checklist for manual verification is in use.</w:t>
      </w:r>
    </w:p>
    <w:p>
      <w:pPr>
        <w:pStyle w:val="BodyText"/>
      </w:pPr>
      <w:r>
        <w:rPr>
          <w:b/>
          <w:bCs/>
        </w:rPr>
        <w:t xml:space="preserve">Formats and Interoperability:</w:t>
      </w:r>
      <w:r>
        <w:br/>
      </w:r>
      <w:r>
        <w:t xml:space="preserve">- [ ]</w:t>
      </w:r>
      <w:r>
        <w:t xml:space="preserve"> </w:t>
      </w:r>
      <w:r>
        <w:rPr>
          <w:b/>
          <w:bCs/>
        </w:rPr>
        <w:t xml:space="preserve">Data can be exported in common formats (C)</w:t>
      </w:r>
      <w:r>
        <w:t xml:space="preserve"> </w:t>
      </w:r>
      <w:r>
        <w:t xml:space="preserve">– such as CSV or JSON for financial data, to easily feed into AI tools</w:t>
      </w:r>
      <w:hyperlink r:id="rId76">
        <w:r>
          <w:rPr>
            <w:rStyle w:val="Hyperlink"/>
          </w:rPr>
          <w:t xml:space="preserve">[48]</w:t>
        </w:r>
      </w:hyperlink>
      <w:r>
        <w:t xml:space="preserve">. If using Parquet or other advanced formats for large data, that’s a plus but CSV/JSON likely suffice for most tax data volumes.</w:t>
      </w:r>
      <w:r>
        <w:br/>
      </w:r>
      <w:r>
        <w:t xml:space="preserve">- [ ]</w:t>
      </w:r>
      <w:r>
        <w:t xml:space="preserve"> </w:t>
      </w:r>
      <w:r>
        <w:rPr>
          <w:b/>
          <w:bCs/>
        </w:rPr>
        <w:t xml:space="preserve">OCR text extraction available (C)</w:t>
      </w:r>
      <w:r>
        <w:t xml:space="preserve"> </w:t>
      </w:r>
      <w:r>
        <w:t xml:space="preserve">– for scanned documents, the text is extractable (either via integrated OCR or external tool). This item is critical because without text, AI can’t analyze documents.</w:t>
      </w:r>
      <w:r>
        <w:br/>
      </w:r>
      <w:r>
        <w:t xml:space="preserve">- [ ]</w:t>
      </w:r>
      <w:r>
        <w:t xml:space="preserve"> </w:t>
      </w:r>
      <w:r>
        <w:rPr>
          <w:b/>
          <w:bCs/>
        </w:rPr>
        <w:t xml:space="preserve">Standard templates for input to AI (I)</w:t>
      </w:r>
      <w:r>
        <w:t xml:space="preserve"> </w:t>
      </w:r>
      <w:r>
        <w:t xml:space="preserve">– e.g., you have a defined way to structure data when sending to an AI. For instance, if asking AI to summarize a client situation, you feed it data in a consistent template: “Income: X, Deductions: Y, ...”. This makes AI results more predictable.</w:t>
      </w:r>
    </w:p>
    <w:p>
      <w:pPr>
        <w:pStyle w:val="BodyText"/>
      </w:pPr>
      <w:r>
        <w:rPr>
          <w:b/>
          <w:bCs/>
        </w:rPr>
        <w:t xml:space="preserve">Governance and Security (Data-specific):</w:t>
      </w:r>
      <w:r>
        <w:br/>
      </w:r>
      <w:r>
        <w:t xml:space="preserve">- [ ]</w:t>
      </w:r>
      <w:r>
        <w:t xml:space="preserve"> </w:t>
      </w:r>
      <w:r>
        <w:rPr>
          <w:b/>
          <w:bCs/>
        </w:rPr>
        <w:t xml:space="preserve">Data classification scheme is defined and applied (C)</w:t>
      </w:r>
      <w:r>
        <w:t xml:space="preserve"> </w:t>
      </w:r>
      <w:r>
        <w:t xml:space="preserve">– as discussed, you label data as Confidential, etc., and everyone is aware of handling rules</w:t>
      </w:r>
      <w:hyperlink r:id="rId58">
        <w:r>
          <w:rPr>
            <w:rStyle w:val="Hyperlink"/>
          </w:rPr>
          <w:t xml:space="preserve">[36]</w:t>
        </w:r>
      </w:hyperlink>
      <w:hyperlink r:id="rId77">
        <w:r>
          <w:rPr>
            <w:rStyle w:val="Hyperlink"/>
          </w:rPr>
          <w:t xml:space="preserve">[49]</w:t>
        </w:r>
      </w:hyperlink>
      <w:r>
        <w:t xml:space="preserve">.</w:t>
      </w:r>
      <w:r>
        <w:br/>
      </w:r>
      <w:r>
        <w:t xml:space="preserve">- [ ]</w:t>
      </w:r>
      <w:r>
        <w:t xml:space="preserve"> </w:t>
      </w:r>
      <w:r>
        <w:rPr>
          <w:b/>
          <w:bCs/>
        </w:rPr>
        <w:t xml:space="preserve">Access controls in place for data (C)</w:t>
      </w:r>
      <w:r>
        <w:t xml:space="preserve"> </w:t>
      </w:r>
      <w:r>
        <w:t xml:space="preserve">– proper folder permissions, database access rules such that only authorized personnel or processes can access raw client data</w:t>
      </w:r>
      <w:hyperlink r:id="rId78">
        <w:r>
          <w:rPr>
            <w:rStyle w:val="Hyperlink"/>
          </w:rPr>
          <w:t xml:space="preserve">[50]</w:t>
        </w:r>
      </w:hyperlink>
      <w:r>
        <w:t xml:space="preserve">.</w:t>
      </w:r>
      <w:r>
        <w:br/>
      </w:r>
      <w:r>
        <w:t xml:space="preserve">- [ ]</w:t>
      </w:r>
      <w:r>
        <w:t xml:space="preserve"> </w:t>
      </w:r>
      <w:r>
        <w:rPr>
          <w:b/>
          <w:bCs/>
        </w:rPr>
        <w:t xml:space="preserve">Data retention policy covers AI outputs (O)</w:t>
      </w:r>
      <w:r>
        <w:t xml:space="preserve"> </w:t>
      </w:r>
      <w:r>
        <w:t xml:space="preserve">– e.g., if you normally retain client workpapers for 7 years, decide if AI-generated files are part of workpapers and ensure they get retained and purged accordingly</w:t>
      </w:r>
      <w:hyperlink r:id="rId79">
        <w:r>
          <w:rPr>
            <w:rStyle w:val="Hyperlink"/>
          </w:rPr>
          <w:t xml:space="preserve">[51]</w:t>
        </w:r>
      </w:hyperlink>
      <w:r>
        <w:t xml:space="preserve">.</w:t>
      </w:r>
    </w:p>
    <w:p>
      <w:pPr>
        <w:pStyle w:val="BodyText"/>
      </w:pPr>
      <w:r>
        <w:rPr>
          <w:i/>
          <w:iCs/>
        </w:rPr>
        <w:t xml:space="preserve">(The full checklist includes further data items, such as ensuring data backups include the new AI-related data, and that test data (for AI trials) does not include live sensitive info unless protected.)</w:t>
      </w:r>
    </w:p>
    <w:bookmarkEnd w:id="80"/>
    <w:bookmarkStart w:id="82" w:name="ai-toolsmodels-readiness"/>
    <w:p>
      <w:pPr>
        <w:pStyle w:val="Heading3"/>
      </w:pPr>
      <w:r>
        <w:t xml:space="preserve">2. AI Tools/Models Readiness</w:t>
      </w:r>
    </w:p>
    <w:p>
      <w:pPr>
        <w:pStyle w:val="FirstParagraph"/>
      </w:pPr>
      <w:r>
        <w:rPr>
          <w:b/>
          <w:bCs/>
        </w:rPr>
        <w:t xml:space="preserve">Inventory and Documentation:</w:t>
      </w:r>
      <w:r>
        <w:br/>
      </w:r>
      <w:r>
        <w:t xml:space="preserve">- [ ]</w:t>
      </w:r>
      <w:r>
        <w:t xml:space="preserve"> </w:t>
      </w:r>
      <w:r>
        <w:rPr>
          <w:b/>
          <w:bCs/>
        </w:rPr>
        <w:t xml:space="preserve">AI tools inventory complete (C)</w:t>
      </w:r>
      <w:r>
        <w:t xml:space="preserve"> </w:t>
      </w:r>
      <w:r>
        <w:t xml:space="preserve">– a list of all AI tools, libraries, services in use (e.g., “OpenAI GPT-4 via API”, “Azure Form Recognizer OCR”, “GitHub Copilot for VSCode”) along with key info like version, provider, and how they’re used.</w:t>
      </w:r>
      <w:r>
        <w:br/>
      </w:r>
      <w:r>
        <w:t xml:space="preserve">- [ ]</w:t>
      </w:r>
      <w:r>
        <w:t xml:space="preserve"> </w:t>
      </w:r>
      <w:r>
        <w:rPr>
          <w:b/>
          <w:bCs/>
        </w:rPr>
        <w:t xml:space="preserve">Tool privacy and security reviewed (C)</w:t>
      </w:r>
      <w:r>
        <w:t xml:space="preserve"> </w:t>
      </w:r>
      <w:r>
        <w:t xml:space="preserve">– for each AI tool, documentation on how it handles your data is obtained and evaluated. For instance, confirm if the vendor uses submitted data for training or not, and ensure a</w:t>
      </w:r>
      <w:r>
        <w:t xml:space="preserve"> </w:t>
      </w:r>
      <w:r>
        <w:rPr>
          <w:b/>
          <w:bCs/>
        </w:rPr>
        <w:t xml:space="preserve">data processing agreement</w:t>
      </w:r>
      <w:r>
        <w:t xml:space="preserve"> </w:t>
      </w:r>
      <w:r>
        <w:t xml:space="preserve">if required. This is critical for compliance.</w:t>
      </w:r>
      <w:r>
        <w:br/>
      </w:r>
      <w:r>
        <w:t xml:space="preserve">- [ ]</w:t>
      </w:r>
      <w:r>
        <w:t xml:space="preserve"> </w:t>
      </w:r>
      <w:r>
        <w:rPr>
          <w:b/>
          <w:bCs/>
        </w:rPr>
        <w:t xml:space="preserve">Model limitations are documented (C)</w:t>
      </w:r>
      <w:r>
        <w:t xml:space="preserve"> </w:t>
      </w:r>
      <w:r>
        <w:t xml:space="preserve">– e.g., “GPT-4 cannot reliably cite sources past 2021 unless provided; Blue J Tax covers US and Canadian law only; OCR confidence might be low on handwritten docs,” etc., and users of the tool have this info accessible</w:t>
      </w:r>
      <w:hyperlink r:id="rId61">
        <w:r>
          <w:rPr>
            <w:rStyle w:val="Hyperlink"/>
          </w:rPr>
          <w:t xml:space="preserve">[38]</w:t>
        </w:r>
      </w:hyperlink>
      <w:hyperlink r:id="rId81">
        <w:r>
          <w:rPr>
            <w:rStyle w:val="Hyperlink"/>
          </w:rPr>
          <w:t xml:space="preserve">[52]</w:t>
        </w:r>
      </w:hyperlink>
      <w:r>
        <w:t xml:space="preserve">.</w:t>
      </w:r>
    </w:p>
    <w:p>
      <w:pPr>
        <w:pStyle w:val="BodyText"/>
      </w:pPr>
      <w:r>
        <w:rPr>
          <w:b/>
          <w:bCs/>
        </w:rPr>
        <w:t xml:space="preserve">Configuration and Integration:</w:t>
      </w:r>
      <w:r>
        <w:br/>
      </w:r>
      <w:r>
        <w:t xml:space="preserve">- [ ]</w:t>
      </w:r>
      <w:r>
        <w:t xml:space="preserve"> </w:t>
      </w:r>
      <w:r>
        <w:rPr>
          <w:b/>
          <w:bCs/>
        </w:rPr>
        <w:t xml:space="preserve">API/Integration keys secured (C)</w:t>
      </w:r>
      <w:r>
        <w:t xml:space="preserve"> </w:t>
      </w:r>
      <w:r>
        <w:t xml:space="preserve">– API keys or credentials for AI services are stored in a secrets manager or .env, not in source code</w:t>
      </w:r>
      <w:hyperlink r:id="rId26">
        <w:r>
          <w:rPr>
            <w:rStyle w:val="Hyperlink"/>
          </w:rPr>
          <w:t xml:space="preserve">[6]</w:t>
        </w:r>
      </w:hyperlink>
      <w:hyperlink r:id="rId60">
        <w:r>
          <w:rPr>
            <w:rStyle w:val="Hyperlink"/>
          </w:rPr>
          <w:t xml:space="preserve">[37]</w:t>
        </w:r>
      </w:hyperlink>
      <w:r>
        <w:t xml:space="preserve">.</w:t>
      </w:r>
      <w:r>
        <w:br/>
      </w:r>
      <w:r>
        <w:t xml:space="preserve">- [ ]</w:t>
      </w:r>
      <w:r>
        <w:t xml:space="preserve"> </w:t>
      </w:r>
      <w:r>
        <w:rPr>
          <w:b/>
          <w:bCs/>
        </w:rPr>
        <w:t xml:space="preserve">AI services integrated into workflow (I)</w:t>
      </w:r>
      <w:r>
        <w:t xml:space="preserve"> </w:t>
      </w:r>
      <w:r>
        <w:t xml:space="preserve">– connections are set up and tested (e.g., your tax software can call the OCR API and get a response successfully). If the integration requires middleware, that is in place.</w:t>
      </w:r>
      <w:r>
        <w:br/>
      </w:r>
      <w:r>
        <w:t xml:space="preserve">- [ ]</w:t>
      </w:r>
      <w:r>
        <w:t xml:space="preserve"> </w:t>
      </w:r>
      <w:r>
        <w:rPr>
          <w:b/>
          <w:bCs/>
        </w:rPr>
        <w:t xml:space="preserve">Fallback modes defined (I)</w:t>
      </w:r>
      <w:r>
        <w:t xml:space="preserve"> </w:t>
      </w:r>
      <w:r>
        <w:t xml:space="preserve">– if an AI service is unavailable, there is a procedure (manual process or alternate service) so work doesn’t grind to a halt. For example, if your automated OCR fails, staff know to manually enter data or try a backup service.</w:t>
      </w:r>
    </w:p>
    <w:p>
      <w:pPr>
        <w:pStyle w:val="BodyText"/>
      </w:pPr>
      <w:r>
        <w:rPr>
          <w:b/>
          <w:bCs/>
        </w:rPr>
        <w:t xml:space="preserve">Usage Guidelines and Prompts:</w:t>
      </w:r>
      <w:r>
        <w:br/>
      </w:r>
      <w:r>
        <w:t xml:space="preserve">- [ ]</w:t>
      </w:r>
      <w:r>
        <w:t xml:space="preserve"> </w:t>
      </w:r>
      <w:r>
        <w:rPr>
          <w:b/>
          <w:bCs/>
        </w:rPr>
        <w:t xml:space="preserve">Standard prompt templates created (C)</w:t>
      </w:r>
      <w:r>
        <w:t xml:space="preserve"> </w:t>
      </w:r>
      <w:r>
        <w:t xml:space="preserve">– as discussed, for each common query type. These might be stored in a document or even built into an interface (like a dropdown of prompt types in an internal tool).</w:t>
      </w:r>
      <w:r>
        <w:br/>
      </w:r>
      <w:r>
        <w:t xml:space="preserve">- [ ]</w:t>
      </w:r>
      <w:r>
        <w:t xml:space="preserve"> </w:t>
      </w:r>
      <w:r>
        <w:rPr>
          <w:b/>
          <w:bCs/>
        </w:rPr>
        <w:t xml:space="preserve">AI output validation procedures (C)</w:t>
      </w:r>
      <w:r>
        <w:t xml:space="preserve"> </w:t>
      </w:r>
      <w:r>
        <w:t xml:space="preserve">– for each tool, what validation is done? E.g., “If research answer provided by AI, the assigned staff must verify at least one primary source reference” or “If OCR extracts numbers, a second person compares a sample to the original.” This is part tool, part process but fits here as you tailor it per tool.</w:t>
      </w:r>
      <w:r>
        <w:br/>
      </w:r>
      <w:r>
        <w:t xml:space="preserve">- [ ]</w:t>
      </w:r>
      <w:r>
        <w:t xml:space="preserve"> </w:t>
      </w:r>
      <w:r>
        <w:rPr>
          <w:b/>
          <w:bCs/>
        </w:rPr>
        <w:t xml:space="preserve">No PII in prompts unless approved (C)</w:t>
      </w:r>
      <w:r>
        <w:t xml:space="preserve"> </w:t>
      </w:r>
      <w:r>
        <w:t xml:space="preserve">– a guideline likely documented that personally identifiable info should be removed from prompts to external AI. You might enforce this via code (masking before send) or via training. This is critical given privacy.</w:t>
      </w:r>
      <w:r>
        <w:br/>
      </w:r>
      <w:r>
        <w:t xml:space="preserve">- [ ]</w:t>
      </w:r>
      <w:r>
        <w:t xml:space="preserve"> </w:t>
      </w:r>
      <w:r>
        <w:rPr>
          <w:b/>
          <w:bCs/>
        </w:rPr>
        <w:t xml:space="preserve">Multi-factor verification for sensitive use (O)</w:t>
      </w:r>
      <w:r>
        <w:t xml:space="preserve"> </w:t>
      </w:r>
      <w:r>
        <w:t xml:space="preserve">– this is more advanced, but for example, before an AI sends data to an external service, perhaps a popup asks “Are you sure you want to send this information externally?” to remind the user. Optional but could be a safeguard.</w:t>
      </w:r>
    </w:p>
    <w:p>
      <w:pPr>
        <w:pStyle w:val="BodyText"/>
      </w:pPr>
      <w:r>
        <w:rPr>
          <w:b/>
          <w:bCs/>
        </w:rPr>
        <w:t xml:space="preserve">Testing and Monitoring:</w:t>
      </w:r>
      <w:r>
        <w:br/>
      </w:r>
      <w:r>
        <w:t xml:space="preserve">- [ ]</w:t>
      </w:r>
      <w:r>
        <w:t xml:space="preserve"> </w:t>
      </w:r>
      <w:r>
        <w:rPr>
          <w:b/>
          <w:bCs/>
        </w:rPr>
        <w:t xml:space="preserve">Initial accuracy tests passed (I)</w:t>
      </w:r>
      <w:r>
        <w:t xml:space="preserve"> </w:t>
      </w:r>
      <w:r>
        <w:t xml:space="preserve">– you ran some test scenarios and results were acceptable. If not, you addressed issues (like changed prompt or decided to upgrade model, etc.).</w:t>
      </w:r>
      <w:r>
        <w:br/>
      </w:r>
      <w:r>
        <w:t xml:space="preserve">- [ ]</w:t>
      </w:r>
      <w:r>
        <w:t xml:space="preserve"> </w:t>
      </w:r>
      <w:r>
        <w:rPr>
          <w:b/>
          <w:bCs/>
        </w:rPr>
        <w:t xml:space="preserve">Regular review of AI outputs in place (I)</w:t>
      </w:r>
      <w:r>
        <w:t xml:space="preserve"> </w:t>
      </w:r>
      <w:r>
        <w:t xml:space="preserve">– e.g., set a schedule or trigger that after the first 10 uses of the AI in real cases, the project leader will review outcomes to ensure it’s working as expected. And perhaps periodic reviews thereafter (like every quarter).</w:t>
      </w:r>
      <w:r>
        <w:br/>
      </w:r>
      <w:r>
        <w:t xml:space="preserve">- [ ]</w:t>
      </w:r>
      <w:r>
        <w:t xml:space="preserve"> </w:t>
      </w:r>
      <w:r>
        <w:rPr>
          <w:b/>
          <w:bCs/>
        </w:rPr>
        <w:t xml:space="preserve">Logging of AI queries (with anonymization) enabled (O)</w:t>
      </w:r>
      <w:r>
        <w:t xml:space="preserve"> </w:t>
      </w:r>
      <w:r>
        <w:t xml:space="preserve">– capturing prompts and responses in a secure log for later analysis. If feasible, this can help refine prompts and also serves as an audit. But it must be secure since even prompts might contain sensitive fragments.</w:t>
      </w:r>
    </w:p>
    <w:p>
      <w:pPr>
        <w:pStyle w:val="BodyText"/>
      </w:pPr>
      <w:r>
        <w:rPr>
          <w:i/>
          <w:iCs/>
        </w:rPr>
        <w:t xml:space="preserve">(The full checklist contains more items like fine-tuning considerations, model update processes, etc. For brevity, we highlight the most critical above.)</w:t>
      </w:r>
    </w:p>
    <w:bookmarkEnd w:id="82"/>
    <w:bookmarkStart w:id="84" w:name="infrastructure-readiness-1"/>
    <w:p>
      <w:pPr>
        <w:pStyle w:val="Heading3"/>
      </w:pPr>
      <w:r>
        <w:t xml:space="preserve">3. Infrastructure Readiness</w:t>
      </w:r>
    </w:p>
    <w:p>
      <w:pPr>
        <w:pStyle w:val="FirstParagraph"/>
      </w:pPr>
      <w:r>
        <w:rPr>
          <w:b/>
          <w:bCs/>
        </w:rPr>
        <w:t xml:space="preserve">Deployment and Environment:</w:t>
      </w:r>
      <w:r>
        <w:br/>
      </w:r>
      <w:r>
        <w:t xml:space="preserve">- [ ]</w:t>
      </w:r>
      <w:r>
        <w:t xml:space="preserve"> </w:t>
      </w:r>
      <w:r>
        <w:rPr>
          <w:b/>
          <w:bCs/>
        </w:rPr>
        <w:t xml:space="preserve">AI components containerized or segregated (C)</w:t>
      </w:r>
      <w:r>
        <w:t xml:space="preserve"> </w:t>
      </w:r>
      <w:r>
        <w:t xml:space="preserve">– If you have custom AI services or scripts, they are containerized (Docker, etc.) or run in a sandbox environment. This prevents AI processes from affecting other systems and eases deployment</w:t>
      </w:r>
      <w:hyperlink r:id="rId83">
        <w:r>
          <w:rPr>
            <w:rStyle w:val="Hyperlink"/>
          </w:rPr>
          <w:t xml:space="preserve">[53]</w:t>
        </w:r>
      </w:hyperlink>
      <w:r>
        <w:t xml:space="preserve">. For instance, an OCR microservice runs in a Docker container with only necessary libraries.</w:t>
      </w:r>
      <w:r>
        <w:br/>
      </w:r>
      <w:r>
        <w:t xml:space="preserve">- [ ]</w:t>
      </w:r>
      <w:r>
        <w:t xml:space="preserve"> </w:t>
      </w:r>
      <w:r>
        <w:rPr>
          <w:b/>
          <w:bCs/>
        </w:rPr>
        <w:t xml:space="preserve">Requisite hardware/resources in place (C)</w:t>
      </w:r>
      <w:r>
        <w:t xml:space="preserve"> </w:t>
      </w:r>
      <w:r>
        <w:t xml:space="preserve">– If using on-prem GPU for AI, it’s installed and configured; if using cloud, the account has necessary quotas (e.g., Azure OpenAI service limits) and budget allocated.</w:t>
      </w:r>
      <w:r>
        <w:br/>
      </w:r>
      <w:r>
        <w:t xml:space="preserve">- [ ]</w:t>
      </w:r>
      <w:r>
        <w:t xml:space="preserve"> </w:t>
      </w:r>
      <w:r>
        <w:rPr>
          <w:b/>
          <w:bCs/>
        </w:rPr>
        <w:t xml:space="preserve">Continuous integration/deployment covers AI (I)</w:t>
      </w:r>
      <w:r>
        <w:t xml:space="preserve"> </w:t>
      </w:r>
      <w:r>
        <w:t xml:space="preserve">– your CI pipeline builds and tests AI integration pieces just like the rest of the app. If you have infrastructure as code, AI services and permissions are included. For a non-software firm, this might translate to: you have documented how updates to AI tooling are handled (e.g., if a new version of an AI library needs installing, who does that and how).</w:t>
      </w:r>
    </w:p>
    <w:p>
      <w:pPr>
        <w:pStyle w:val="BodyText"/>
      </w:pPr>
      <w:r>
        <w:rPr>
          <w:b/>
          <w:bCs/>
        </w:rPr>
        <w:t xml:space="preserve">Integration and Workflow:</w:t>
      </w:r>
      <w:r>
        <w:br/>
      </w:r>
      <w:r>
        <w:t xml:space="preserve">- [ ]</w:t>
      </w:r>
      <w:r>
        <w:t xml:space="preserve"> </w:t>
      </w:r>
      <w:r>
        <w:rPr>
          <w:b/>
          <w:bCs/>
        </w:rPr>
        <w:t xml:space="preserve">Seamless workflow integration achieved (I)</w:t>
      </w:r>
      <w:r>
        <w:t xml:space="preserve"> </w:t>
      </w:r>
      <w:r>
        <w:t xml:space="preserve">– AI steps are embedded into the normal workflow tools. For example, within your practice management or tax prep software, there are buttons or triggers for “Analyze with AI” rather than having to go to a separate application and copy-paste. This might be an aspirational item (Important if doable, but sometimes initial phase might use separate tools). The idea is to reduce friction and errors from manual data transfer.</w:t>
      </w:r>
      <w:r>
        <w:br/>
      </w:r>
      <w:r>
        <w:t xml:space="preserve">- [ ]</w:t>
      </w:r>
      <w:r>
        <w:t xml:space="preserve"> </w:t>
      </w:r>
      <w:r>
        <w:rPr>
          <w:b/>
          <w:bCs/>
        </w:rPr>
        <w:t xml:space="preserve">Interoperability between systems (I)</w:t>
      </w:r>
      <w:r>
        <w:t xml:space="preserve"> </w:t>
      </w:r>
      <w:r>
        <w:t xml:space="preserve">– e.g., your DMS (Document Management System) is connected to the OCR tool such that uploading a file can automatically produce extracted data saved to a database. Or your tax prep software can import the JSON output of the AI analysis. Ensuring each piece can talk or data can move across in a known format is checked.</w:t>
      </w:r>
      <w:r>
        <w:br/>
      </w:r>
      <w:r>
        <w:t xml:space="preserve">- [ ]</w:t>
      </w:r>
      <w:r>
        <w:t xml:space="preserve"> </w:t>
      </w:r>
      <w:r>
        <w:rPr>
          <w:b/>
          <w:bCs/>
        </w:rPr>
        <w:t xml:space="preserve">User interface updated for AI outputs (I)</w:t>
      </w:r>
      <w:r>
        <w:t xml:space="preserve"> </w:t>
      </w:r>
      <w:r>
        <w:t xml:space="preserve">– If new data or suggestions come from AI, your interface (even if it’s just an Excel checklist or a PDF report for internal use) is modified to display them clearly. For example, a new tab “AI Review Notes” in your review checklist.</w:t>
      </w:r>
    </w:p>
    <w:p>
      <w:pPr>
        <w:pStyle w:val="BodyText"/>
      </w:pPr>
      <w:r>
        <w:rPr>
          <w:b/>
          <w:bCs/>
        </w:rPr>
        <w:t xml:space="preserve">Security &amp; Reliability:</w:t>
      </w:r>
      <w:r>
        <w:br/>
      </w:r>
      <w:r>
        <w:t xml:space="preserve">- [ ]</w:t>
      </w:r>
      <w:r>
        <w:t xml:space="preserve"> </w:t>
      </w:r>
      <w:r>
        <w:rPr>
          <w:b/>
          <w:bCs/>
        </w:rPr>
        <w:t xml:space="preserve">Secure network paths configured (C)</w:t>
      </w:r>
      <w:r>
        <w:t xml:space="preserve"> </w:t>
      </w:r>
      <w:r>
        <w:t xml:space="preserve">– as noted, only necessary endpoints open. E.g., server can call out to</w:t>
      </w:r>
      <w:r>
        <w:t xml:space="preserve"> </w:t>
      </w:r>
      <w:r>
        <w:rPr>
          <w:rStyle w:val="VerbatimChar"/>
        </w:rPr>
        <w:t xml:space="preserve">api.openai.com</w:t>
      </w:r>
      <w:r>
        <w:t xml:space="preserve"> </w:t>
      </w:r>
      <w:r>
        <w:t xml:space="preserve">but perhaps is blocked from general internet if not needed. In a corporate setting, you might have a proxy that whitelists that domain.</w:t>
      </w:r>
      <w:r>
        <w:br/>
      </w:r>
      <w:r>
        <w:t xml:space="preserve">- [ ]</w:t>
      </w:r>
      <w:r>
        <w:t xml:space="preserve"> </w:t>
      </w:r>
      <w:r>
        <w:rPr>
          <w:b/>
          <w:bCs/>
        </w:rPr>
        <w:t xml:space="preserve">Error handling and timeouts implemented (C)</w:t>
      </w:r>
      <w:r>
        <w:t xml:space="preserve"> </w:t>
      </w:r>
      <w:r>
        <w:t xml:space="preserve">– code that calls AI APIs has proper error catch (network issues, API errors) and will handle gracefully (retry limited times, or inform user to try later, etc.). Also set appropriate timeouts so a hung response doesn’t hang your whole app.</w:t>
      </w:r>
      <w:r>
        <w:br/>
      </w:r>
      <w:r>
        <w:t xml:space="preserve">- [ ]</w:t>
      </w:r>
      <w:r>
        <w:t xml:space="preserve"> </w:t>
      </w:r>
      <w:r>
        <w:rPr>
          <w:b/>
          <w:bCs/>
        </w:rPr>
        <w:t xml:space="preserve">Resource usage monitored (O)</w:t>
      </w:r>
      <w:r>
        <w:t xml:space="preserve"> </w:t>
      </w:r>
      <w:r>
        <w:t xml:space="preserve">– especially if running local models, ensure CPU/GPU usage is tracked to avoid it slowing other tasks. If using cloud, monitor API usage to catch runaway scripts (in case a bug causes a loop of calls, etc.).</w:t>
      </w:r>
    </w:p>
    <w:p>
      <w:pPr>
        <w:pStyle w:val="BodyText"/>
      </w:pPr>
      <w:r>
        <w:rPr>
          <w:b/>
          <w:bCs/>
        </w:rPr>
        <w:t xml:space="preserve">Scalability and Performance:</w:t>
      </w:r>
      <w:r>
        <w:br/>
      </w:r>
      <w:r>
        <w:t xml:space="preserve">- [ ]</w:t>
      </w:r>
      <w:r>
        <w:t xml:space="preserve"> </w:t>
      </w:r>
      <w:r>
        <w:rPr>
          <w:b/>
          <w:bCs/>
        </w:rPr>
        <w:t xml:space="preserve">System tested under load (I)</w:t>
      </w:r>
      <w:r>
        <w:t xml:space="preserve"> </w:t>
      </w:r>
      <w:r>
        <w:t xml:space="preserve">– Simulate multiple simultaneous AI requests (e.g., 5 users OCR different docs at same time near a deadline) to ensure performance is acceptable. If not, plan upgrades or concurrency limits.</w:t>
      </w:r>
      <w:r>
        <w:br/>
      </w:r>
      <w:r>
        <w:t xml:space="preserve">- [ ]</w:t>
      </w:r>
      <w:r>
        <w:t xml:space="preserve"> </w:t>
      </w:r>
      <w:r>
        <w:rPr>
          <w:b/>
          <w:bCs/>
        </w:rPr>
        <w:t xml:space="preserve">Asynchronous processing for long tasks (I)</w:t>
      </w:r>
      <w:r>
        <w:t xml:space="preserve"> </w:t>
      </w:r>
      <w:r>
        <w:t xml:space="preserve">– If an AI operation is lengthy (say analyzing a complex return might take 2 minutes), your system puts it in background job so the user can continue other work or gets notified when done. Check this is in place to avoid user interface freezing.</w:t>
      </w:r>
      <w:r>
        <w:br/>
      </w:r>
      <w:r>
        <w:t xml:space="preserve">- [ ]</w:t>
      </w:r>
      <w:r>
        <w:t xml:space="preserve"> </w:t>
      </w:r>
      <w:r>
        <w:rPr>
          <w:b/>
          <w:bCs/>
        </w:rPr>
        <w:t xml:space="preserve">Cost monitoring set (O)</w:t>
      </w:r>
      <w:r>
        <w:t xml:space="preserve"> </w:t>
      </w:r>
      <w:r>
        <w:t xml:space="preserve">– While not infrastructure per se, track usage costs of AI services. A spike in API calls could incur unexpected fees. Setting up alerts if spending exceeds X per week can be prudent.</w:t>
      </w:r>
    </w:p>
    <w:p>
      <w:pPr>
        <w:pStyle w:val="BodyText"/>
      </w:pPr>
      <w:r>
        <w:rPr>
          <w:i/>
          <w:iCs/>
        </w:rPr>
        <w:t xml:space="preserve">(Full checklist also includes items around compatibility with existing IT policies, documentation of the new infrastructure, etc.)</w:t>
      </w:r>
    </w:p>
    <w:bookmarkEnd w:id="84"/>
    <w:bookmarkStart w:id="87" w:name="security-governance-readiness-1"/>
    <w:p>
      <w:pPr>
        <w:pStyle w:val="Heading3"/>
      </w:pPr>
      <w:r>
        <w:t xml:space="preserve">4. Security &amp; Governance Readiness</w:t>
      </w:r>
    </w:p>
    <w:p>
      <w:pPr>
        <w:pStyle w:val="FirstParagraph"/>
      </w:pPr>
      <w:r>
        <w:rPr>
          <w:b/>
          <w:bCs/>
        </w:rPr>
        <w:t xml:space="preserve">Policy and Oversight:</w:t>
      </w:r>
      <w:r>
        <w:br/>
      </w:r>
      <w:r>
        <w:t xml:space="preserve">- [ ]</w:t>
      </w:r>
      <w:r>
        <w:t xml:space="preserve"> </w:t>
      </w:r>
      <w:r>
        <w:rPr>
          <w:b/>
          <w:bCs/>
        </w:rPr>
        <w:t xml:space="preserve">AI usage policy approved (C)</w:t>
      </w:r>
      <w:r>
        <w:t xml:space="preserve"> </w:t>
      </w:r>
      <w:r>
        <w:t xml:space="preserve">– A formal policy document exists, approved by firm leadership, that outlines how AI will be used in the firm, including permitted tools, types of tasks, data handling requirements, and the mandate of human review. All relevant staff have attested to reading it. This is crucial to set the tone and expectations.</w:t>
      </w:r>
      <w:r>
        <w:br/>
      </w:r>
      <w:r>
        <w:t xml:space="preserve">- [ ]</w:t>
      </w:r>
      <w:r>
        <w:t xml:space="preserve"> </w:t>
      </w:r>
      <w:r>
        <w:rPr>
          <w:b/>
          <w:bCs/>
        </w:rPr>
        <w:t xml:space="preserve">Compliance check against standards (C)</w:t>
      </w:r>
      <w:r>
        <w:t xml:space="preserve"> </w:t>
      </w:r>
      <w:r>
        <w:t xml:space="preserve">– Firm has reviewed relevant standards (Circular 230, AICPA Code, SSTS, state laws) and confirms the AI usage approach conforms. If any gray areas, those are noted and perhaps legal counsel consulted. For instance, confirming that using an AI tool is akin to using any software and doesn’t constitute an unauthorized disclosure under IRC 7216 because it’s within the realm of tax prep assistance – likely fine if properly safeguarded, but documented reasoning is good.</w:t>
      </w:r>
      <w:r>
        <w:br/>
      </w:r>
      <w:r>
        <w:t xml:space="preserve">- [ ]</w:t>
      </w:r>
      <w:r>
        <w:t xml:space="preserve"> </w:t>
      </w:r>
      <w:r>
        <w:rPr>
          <w:b/>
          <w:bCs/>
        </w:rPr>
        <w:t xml:space="preserve">Client consent obtained if needed (I)</w:t>
      </w:r>
      <w:r>
        <w:t xml:space="preserve"> </w:t>
      </w:r>
      <w:r>
        <w:t xml:space="preserve">– If the firm decides certain AI usage constitutes a third-party disclosure (or just as a transparency practice), they have added language to engagement letters or gotten explicit consents. If the firm deems it not necessary, maybe this item is N/A or Optional. But it’s listed to consider. (E.g., “We have obtained affirmative consent from clients for using external AI tools during preparation, as required by law (if applicable) (Important).”)</w:t>
      </w:r>
    </w:p>
    <w:p>
      <w:pPr>
        <w:pStyle w:val="BodyText"/>
      </w:pPr>
      <w:r>
        <w:rPr>
          <w:b/>
          <w:bCs/>
        </w:rPr>
        <w:t xml:space="preserve">Data Protection and Access:</w:t>
      </w:r>
      <w:r>
        <w:br/>
      </w:r>
      <w:r>
        <w:t xml:space="preserve">- [ ]</w:t>
      </w:r>
      <w:r>
        <w:t xml:space="preserve"> </w:t>
      </w:r>
      <w:r>
        <w:rPr>
          <w:b/>
          <w:bCs/>
        </w:rPr>
        <w:t xml:space="preserve">No client identifiers in external AI (C)</w:t>
      </w:r>
      <w:r>
        <w:t xml:space="preserve"> </w:t>
      </w:r>
      <w:r>
        <w:t xml:space="preserve">– A rule (enforced via code or policy) that names, SSNs, addresses, or any identifying details are not included when querying external AI. Instead, use generic substitutions. This significantly lowers the risk of an accidental breach.</w:t>
      </w:r>
      <w:r>
        <w:br/>
      </w:r>
      <w:r>
        <w:t xml:space="preserve">- [ ]</w:t>
      </w:r>
      <w:r>
        <w:t xml:space="preserve"> </w:t>
      </w:r>
      <w:r>
        <w:rPr>
          <w:b/>
          <w:bCs/>
        </w:rPr>
        <w:t xml:space="preserve">Data sharing with AI providers minimized (C)</w:t>
      </w:r>
      <w:r>
        <w:t xml:space="preserve"> </w:t>
      </w:r>
      <w:r>
        <w:t xml:space="preserve">– Only the necessary information is sent. For example, if asking about capital gains calculations, you might send just the numbers needed, not the entire client’s file. This is related to prompts but more general: you design integration such that extraneous data isn’t sent.</w:t>
      </w:r>
      <w:r>
        <w:br/>
      </w:r>
      <w:r>
        <w:t xml:space="preserve">- [ ]</w:t>
      </w:r>
      <w:r>
        <w:t xml:space="preserve"> </w:t>
      </w:r>
      <w:r>
        <w:rPr>
          <w:b/>
          <w:bCs/>
        </w:rPr>
        <w:t xml:space="preserve">Strict user access logging (I)</w:t>
      </w:r>
      <w:r>
        <w:t xml:space="preserve"> </w:t>
      </w:r>
      <w:r>
        <w:t xml:space="preserve">– Log which user utilized the AI function on which client data and when (as noted before). This should be secured (so not everyone can see it, but for audit/internal review).</w:t>
      </w:r>
    </w:p>
    <w:p>
      <w:pPr>
        <w:pStyle w:val="BodyText"/>
      </w:pPr>
      <w:r>
        <w:rPr>
          <w:b/>
          <w:bCs/>
        </w:rPr>
        <w:t xml:space="preserve">Review and Quality Control:</w:t>
      </w:r>
      <w:r>
        <w:br/>
      </w:r>
      <w:r>
        <w:t xml:space="preserve">- [ ]</w:t>
      </w:r>
      <w:r>
        <w:t xml:space="preserve"> </w:t>
      </w:r>
      <w:r>
        <w:rPr>
          <w:b/>
          <w:bCs/>
        </w:rPr>
        <w:t xml:space="preserve">Mandatory human review checkpoints (C)</w:t>
      </w:r>
      <w:r>
        <w:t xml:space="preserve"> </w:t>
      </w:r>
      <w:r>
        <w:t xml:space="preserve">– Key points where human sign-off is required are identified in the workflow. For instance, “AI-drafted communication must be reviewed by preparer and approved by manager before sending to client” or “AI-identified tax strategy must be vetted in a team meeting or by a second partner before implementation.” This essentially hardcodes that AI suggestions are suggestions, not final.</w:t>
      </w:r>
      <w:r>
        <w:br/>
      </w:r>
      <w:r>
        <w:t xml:space="preserve">- [ ]</w:t>
      </w:r>
      <w:r>
        <w:t xml:space="preserve"> </w:t>
      </w:r>
      <w:r>
        <w:rPr>
          <w:b/>
          <w:bCs/>
        </w:rPr>
        <w:t xml:space="preserve">Documented rationale for AI-influenced decisions (I)</w:t>
      </w:r>
      <w:r>
        <w:t xml:space="preserve"> </w:t>
      </w:r>
      <w:r>
        <w:t xml:space="preserve">– If an AI recommendation is taken (say it found a new deduction to claim), document that in workpapers (“Found via AI assistant, checked against IRC §___, will claim per client’s facts.”). This goes beyond checklist – it’s a practice to adopt.</w:t>
      </w:r>
      <w:r>
        <w:br/>
      </w:r>
      <w:r>
        <w:t xml:space="preserve">- [ ]</w:t>
      </w:r>
      <w:r>
        <w:t xml:space="preserve"> </w:t>
      </w:r>
      <w:r>
        <w:rPr>
          <w:b/>
          <w:bCs/>
        </w:rPr>
        <w:t xml:space="preserve">Ethical guidelines adhered (C)</w:t>
      </w:r>
      <w:r>
        <w:t xml:space="preserve"> </w:t>
      </w:r>
      <w:r>
        <w:t xml:space="preserve">– Ensure AI is not used to do anything unethical or illegal, obviously. For example, using AI to find “creative” loopholes that are clearly against the spirit of the law would violate professional ethics. The policy should state that AI will not be used to circumvent ethical responsibilities. This is more of an affirmation item.</w:t>
      </w:r>
    </w:p>
    <w:p>
      <w:pPr>
        <w:pStyle w:val="BodyText"/>
      </w:pPr>
      <w:r>
        <w:rPr>
          <w:b/>
          <w:bCs/>
        </w:rPr>
        <w:t xml:space="preserve">Incident Handling:</w:t>
      </w:r>
      <w:r>
        <w:br/>
      </w:r>
      <w:r>
        <w:t xml:space="preserve">- [ ]</w:t>
      </w:r>
      <w:r>
        <w:t xml:space="preserve"> </w:t>
      </w:r>
      <w:r>
        <w:rPr>
          <w:b/>
          <w:bCs/>
        </w:rPr>
        <w:t xml:space="preserve">Confidentiality breach plan updated (I)</w:t>
      </w:r>
      <w:r>
        <w:t xml:space="preserve"> </w:t>
      </w:r>
      <w:r>
        <w:t xml:space="preserve">– If a scenario occurs where sensitive info was exposed via an AI tool (maybe someone accidentally pasted a client’s name into ChatGPT public version), have a plan: likely similar to a data breach plan (assess, contain, notify if needed). Given the high sensitivity of tax data, this is important to think through.</w:t>
      </w:r>
      <w:r>
        <w:br/>
      </w:r>
      <w:r>
        <w:t xml:space="preserve">- [ ]</w:t>
      </w:r>
      <w:r>
        <w:t xml:space="preserve"> </w:t>
      </w:r>
      <w:r>
        <w:rPr>
          <w:b/>
          <w:bCs/>
        </w:rPr>
        <w:t xml:space="preserve">Erroneous AI output protocol (I)</w:t>
      </w:r>
      <w:r>
        <w:t xml:space="preserve"> </w:t>
      </w:r>
      <w:r>
        <w:t xml:space="preserve">– If AI leads to an error (e.g., a letter sent out with a mistake or a return filed with an AI-suggested number that was wrong), how to correct it. This might involve apologizing to client, filing an amended return, etc. Having a protocol reduces panic and ensures consistent handling.</w:t>
      </w:r>
    </w:p>
    <w:p>
      <w:pPr>
        <w:pStyle w:val="BodyText"/>
      </w:pPr>
      <w:r>
        <w:rPr>
          <w:b/>
          <w:bCs/>
        </w:rPr>
        <w:t xml:space="preserve">Alignment with Frameworks:</w:t>
      </w:r>
      <w:r>
        <w:t xml:space="preserve"> </w:t>
      </w:r>
      <w:r>
        <w:t xml:space="preserve">(Optional but good for comprehensiveness)</w:t>
      </w:r>
      <w:r>
        <w:br/>
      </w:r>
      <w:r>
        <w:t xml:space="preserve">- [ ]</w:t>
      </w:r>
      <w:r>
        <w:t xml:space="preserve"> </w:t>
      </w:r>
      <w:r>
        <w:rPr>
          <w:b/>
          <w:bCs/>
        </w:rPr>
        <w:t xml:space="preserve">NIST AI Risk Management Framework considered (O)</w:t>
      </w:r>
      <w:r>
        <w:t xml:space="preserve"> </w:t>
      </w:r>
      <w:r>
        <w:t xml:space="preserve">– If the firm is large or wants to be very forward, check alignment with principles like explainability, fairness, etc., from NIST AI RMF</w:t>
      </w:r>
      <w:hyperlink r:id="rId85">
        <w:r>
          <w:rPr>
            <w:rStyle w:val="Hyperlink"/>
          </w:rPr>
          <w:t xml:space="preserve">[54]</w:t>
        </w:r>
      </w:hyperlink>
      <w:hyperlink r:id="rId86">
        <w:r>
          <w:rPr>
            <w:rStyle w:val="Hyperlink"/>
          </w:rPr>
          <w:t xml:space="preserve">[55]</w:t>
        </w:r>
      </w:hyperlink>
      <w:r>
        <w:t xml:space="preserve">. For a tax firm, relevant pieces are mainly about transparency (document decisions) and risk mitigation (we did that with oversight). This is optional but can be a differentiator if marketing that you follow best practices.</w:t>
      </w:r>
    </w:p>
    <w:p>
      <w:pPr>
        <w:pStyle w:val="BodyText"/>
      </w:pPr>
      <w:r>
        <w:rPr>
          <w:i/>
          <w:iCs/>
        </w:rPr>
        <w:t xml:space="preserve">(The full list includes more granular items, e.g., ensuring non-disclosure agreements with any AI vendor, verifying cloud security certifications of vendors, etc.)</w:t>
      </w:r>
    </w:p>
    <w:bookmarkEnd w:id="87"/>
    <w:bookmarkStart w:id="91" w:name="documentation-process-readiness-1"/>
    <w:p>
      <w:pPr>
        <w:pStyle w:val="Heading3"/>
      </w:pPr>
      <w:r>
        <w:t xml:space="preserve">5. Documentation &amp; Process Readiness</w:t>
      </w:r>
    </w:p>
    <w:p>
      <w:pPr>
        <w:pStyle w:val="FirstParagraph"/>
      </w:pPr>
      <w:r>
        <w:rPr>
          <w:b/>
          <w:bCs/>
        </w:rPr>
        <w:t xml:space="preserve">Procedures and Manuals:</w:t>
      </w:r>
      <w:r>
        <w:br/>
      </w:r>
      <w:r>
        <w:t xml:space="preserve">- [ ]</w:t>
      </w:r>
      <w:r>
        <w:t xml:space="preserve"> </w:t>
      </w:r>
      <w:r>
        <w:rPr>
          <w:b/>
          <w:bCs/>
        </w:rPr>
        <w:t xml:space="preserve">Standard Operating Procedures (SOPs) updated (I)</w:t>
      </w:r>
      <w:r>
        <w:t xml:space="preserve"> </w:t>
      </w:r>
      <w:r>
        <w:t xml:space="preserve">– The firm’s SOPs for tax prep now include steps for using the AI tools. For instance, an SOP for “Preparing Individual Tax Return” might have a step after data entry: “Run AI consistency check script and review output; document any changes made as result.” This integration into SOP is important for consistency</w:t>
      </w:r>
      <w:hyperlink r:id="rId88">
        <w:r>
          <w:rPr>
            <w:rStyle w:val="Hyperlink"/>
          </w:rPr>
          <w:t xml:space="preserve">[56]</w:t>
        </w:r>
      </w:hyperlink>
      <w:r>
        <w:t xml:space="preserve">.</w:t>
      </w:r>
      <w:r>
        <w:br/>
      </w:r>
      <w:r>
        <w:t xml:space="preserve">- [ ]</w:t>
      </w:r>
      <w:r>
        <w:t xml:space="preserve"> </w:t>
      </w:r>
      <w:r>
        <w:rPr>
          <w:b/>
          <w:bCs/>
        </w:rPr>
        <w:t xml:space="preserve">AI Governance Binder in place (I)</w:t>
      </w:r>
      <w:r>
        <w:t xml:space="preserve"> </w:t>
      </w:r>
      <w:r>
        <w:t xml:space="preserve">– Create a section or binder (physical or digital) that compiles all AI-related documentation: the policy, technical docs, checklists, training materials, vendor docs, etc. This acts as a one-stop reference for any stakeholder (from staff to auditors). Genesis pack had a similar concept for governance binder</w:t>
      </w:r>
      <w:hyperlink r:id="rId89">
        <w:r>
          <w:rPr>
            <w:rStyle w:val="Hyperlink"/>
          </w:rPr>
          <w:t xml:space="preserve">[57]</w:t>
        </w:r>
      </w:hyperlink>
      <w:r>
        <w:t xml:space="preserve">.</w:t>
      </w:r>
      <w:r>
        <w:br/>
      </w:r>
      <w:r>
        <w:t xml:space="preserve">- [ ]</w:t>
      </w:r>
      <w:r>
        <w:t xml:space="preserve"> </w:t>
      </w:r>
      <w:r>
        <w:rPr>
          <w:b/>
          <w:bCs/>
        </w:rPr>
        <w:t xml:space="preserve">Internal "AI readiness" memo or statement (O)</w:t>
      </w:r>
      <w:r>
        <w:t xml:space="preserve"> </w:t>
      </w:r>
      <w:r>
        <w:t xml:space="preserve">– Consider drafting a brief statement of how the firm is leveraging AI responsibly, which can be used internally (or externally in marketing or as an appendix in proposals). Genesis had an internal readiness statement concept</w:t>
      </w:r>
      <w:hyperlink r:id="rId90">
        <w:r>
          <w:rPr>
            <w:rStyle w:val="Hyperlink"/>
          </w:rPr>
          <w:t xml:space="preserve">[58]</w:t>
        </w:r>
      </w:hyperlink>
      <w:r>
        <w:t xml:space="preserve">. For instance, a one-pager that management can use to affirm “Our firm is ready for an AI-augmented future: we have done X, Y, Z to ensure security and quality.” This is optional but useful for communicating the initiative’s completion.</w:t>
      </w:r>
    </w:p>
    <w:p>
      <w:pPr>
        <w:pStyle w:val="BodyText"/>
      </w:pPr>
      <w:r>
        <w:rPr>
          <w:b/>
          <w:bCs/>
        </w:rPr>
        <w:t xml:space="preserve">Team and Training:</w:t>
      </w:r>
      <w:r>
        <w:br/>
      </w:r>
      <w:r>
        <w:t xml:space="preserve">- [ ]</w:t>
      </w:r>
      <w:r>
        <w:t xml:space="preserve"> </w:t>
      </w:r>
      <w:r>
        <w:rPr>
          <w:b/>
          <w:bCs/>
        </w:rPr>
        <w:t xml:space="preserve">Training materials and sessions done (C)</w:t>
      </w:r>
      <w:r>
        <w:t xml:space="preserve"> </w:t>
      </w:r>
      <w:r>
        <w:t xml:space="preserve">– Evidence that all team members who will use the AI have been trained. Could be a slide deck, an attendance record of a workshop, and/or a training document distributed. Mark this complete when training is actually executed.</w:t>
      </w:r>
      <w:r>
        <w:br/>
      </w:r>
      <w:r>
        <w:t xml:space="preserve">- [ ]</w:t>
      </w:r>
      <w:r>
        <w:t xml:space="preserve"> </w:t>
      </w:r>
      <w:r>
        <w:rPr>
          <w:b/>
          <w:bCs/>
        </w:rPr>
        <w:t xml:space="preserve">Ongoing training plan (I)</w:t>
      </w:r>
      <w:r>
        <w:t xml:space="preserve"> </w:t>
      </w:r>
      <w:r>
        <w:t xml:space="preserve">– Plan for refresher training or training new hires on the AI process. Possibly integrate into new employee onboarding (“We have an AI assistant as part of our toolset, here’s how to use it and the rules around it”).</w:t>
      </w:r>
      <w:r>
        <w:br/>
      </w:r>
      <w:r>
        <w:t xml:space="preserve">- [ ]</w:t>
      </w:r>
      <w:r>
        <w:t xml:space="preserve"> </w:t>
      </w:r>
      <w:r>
        <w:rPr>
          <w:b/>
          <w:bCs/>
        </w:rPr>
        <w:t xml:space="preserve">Feedback loop for staff (I)</w:t>
      </w:r>
      <w:r>
        <w:t xml:space="preserve"> </w:t>
      </w:r>
      <w:r>
        <w:t xml:space="preserve">– Provide a channel (maybe a monthly meeting or an online survey) for staff to give feedback on the AI tools – what’s working, what issues they encountered, suggestions. Document this process (e.g., “monthly AI check-in meeting on calendar”). Ensuring user feedback will help refine processes continuously.</w:t>
      </w:r>
    </w:p>
    <w:p>
      <w:pPr>
        <w:pStyle w:val="BodyText"/>
      </w:pPr>
      <w:r>
        <w:rPr>
          <w:b/>
          <w:bCs/>
        </w:rPr>
        <w:t xml:space="preserve">Process Monitoring and Improvement:</w:t>
      </w:r>
      <w:r>
        <w:br/>
      </w:r>
      <w:r>
        <w:t xml:space="preserve">- [ ]</w:t>
      </w:r>
      <w:r>
        <w:t xml:space="preserve"> </w:t>
      </w:r>
      <w:r>
        <w:rPr>
          <w:b/>
          <w:bCs/>
        </w:rPr>
        <w:t xml:space="preserve">Metrics defined to measure AI impact (O)</w:t>
      </w:r>
      <w:r>
        <w:t xml:space="preserve"> </w:t>
      </w:r>
      <w:r>
        <w:t xml:space="preserve">– If possible, define some KPIs: e.g., time saved per return due to AI, reduction in review notes, etc., and track them. This is optional but can justify the ROI of the project. For example, if the AI cross-check reduced errors by X% compared to last year, that’s a win to record.</w:t>
      </w:r>
      <w:r>
        <w:br/>
      </w:r>
      <w:r>
        <w:t xml:space="preserve">- [ ]</w:t>
      </w:r>
      <w:r>
        <w:t xml:space="preserve"> </w:t>
      </w:r>
      <w:r>
        <w:rPr>
          <w:b/>
          <w:bCs/>
        </w:rPr>
        <w:t xml:space="preserve">Periodic review of AI policy and tech (I)</w:t>
      </w:r>
      <w:r>
        <w:t xml:space="preserve"> </w:t>
      </w:r>
      <w:r>
        <w:t xml:space="preserve">– Set a reminder (maybe annually or semi-annually) to review and update the AI policy and procedures in light of new developments (either new guidance from AICPA, new features from vendors, etc.). Mark complete once you’ve done the first review and have a plan for future ones.</w:t>
      </w:r>
    </w:p>
    <w:p>
      <w:pPr>
        <w:pStyle w:val="BodyText"/>
      </w:pPr>
      <w:r>
        <w:rPr>
          <w:b/>
          <w:bCs/>
        </w:rPr>
        <w:t xml:space="preserve">Client Communication (if applicable):</w:t>
      </w:r>
      <w:r>
        <w:br/>
      </w:r>
      <w:r>
        <w:t xml:space="preserve">- [ ]</w:t>
      </w:r>
      <w:r>
        <w:t xml:space="preserve"> </w:t>
      </w:r>
      <w:r>
        <w:rPr>
          <w:b/>
          <w:bCs/>
        </w:rPr>
        <w:t xml:space="preserve">Engagement letter updated (if decided) (I)</w:t>
      </w:r>
      <w:r>
        <w:t xml:space="preserve"> </w:t>
      </w:r>
      <w:r>
        <w:t xml:space="preserve">– As earlier, if including AI disclosure or consent.</w:t>
      </w:r>
      <w:r>
        <w:br/>
      </w:r>
      <w:r>
        <w:t xml:space="preserve">- [ ]</w:t>
      </w:r>
      <w:r>
        <w:t xml:space="preserve"> </w:t>
      </w:r>
      <w:r>
        <w:rPr>
          <w:b/>
          <w:bCs/>
        </w:rPr>
        <w:t xml:space="preserve">Marketing or client-facing explanation prepared (O)</w:t>
      </w:r>
      <w:r>
        <w:t xml:space="preserve"> </w:t>
      </w:r>
      <w:r>
        <w:t xml:space="preserve">– Some firms might want to let clients know they use AI as a positive. If so, ensure the messaging is approved and accurate (e.g., “We use AI to double-check your return against hundreds of rules, increasing accuracy” – which is fine if true). Optional item to check off if it aligns with firm strategy.</w:t>
      </w:r>
    </w:p>
    <w:p>
      <w:r>
        <w:pict>
          <v:rect style="width:0;height:1.5pt" o:hralign="center" o:hrstd="t" o:hr="t"/>
        </w:pict>
      </w:r>
    </w:p>
    <w:p>
      <w:pPr>
        <w:pStyle w:val="FirstParagraph"/>
      </w:pPr>
      <w:r>
        <w:t xml:space="preserve">This checklist allows a firm or team to self-assess. For example, you might find Data Readiness is mostly complete (maybe you already were paperless and using consistent data formats) but Security Readiness has many gaps (no formal policy or training yet). That guides where to focus in the roadmap.</w:t>
      </w:r>
    </w:p>
    <w:p>
      <w:pPr>
        <w:pStyle w:val="BodyText"/>
      </w:pPr>
      <w:r>
        <w:t xml:space="preserve">The pack will include this checklist in a markdown and JSON format for easy use (e.g., you can load the JSON into a spreadsheet or tracking tool). Next, we provide a</w:t>
      </w:r>
      <w:r>
        <w:t xml:space="preserve"> </w:t>
      </w:r>
      <w:r>
        <w:rPr>
          <w:b/>
          <w:bCs/>
        </w:rPr>
        <w:t xml:space="preserve">Gap Analysis Worksheet</w:t>
      </w:r>
      <w:r>
        <w:t xml:space="preserve"> </w:t>
      </w:r>
      <w:r>
        <w:t xml:space="preserve">which is essentially the checklist in table form with scoring, plus a summary section to identify top gaps and priorities.</w:t>
      </w:r>
    </w:p>
    <w:bookmarkEnd w:id="91"/>
    <w:bookmarkEnd w:id="92"/>
    <w:bookmarkStart w:id="96" w:name="gap-analysis-worksheet-structure"/>
    <w:p>
      <w:pPr>
        <w:pStyle w:val="Heading2"/>
      </w:pPr>
      <w:r>
        <w:t xml:space="preserve">Gap Analysis Worksheet Structure</w:t>
      </w:r>
    </w:p>
    <w:p>
      <w:pPr>
        <w:pStyle w:val="FirstParagraph"/>
      </w:pPr>
      <w:r>
        <w:t xml:space="preserve">The Gap Analysis is a tool to evaluate your current state against the checklist items and quantify readiness. It presents each item in a table row with columns for</w:t>
      </w:r>
      <w:r>
        <w:t xml:space="preserve"> </w:t>
      </w:r>
      <w:r>
        <w:rPr>
          <w:b/>
          <w:bCs/>
        </w:rPr>
        <w:t xml:space="preserve">Score (0, 1, 2)</w:t>
      </w:r>
      <w:r>
        <w:t xml:space="preserve">,</w:t>
      </w:r>
      <w:r>
        <w:t xml:space="preserve"> </w:t>
      </w:r>
      <w:r>
        <w:rPr>
          <w:b/>
          <w:bCs/>
        </w:rPr>
        <w:t xml:space="preserve">Priority (C/I/O)</w:t>
      </w:r>
      <w:r>
        <w:t xml:space="preserve">, and a suggested</w:t>
      </w:r>
      <w:r>
        <w:t xml:space="preserve"> </w:t>
      </w:r>
      <w:r>
        <w:rPr>
          <w:b/>
          <w:bCs/>
        </w:rPr>
        <w:t xml:space="preserve">Owner</w:t>
      </w:r>
      <w:r>
        <w:t xml:space="preserve"> </w:t>
      </w:r>
      <w:r>
        <w:t xml:space="preserve">role responsible for that item.</w:t>
      </w:r>
    </w:p>
    <w:p>
      <w:pPr>
        <w:pStyle w:val="BodyText"/>
      </w:pPr>
      <w:r>
        <w:t xml:space="preserve">Using the gap analysis: your team would go through each item, assign a score (0 = Not present, 1 = Partial, 2 = Fully in place)</w:t>
      </w:r>
      <w:hyperlink r:id="rId93">
        <w:r>
          <w:rPr>
            <w:rStyle w:val="Hyperlink"/>
          </w:rPr>
          <w:t xml:space="preserve">[59]</w:t>
        </w:r>
      </w:hyperlink>
      <w:r>
        <w:t xml:space="preserve">, and that immediately highlights where 0s on Critical items exist (those are your biggest gaps). It also notes who should take charge of closing that gap. After scoring, you can compute coverage percentages (what % of Critical items scored 2, etc.) and list the top 5 gaps to address</w:t>
      </w:r>
      <w:hyperlink r:id="rId94">
        <w:r>
          <w:rPr>
            <w:rStyle w:val="Hyperlink"/>
          </w:rPr>
          <w:t xml:space="preserve">[60]</w:t>
        </w:r>
      </w:hyperlink>
      <w:hyperlink r:id="rId95">
        <w:r>
          <w:rPr>
            <w:rStyle w:val="Hyperlink"/>
          </w:rPr>
          <w:t xml:space="preserve">[61]</w:t>
        </w:r>
      </w:hyperlink>
      <w:r>
        <w:t xml:space="preserve">, which will feed into the roadmap priorities.</w:t>
      </w:r>
    </w:p>
    <w:p>
      <w:pPr>
        <w:pStyle w:val="BodyText"/>
      </w:pPr>
      <w:r>
        <w:t xml:space="preserve">Below is a</w:t>
      </w:r>
      <w:r>
        <w:t xml:space="preserve"> </w:t>
      </w:r>
      <w:r>
        <w:rPr>
          <w:b/>
          <w:bCs/>
        </w:rPr>
        <w:t xml:space="preserve">sample fragment</w:t>
      </w:r>
      <w:r>
        <w:t xml:space="preserve"> </w:t>
      </w:r>
      <w:r>
        <w:t xml:space="preserve">of the gap analysis table for illustration (not the full list):</w:t>
      </w:r>
    </w:p>
    <w:p>
      <w:pPr>
        <w:pStyle w:val="BodyText"/>
      </w:pPr>
      <w:r>
        <w:rPr>
          <w:b/>
          <w:bCs/>
        </w:rPr>
        <w:t xml:space="preserve">Table: Data Readiness (Excerpt)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Area</w:t>
            </w:r>
          </w:p>
        </w:tc>
        <w:tc>
          <w:tcPr/>
          <w:p>
            <w:pPr>
              <w:pStyle w:val="Compact"/>
            </w:pPr>
            <w:r>
              <w:t xml:space="preserve">Item</w:t>
            </w:r>
          </w:p>
        </w:tc>
        <w:tc>
          <w:tcPr/>
          <w:p>
            <w:pPr>
              <w:pStyle w:val="Compact"/>
            </w:pPr>
            <w:r>
              <w:t xml:space="preserve">Description</w:t>
            </w:r>
          </w:p>
        </w:tc>
        <w:tc>
          <w:tcPr/>
          <w:p>
            <w:pPr>
              <w:pStyle w:val="Compact"/>
            </w:pPr>
            <w:r>
              <w:t xml:space="preserve">Score (0–2)</w:t>
            </w:r>
          </w:p>
        </w:tc>
        <w:tc>
          <w:tcPr/>
          <w:p>
            <w:pPr>
              <w:pStyle w:val="Compact"/>
            </w:pPr>
            <w:r>
              <w:t xml:space="preserve">Priority</w:t>
            </w:r>
          </w:p>
        </w:tc>
        <w:tc>
          <w:tcPr/>
          <w:p>
            <w:pPr>
              <w:pStyle w:val="Compact"/>
            </w:pPr>
            <w:r>
              <w:t xml:space="preserve">Owner</w:t>
            </w:r>
          </w:p>
        </w:tc>
      </w:tr>
      <w:tr>
        <w:tc>
          <w:tcPr/>
          <w:p>
            <w:pPr>
              <w:pStyle w:val="Compact"/>
            </w:pPr>
            <w:r>
              <w:rPr>
                <w:b/>
                <w:bCs/>
              </w:rPr>
              <w:t xml:space="preserve">Schema</w:t>
            </w:r>
          </w:p>
        </w:tc>
        <w:tc>
          <w:tcPr/>
          <w:p>
            <w:pPr>
              <w:pStyle w:val="Compact"/>
            </w:pPr>
            <w:r>
              <w:t xml:space="preserve">Structured data</w:t>
            </w:r>
          </w:p>
        </w:tc>
        <w:tc>
          <w:tcPr/>
          <w:p>
            <w:pPr>
              <w:pStyle w:val="Compact"/>
            </w:pPr>
            <w:r>
              <w:t xml:space="preserve">Data sources have clear schemas</w:t>
            </w:r>
          </w:p>
        </w:tc>
        <w:tc>
          <w:tcPr/>
          <w:p>
            <w:pPr>
              <w:pStyle w:val="Compact"/>
            </w:pPr>
            <w:r>
              <w:t xml:space="preserve">     </w:t>
            </w:r>
          </w:p>
        </w:tc>
        <w:tc>
          <w:tcPr/>
          <w:p>
            <w:pPr>
              <w:pStyle w:val="Compact"/>
            </w:pPr>
            <w:r>
              <w:t xml:space="preserve">C</w:t>
            </w:r>
          </w:p>
        </w:tc>
        <w:tc>
          <w:tcPr/>
          <w:p>
            <w:pPr>
              <w:pStyle w:val="Compact"/>
            </w:pPr>
            <w:r>
              <w:t xml:space="preserve">Data Eng / Tax Tech Lead</w:t>
            </w:r>
          </w:p>
        </w:tc>
      </w:tr>
      <w:tr>
        <w:tc>
          <w:tcPr/>
          <w:p>
            <w:pPr>
              <w:pStyle w:val="Compact"/>
            </w:pPr>
            <w:r>
              <w:rPr>
                <w:b/>
                <w:bCs/>
              </w:rPr>
              <w:t xml:space="preserve">Metadata</w:t>
            </w:r>
          </w:p>
        </w:tc>
        <w:tc>
          <w:tcPr/>
          <w:p>
            <w:pPr>
              <w:pStyle w:val="Compact"/>
            </w:pPr>
            <w:r>
              <w:t xml:space="preserve">Consistent metadata</w:t>
            </w:r>
          </w:p>
        </w:tc>
        <w:tc>
          <w:tcPr/>
          <w:p>
            <w:pPr>
              <w:pStyle w:val="Compact"/>
            </w:pPr>
            <w:r>
              <w:t xml:space="preserve">Metadata standards applied across datasets</w:t>
            </w:r>
          </w:p>
        </w:tc>
        <w:tc>
          <w:tcPr/>
          <w:p>
            <w:pPr>
              <w:pStyle w:val="Compact"/>
            </w:pPr>
          </w:p>
        </w:tc>
        <w:tc>
          <w:tcPr/>
          <w:p>
            <w:pPr>
              <w:pStyle w:val="Compact"/>
            </w:pPr>
            <w:r>
              <w:t xml:space="preserve">C</w:t>
            </w:r>
          </w:p>
        </w:tc>
        <w:tc>
          <w:tcPr/>
          <w:p>
            <w:pPr>
              <w:pStyle w:val="Compact"/>
            </w:pPr>
            <w:r>
              <w:t xml:space="preserve">Data Eng</w:t>
            </w:r>
          </w:p>
        </w:tc>
      </w:tr>
      <w:tr>
        <w:tc>
          <w:tcPr/>
          <w:p>
            <w:pPr>
              <w:pStyle w:val="Compact"/>
            </w:pPr>
            <w:r>
              <w:rPr>
                <w:b/>
                <w:bCs/>
              </w:rPr>
              <w:t xml:space="preserve">Provenance</w:t>
            </w:r>
          </w:p>
        </w:tc>
        <w:tc>
          <w:tcPr/>
          <w:p>
            <w:pPr>
              <w:pStyle w:val="Compact"/>
            </w:pPr>
            <w:r>
              <w:t xml:space="preserve">Lineage tracking</w:t>
            </w:r>
          </w:p>
        </w:tc>
        <w:tc>
          <w:tcPr/>
          <w:p>
            <w:pPr>
              <w:pStyle w:val="Compact"/>
            </w:pPr>
            <w:r>
              <w:t xml:space="preserve">Origin of data and transformations are logged</w:t>
            </w:r>
          </w:p>
        </w:tc>
        <w:tc>
          <w:tcPr/>
          <w:p>
            <w:pPr>
              <w:pStyle w:val="Compact"/>
            </w:pPr>
          </w:p>
        </w:tc>
        <w:tc>
          <w:tcPr/>
          <w:p>
            <w:pPr>
              <w:pStyle w:val="Compact"/>
            </w:pPr>
            <w:r>
              <w:t xml:space="preserve">C</w:t>
            </w:r>
          </w:p>
        </w:tc>
        <w:tc>
          <w:tcPr/>
          <w:p>
            <w:pPr>
              <w:pStyle w:val="Compact"/>
            </w:pPr>
            <w:r>
              <w:t xml:space="preserve">Data Eng</w:t>
            </w:r>
          </w:p>
        </w:tc>
      </w:tr>
      <w:tr>
        <w:tc>
          <w:tcPr/>
          <w:p>
            <w:pPr>
              <w:pStyle w:val="Compact"/>
            </w:pPr>
            <w:r>
              <w:rPr>
                <w:b/>
                <w:bCs/>
              </w:rPr>
              <w:t xml:space="preserve">Versioning</w:t>
            </w:r>
          </w:p>
        </w:tc>
        <w:tc>
          <w:tcPr/>
          <w:p>
            <w:pPr>
              <w:pStyle w:val="Compact"/>
            </w:pPr>
            <w:r>
              <w:t xml:space="preserve">Dataset versioning</w:t>
            </w:r>
          </w:p>
        </w:tc>
        <w:tc>
          <w:tcPr/>
          <w:p>
            <w:pPr>
              <w:pStyle w:val="Compact"/>
            </w:pPr>
            <w:r>
              <w:t xml:space="preserve">Major datasets are version-controlled</w:t>
            </w:r>
          </w:p>
        </w:tc>
        <w:tc>
          <w:tcPr/>
          <w:p>
            <w:pPr>
              <w:pStyle w:val="Compact"/>
            </w:pPr>
          </w:p>
        </w:tc>
        <w:tc>
          <w:tcPr/>
          <w:p>
            <w:pPr>
              <w:pStyle w:val="Compact"/>
            </w:pPr>
            <w:r>
              <w:t xml:space="preserve">I</w:t>
            </w:r>
          </w:p>
        </w:tc>
        <w:tc>
          <w:tcPr/>
          <w:p>
            <w:pPr>
              <w:pStyle w:val="Compact"/>
            </w:pPr>
            <w:r>
              <w:t xml:space="preserve">Data Eng</w:t>
            </w:r>
          </w:p>
        </w:tc>
      </w:tr>
      <w:tr>
        <w:tc>
          <w:tcPr/>
          <w:p>
            <w:pPr>
              <w:pStyle w:val="Compact"/>
            </w:pPr>
            <w:r>
              <w:rPr>
                <w:b/>
                <w:bCs/>
              </w:rPr>
              <w:t xml:space="preserve">Quality</w:t>
            </w:r>
          </w:p>
        </w:tc>
        <w:tc>
          <w:tcPr/>
          <w:p>
            <w:pPr>
              <w:pStyle w:val="Compact"/>
            </w:pPr>
            <w:r>
              <w:t xml:space="preserve">Quality checks</w:t>
            </w:r>
          </w:p>
        </w:tc>
        <w:tc>
          <w:tcPr/>
          <w:p>
            <w:pPr>
              <w:pStyle w:val="Compact"/>
            </w:pPr>
            <w:r>
              <w:t xml:space="preserve">Metrics or checks for data accuracy exist</w:t>
            </w:r>
          </w:p>
        </w:tc>
        <w:tc>
          <w:tcPr/>
          <w:p>
            <w:pPr>
              <w:pStyle w:val="Compact"/>
            </w:pPr>
          </w:p>
        </w:tc>
        <w:tc>
          <w:tcPr/>
          <w:p>
            <w:pPr>
              <w:pStyle w:val="Compact"/>
            </w:pPr>
            <w:r>
              <w:t xml:space="preserve">I</w:t>
            </w:r>
          </w:p>
        </w:tc>
        <w:tc>
          <w:tcPr/>
          <w:p>
            <w:pPr>
              <w:pStyle w:val="Compact"/>
            </w:pPr>
            <w:r>
              <w:t xml:space="preserve">Tax Manager</w:t>
            </w:r>
          </w:p>
        </w:tc>
      </w:tr>
      <w:tr>
        <w:tc>
          <w:tcPr/>
          <w:p>
            <w:pPr>
              <w:pStyle w:val="Compact"/>
            </w:pPr>
            <w:r>
              <w:rPr>
                <w:b/>
                <w:bCs/>
              </w:rPr>
              <w:t xml:space="preserve">Formats</w:t>
            </w:r>
          </w:p>
        </w:tc>
        <w:tc>
          <w:tcPr/>
          <w:p>
            <w:pPr>
              <w:pStyle w:val="Compact"/>
            </w:pPr>
            <w:r>
              <w:t xml:space="preserve">Exportability</w:t>
            </w:r>
          </w:p>
        </w:tc>
        <w:tc>
          <w:tcPr/>
          <w:p>
            <w:pPr>
              <w:pStyle w:val="Compact"/>
            </w:pPr>
            <w:r>
              <w:t xml:space="preserve">Data can be exported (JSON, CSV, etc.)</w:t>
            </w:r>
          </w:p>
        </w:tc>
        <w:tc>
          <w:tcPr/>
          <w:p>
            <w:pPr>
              <w:pStyle w:val="Compact"/>
            </w:pPr>
          </w:p>
        </w:tc>
        <w:tc>
          <w:tcPr/>
          <w:p>
            <w:pPr>
              <w:pStyle w:val="Compact"/>
            </w:pPr>
            <w:r>
              <w:t xml:space="preserve">C</w:t>
            </w:r>
          </w:p>
        </w:tc>
        <w:tc>
          <w:tcPr/>
          <w:p>
            <w:pPr>
              <w:pStyle w:val="Compact"/>
            </w:pPr>
            <w:r>
              <w:t xml:space="preserve">IT / Dev</w:t>
            </w:r>
          </w:p>
        </w:tc>
      </w:tr>
      <w:tr>
        <w:tc>
          <w:tcPr/>
          <w:p>
            <w:pPr>
              <w:pStyle w:val="Compact"/>
            </w:pPr>
            <w:r>
              <w:rPr>
                <w:b/>
                <w:bCs/>
              </w:rPr>
              <w:t xml:space="preserve">Governance</w:t>
            </w:r>
          </w:p>
        </w:tc>
        <w:tc>
          <w:tcPr/>
          <w:p>
            <w:pPr>
              <w:pStyle w:val="Compact"/>
            </w:pPr>
            <w:r>
              <w:t xml:space="preserve">Classification</w:t>
            </w:r>
          </w:p>
        </w:tc>
        <w:tc>
          <w:tcPr/>
          <w:p>
            <w:pPr>
              <w:pStyle w:val="Compact"/>
            </w:pPr>
            <w:r>
              <w:t xml:space="preserve">Data classification defined &amp; applied</w:t>
            </w:r>
          </w:p>
        </w:tc>
        <w:tc>
          <w:tcPr/>
          <w:p>
            <w:pPr>
              <w:pStyle w:val="Compact"/>
            </w:pPr>
          </w:p>
        </w:tc>
        <w:tc>
          <w:tcPr/>
          <w:p>
            <w:pPr>
              <w:pStyle w:val="Compact"/>
            </w:pPr>
            <w:r>
              <w:t xml:space="preserve">C</w:t>
            </w:r>
          </w:p>
        </w:tc>
        <w:tc>
          <w:tcPr/>
          <w:p>
            <w:pPr>
              <w:pStyle w:val="Compact"/>
            </w:pPr>
            <w:r>
              <w:t xml:space="preserve">Compliance Officer</w:t>
            </w:r>
          </w:p>
        </w:tc>
      </w:tr>
      <w:tr>
        <w:tc>
          <w:tcPr/>
          <w:p>
            <w:pPr>
              <w:pStyle w:val="Compact"/>
            </w:pPr>
            <w:r>
              <w:rPr>
                <w:b/>
                <w:bCs/>
              </w:rPr>
              <w:t xml:space="preserve">Access</w:t>
            </w:r>
          </w:p>
        </w:tc>
        <w:tc>
          <w:tcPr/>
          <w:p>
            <w:pPr>
              <w:pStyle w:val="Compact"/>
            </w:pPr>
            <w:r>
              <w:t xml:space="preserve">Access control</w:t>
            </w:r>
          </w:p>
        </w:tc>
        <w:tc>
          <w:tcPr/>
          <w:p>
            <w:pPr>
              <w:pStyle w:val="Compact"/>
            </w:pPr>
            <w:r>
              <w:t xml:space="preserve">Read/write access is restricted (need-to-know)</w:t>
            </w:r>
          </w:p>
        </w:tc>
        <w:tc>
          <w:tcPr/>
          <w:p>
            <w:pPr>
              <w:pStyle w:val="Compact"/>
            </w:pPr>
          </w:p>
        </w:tc>
        <w:tc>
          <w:tcPr/>
          <w:p>
            <w:pPr>
              <w:pStyle w:val="Compact"/>
            </w:pPr>
            <w:r>
              <w:t xml:space="preserve">C</w:t>
            </w:r>
          </w:p>
        </w:tc>
        <w:tc>
          <w:tcPr/>
          <w:p>
            <w:pPr>
              <w:pStyle w:val="Compact"/>
            </w:pPr>
            <w:r>
              <w:t xml:space="preserve">IT Security</w:t>
            </w:r>
          </w:p>
        </w:tc>
      </w:tr>
      <w:tr>
        <w:tc>
          <w:tcPr/>
          <w:p>
            <w:pPr>
              <w:pStyle w:val="Compact"/>
            </w:pPr>
            <w:r>
              <w:rPr>
                <w:b/>
                <w:bCs/>
              </w:rPr>
              <w:t xml:space="preserve">Retention</w:t>
            </w:r>
          </w:p>
        </w:tc>
        <w:tc>
          <w:tcPr/>
          <w:p>
            <w:pPr>
              <w:pStyle w:val="Compact"/>
            </w:pPr>
            <w:r>
              <w:t xml:space="preserve">Retention policy</w:t>
            </w:r>
          </w:p>
        </w:tc>
        <w:tc>
          <w:tcPr/>
          <w:p>
            <w:pPr>
              <w:pStyle w:val="Compact"/>
            </w:pPr>
            <w:r>
              <w:t xml:space="preserve">Data retention and deletion policy in place</w:t>
            </w:r>
          </w:p>
        </w:tc>
        <w:tc>
          <w:tcPr/>
          <w:p>
            <w:pPr>
              <w:pStyle w:val="Compact"/>
            </w:pPr>
          </w:p>
        </w:tc>
        <w:tc>
          <w:tcPr/>
          <w:p>
            <w:pPr>
              <w:pStyle w:val="Compact"/>
            </w:pPr>
            <w:r>
              <w:t xml:space="preserve">O</w:t>
            </w:r>
          </w:p>
        </w:tc>
        <w:tc>
          <w:tcPr/>
          <w:p>
            <w:pPr>
              <w:pStyle w:val="Compact"/>
            </w:pPr>
            <w:r>
              <w:t xml:space="preserve">Compliance</w:t>
            </w:r>
          </w:p>
        </w:tc>
      </w:tr>
    </w:tbl>
    <w:p>
      <w:pPr>
        <w:pStyle w:val="BodyText"/>
      </w:pPr>
      <w:r>
        <w:rPr>
          <w:i/>
          <w:iCs/>
        </w:rPr>
        <w:t xml:space="preserve">(The actual table continues for all domains.)</w:t>
      </w:r>
    </w:p>
    <w:p>
      <w:pPr>
        <w:pStyle w:val="BodyText"/>
      </w:pPr>
      <w:r>
        <w:t xml:space="preserve">As seen, each row groups under an “Area” and has a brief “Item” name and description.</w:t>
      </w:r>
      <w:r>
        <w:t xml:space="preserve"> </w:t>
      </w:r>
      <w:r>
        <w:rPr>
          <w:b/>
          <w:bCs/>
        </w:rPr>
        <w:t xml:space="preserve">Owner</w:t>
      </w:r>
      <w:r>
        <w:t xml:space="preserve"> </w:t>
      </w:r>
      <w:r>
        <w:t xml:space="preserve">is who should be accountable for that item. For example, “Data Eng” (data engineer or someone in charge of data), “Tax Manager”, “IT Security”, etc., depending on your org. In a small firm, names might be used instead or roles like “Partner” or “Office Manager” if no specialized roles exist.</w:t>
      </w:r>
    </w:p>
    <w:p>
      <w:pPr>
        <w:pStyle w:val="BodyText"/>
      </w:pPr>
      <w:r>
        <w:t xml:space="preserve">After filling scores, the worksheet provides a</w:t>
      </w:r>
      <w:r>
        <w:t xml:space="preserve"> </w:t>
      </w:r>
      <w:r>
        <w:rPr>
          <w:b/>
          <w:bCs/>
        </w:rPr>
        <w:t xml:space="preserve">Summary</w:t>
      </w:r>
      <w:r>
        <w:t xml:space="preserve"> </w:t>
      </w:r>
      <w:r>
        <w:t xml:space="preserve">section to tally results:</w:t>
      </w:r>
    </w:p>
    <w:p>
      <w:pPr>
        <w:pStyle w:val="Compact"/>
        <w:numPr>
          <w:ilvl w:val="0"/>
          <w:numId w:val="1009"/>
        </w:numPr>
      </w:pPr>
      <w:r>
        <w:t xml:space="preserve">Critical Coverage % = (Sum of scores of C items / (2 * number of C items)) * 100%. For instance, if you have 10 Critical items, max score 20, and you scored 12, then 60% coverage.</w:t>
      </w:r>
    </w:p>
    <w:p>
      <w:pPr>
        <w:pStyle w:val="Compact"/>
        <w:numPr>
          <w:ilvl w:val="0"/>
          <w:numId w:val="1009"/>
        </w:numPr>
      </w:pPr>
      <w:r>
        <w:t xml:space="preserve">Similarly for Important and Optional.</w:t>
      </w:r>
    </w:p>
    <w:p>
      <w:pPr>
        <w:pStyle w:val="Compact"/>
        <w:numPr>
          <w:ilvl w:val="0"/>
          <w:numId w:val="1009"/>
        </w:numPr>
      </w:pPr>
      <w:r>
        <w:t xml:space="preserve">Overall Readiness Score = perhaps an average or weighted average of all. But more qualitatively, you’ll look at how many gaps (0s or 1s) remain in Critical and Important.</w:t>
      </w:r>
    </w:p>
    <w:p>
      <w:pPr>
        <w:pStyle w:val="FirstParagraph"/>
      </w:pPr>
      <w:r>
        <w:t xml:space="preserve">It then asks to list the</w:t>
      </w:r>
      <w:r>
        <w:t xml:space="preserve"> </w:t>
      </w:r>
      <w:r>
        <w:rPr>
          <w:b/>
          <w:bCs/>
        </w:rPr>
        <w:t xml:space="preserve">Top 5 Gaps</w:t>
      </w:r>
      <w:r>
        <w:t xml:space="preserve"> </w:t>
      </w:r>
      <w:r>
        <w:t xml:space="preserve">– these would typically be the critical items scored 0 or any item causing significant concern. For example, you might list:</w:t>
      </w:r>
      <w:r>
        <w:t xml:space="preserve"> </w:t>
      </w:r>
      <w:r>
        <w:t xml:space="preserve">1. No formal AI usage policy (Score 0, Critical) – Owner: Partner/Compliance.</w:t>
      </w:r>
      <w:r>
        <w:t xml:space="preserve"> </w:t>
      </w:r>
      <w:r>
        <w:t xml:space="preserve">2. Data not anonymized before external AI (Score 0, Critical) – Owner: IT, fix via tool.</w:t>
      </w:r>
      <w:r>
        <w:t xml:space="preserve"> </w:t>
      </w:r>
      <w:r>
        <w:t xml:space="preserve">3. etc.</w:t>
      </w:r>
    </w:p>
    <w:p>
      <w:pPr>
        <w:pStyle w:val="BodyText"/>
      </w:pPr>
      <w:r>
        <w:t xml:space="preserve">And</w:t>
      </w:r>
      <w:r>
        <w:t xml:space="preserve"> </w:t>
      </w:r>
      <w:r>
        <w:rPr>
          <w:b/>
          <w:bCs/>
        </w:rPr>
        <w:t xml:space="preserve">Recommended 90-Day Priorities</w:t>
      </w:r>
      <w:r>
        <w:t xml:space="preserve"> </w:t>
      </w:r>
      <w:r>
        <w:t xml:space="preserve">– which likely align with the top gaps, possibly rephrased as actions. E.g., “Develop and implement AI usage policy; Train staff on data handling; Set up OCR pipeline…” etc. This bridges into the Roadmap.</w:t>
      </w:r>
    </w:p>
    <w:p>
      <w:pPr>
        <w:pStyle w:val="BodyText"/>
      </w:pPr>
      <w:r>
        <w:t xml:space="preserve">The pack provides this worksheet in Markdown (as shown) and also as an editable spreadsheet (maybe in the premium content) for convenience.</w:t>
      </w:r>
    </w:p>
    <w:p>
      <w:pPr>
        <w:pStyle w:val="BodyText"/>
      </w:pPr>
      <w:r>
        <w:t xml:space="preserve">By completing the gap analysis, an organization essentially creates a to-do list for becoming AI-ready, which then can be scheduled via the</w:t>
      </w:r>
      <w:r>
        <w:t xml:space="preserve"> </w:t>
      </w:r>
      <w:r>
        <w:rPr>
          <w:b/>
          <w:bCs/>
        </w:rPr>
        <w:t xml:space="preserve">Roadmap</w:t>
      </w:r>
      <w:r>
        <w:t xml:space="preserve">.</w:t>
      </w:r>
    </w:p>
    <w:bookmarkEnd w:id="96"/>
    <w:bookmarkStart w:id="123" w:name="phased-roadmap-for-ai-integration"/>
    <w:p>
      <w:pPr>
        <w:pStyle w:val="Heading2"/>
      </w:pPr>
      <w:r>
        <w:t xml:space="preserve">Phased Roadmap for AI Integration</w:t>
      </w:r>
    </w:p>
    <w:p>
      <w:pPr>
        <w:pStyle w:val="FirstParagraph"/>
      </w:pPr>
      <w:r>
        <w:t xml:space="preserve">The Roadmap gives a phased approach to implementing the pack’s recommendations, structured in time horizons:</w:t>
      </w:r>
      <w:r>
        <w:t xml:space="preserve"> </w:t>
      </w:r>
      <w:r>
        <w:rPr>
          <w:b/>
          <w:bCs/>
        </w:rPr>
        <w:t xml:space="preserve">Pre-Work (immediate), 0-30 days, 31-60 days, 61-90 days, 3-6 months, and 6-12 months</w:t>
      </w:r>
      <w:r>
        <w:t xml:space="preserve">. This staged plan helps manage change and ensures early wins while planning for long-term needs. It’s aligned with the idea of</w:t>
      </w:r>
      <w:r>
        <w:t xml:space="preserve"> </w:t>
      </w:r>
      <w:r>
        <w:rPr>
          <w:i/>
          <w:iCs/>
        </w:rPr>
        <w:t xml:space="preserve">starting small, proving value, then scaling up safely</w:t>
      </w:r>
      <w:r>
        <w:t xml:space="preserve">.</w:t>
      </w:r>
    </w:p>
    <w:p>
      <w:pPr>
        <w:pStyle w:val="BodyText"/>
      </w:pPr>
      <w:r>
        <w:t xml:space="preserve">Below is an outline of the roadmap with key objectives and sample tasks in each phase:</w:t>
      </w:r>
    </w:p>
    <w:bookmarkStart w:id="99" w:name="pre-work-week-0-before-day-1"/>
    <w:p>
      <w:pPr>
        <w:pStyle w:val="Heading3"/>
      </w:pPr>
      <w:r>
        <w:t xml:space="preserve">Pre-Work (Week 0 – Before Day 1)</w:t>
      </w:r>
    </w:p>
    <w:p>
      <w:pPr>
        <w:pStyle w:val="FirstParagraph"/>
      </w:pPr>
      <w:r>
        <w:t xml:space="preserve">Before embarking on the 90-day plan, there are a few preparatory steps:</w:t>
      </w:r>
    </w:p>
    <w:p>
      <w:pPr>
        <w:pStyle w:val="Compact"/>
        <w:numPr>
          <w:ilvl w:val="0"/>
          <w:numId w:val="1010"/>
        </w:numPr>
      </w:pPr>
      <w:r>
        <w:rPr>
          <w:b/>
          <w:bCs/>
        </w:rPr>
        <w:t xml:space="preserve">Assign an AI Project Lead (GenAI Champion)</w:t>
      </w:r>
      <w:r>
        <w:t xml:space="preserve"> </w:t>
      </w:r>
      <w:r>
        <w:t xml:space="preserve">– Identify who will coordinate this initiative. Perhaps a partner or manager with interest in tech, or an IT lead. This person will be the point-of-contact (“AI POC”) and drive the process</w:t>
      </w:r>
      <w:hyperlink r:id="rId97">
        <w:r>
          <w:rPr>
            <w:rStyle w:val="Hyperlink"/>
          </w:rPr>
          <w:t xml:space="preserve">[62]</w:t>
        </w:r>
      </w:hyperlink>
      <w:r>
        <w:t xml:space="preserve">.</w:t>
      </w:r>
    </w:p>
    <w:p>
      <w:pPr>
        <w:pStyle w:val="Compact"/>
        <w:numPr>
          <w:ilvl w:val="0"/>
          <w:numId w:val="1010"/>
        </w:numPr>
      </w:pPr>
      <w:r>
        <w:rPr>
          <w:b/>
          <w:bCs/>
        </w:rPr>
        <w:t xml:space="preserve">Set up a Knowledge Repository for AI Readiness</w:t>
      </w:r>
      <w:r>
        <w:t xml:space="preserve"> </w:t>
      </w:r>
      <w:r>
        <w:t xml:space="preserve">– Create a space (could be a folder in SharePoint, a Notion workspace, a Google Drive, or simply a section in your internal network) to store all relevant materials: the research pack docs, meeting notes, etc.</w:t>
      </w:r>
      <w:hyperlink r:id="rId98">
        <w:r>
          <w:rPr>
            <w:rStyle w:val="Hyperlink"/>
          </w:rPr>
          <w:t xml:space="preserve">[63]</w:t>
        </w:r>
      </w:hyperlink>
      <w:r>
        <w:t xml:space="preserve">. This ensures everyone can access the plan and progress.</w:t>
      </w:r>
    </w:p>
    <w:p>
      <w:pPr>
        <w:pStyle w:val="Compact"/>
        <w:numPr>
          <w:ilvl w:val="0"/>
          <w:numId w:val="1010"/>
        </w:numPr>
      </w:pPr>
      <w:r>
        <w:rPr>
          <w:b/>
          <w:bCs/>
        </w:rPr>
        <w:t xml:space="preserve">Import/Clone the Harbor Agent Pack artifacts</w:t>
      </w:r>
      <w:r>
        <w:t xml:space="preserve"> </w:t>
      </w:r>
      <w:r>
        <w:t xml:space="preserve">– If using the provided GitHub repo structure, import it into your internal version control or document system</w:t>
      </w:r>
      <w:hyperlink r:id="rId98">
        <w:r>
          <w:rPr>
            <w:rStyle w:val="Hyperlink"/>
          </w:rPr>
          <w:t xml:space="preserve">[63]</w:t>
        </w:r>
      </w:hyperlink>
      <w:r>
        <w:t xml:space="preserve">. For a non-dev firm, at least download the templates and checklists to your environment. This is basically getting the tools ready.</w:t>
      </w:r>
    </w:p>
    <w:p>
      <w:pPr>
        <w:pStyle w:val="Compact"/>
        <w:numPr>
          <w:ilvl w:val="0"/>
          <w:numId w:val="1010"/>
        </w:numPr>
      </w:pPr>
      <w:r>
        <w:rPr>
          <w:b/>
          <w:bCs/>
        </w:rPr>
        <w:t xml:space="preserve">Baseline Gap Analysis</w:t>
      </w:r>
      <w:r>
        <w:t xml:space="preserve"> </w:t>
      </w:r>
      <w:r>
        <w:t xml:space="preserve">– Conduct the gap analysis (from the previous section) right at the start to baseline where you are. This can count as pre-work because it informs the detailed tasks in 0-30 days.</w:t>
      </w:r>
    </w:p>
    <w:p>
      <w:pPr>
        <w:pStyle w:val="Compact"/>
        <w:numPr>
          <w:ilvl w:val="0"/>
          <w:numId w:val="1010"/>
        </w:numPr>
      </w:pPr>
      <w:r>
        <w:rPr>
          <w:b/>
          <w:bCs/>
        </w:rPr>
        <w:t xml:space="preserve">Initial Team Buy-in</w:t>
      </w:r>
      <w:r>
        <w:t xml:space="preserve"> </w:t>
      </w:r>
      <w:r>
        <w:t xml:space="preserve">– Have a kickoff meeting with leadership and the involved team to agree on the importance of this project. Address any high-level concerns (like reassure that AI is to assist, not replace jobs; emphasize quality and compliance). By setting the tone now, later phases will go smoother.</w:t>
      </w:r>
    </w:p>
    <w:p>
      <w:pPr>
        <w:pStyle w:val="FirstParagraph"/>
      </w:pPr>
      <w:r>
        <w:rPr>
          <w:i/>
          <w:iCs/>
        </w:rPr>
        <w:t xml:space="preserve">(These roughly correspond to the “Week 0” in the pack process – essentially onboarding the project)</w:t>
      </w:r>
      <w:hyperlink r:id="rId97">
        <w:r>
          <w:rPr>
            <w:rStyle w:val="Hyperlink"/>
            <w:i/>
            <w:iCs/>
          </w:rPr>
          <w:t xml:space="preserve">[62]</w:t>
        </w:r>
      </w:hyperlink>
      <w:r>
        <w:rPr>
          <w:i/>
          <w:iCs/>
        </w:rPr>
        <w:t xml:space="preserve">.</w:t>
      </w:r>
    </w:p>
    <w:bookmarkEnd w:id="99"/>
    <w:bookmarkStart w:id="105" w:name="days-130-foundation-and-inventory"/>
    <w:p>
      <w:pPr>
        <w:pStyle w:val="Heading3"/>
      </w:pPr>
      <w:r>
        <w:t xml:space="preserve">Days 1–30: Foundation and Inventory</w:t>
      </w:r>
    </w:p>
    <w:p>
      <w:pPr>
        <w:pStyle w:val="FirstParagraph"/>
      </w:pPr>
      <w:r>
        <w:rPr>
          <w:b/>
          <w:bCs/>
        </w:rPr>
        <w:t xml:space="preserve">Objectives (First 30 Days):</w:t>
      </w:r>
      <w:r>
        <w:t xml:space="preserve"> </w:t>
      </w:r>
      <w:r>
        <w:t xml:space="preserve">Establish a clear picture of current state and set the foundation for AI use. This phase is about</w:t>
      </w:r>
      <w:r>
        <w:t xml:space="preserve"> </w:t>
      </w:r>
      <w:r>
        <w:rPr>
          <w:i/>
          <w:iCs/>
        </w:rPr>
        <w:t xml:space="preserve">visibility and ground rules</w:t>
      </w:r>
      <w:r>
        <w:t xml:space="preserve">. We want to know what data and systems we have, educate the team, and handle immediate low-hanging fruit in governance.</w:t>
      </w:r>
    </w:p>
    <w:p>
      <w:pPr>
        <w:pStyle w:val="BodyText"/>
      </w:pPr>
      <w:r>
        <w:rPr>
          <w:b/>
          <w:bCs/>
        </w:rPr>
        <w:t xml:space="preserve">Key Tasks by Domain:</w:t>
      </w:r>
    </w:p>
    <w:p>
      <w:pPr>
        <w:pStyle w:val="Compact"/>
        <w:numPr>
          <w:ilvl w:val="0"/>
          <w:numId w:val="1011"/>
        </w:numPr>
      </w:pPr>
      <w:r>
        <w:rPr>
          <w:b/>
          <w:bCs/>
        </w:rPr>
        <w:t xml:space="preserve">Data:</w:t>
      </w:r>
      <w:r>
        <w:t xml:space="preserve"> </w:t>
      </w:r>
      <w:r>
        <w:t xml:space="preserve">Inventory all data sources and documents relevant to tax prep</w:t>
      </w:r>
      <w:hyperlink r:id="rId100">
        <w:r>
          <w:rPr>
            <w:rStyle w:val="Hyperlink"/>
          </w:rPr>
          <w:t xml:space="preserve">[64]</w:t>
        </w:r>
      </w:hyperlink>
      <w:r>
        <w:t xml:space="preserve">. For example, list all the types of forms and data you receive and produce. Document where each resides (folders, software, etc.) and who owns it. Identify obvious gaps: e.g., “We have many client PDFs that are basically images – need OCR” or “We lack metadata on these files.” No need to solve everything now, just note them. Also, start consolidating data if it’s scattered – maybe create a central “2025 Tax Season” folder structure for easier access. If any data is in non-digital form, plan how to digitize (maybe purchase a scanner or use a scanning app for phone as interim).</w:t>
      </w:r>
    </w:p>
    <w:p>
      <w:pPr>
        <w:pStyle w:val="Compact"/>
        <w:numPr>
          <w:ilvl w:val="0"/>
          <w:numId w:val="1011"/>
        </w:numPr>
      </w:pPr>
      <w:r>
        <w:rPr>
          <w:b/>
          <w:bCs/>
        </w:rPr>
        <w:t xml:space="preserve">AI Tools:</w:t>
      </w:r>
      <w:r>
        <w:t xml:space="preserve"> </w:t>
      </w:r>
      <w:r>
        <w:t xml:space="preserve">Decide on the initial AI tools to experiment with. Likely, choose one from each needed category: e.g.,</w:t>
      </w:r>
      <w:r>
        <w:t xml:space="preserve"> </w:t>
      </w:r>
      <w:r>
        <w:rPr>
          <w:b/>
          <w:bCs/>
        </w:rPr>
        <w:t xml:space="preserve">OCR</w:t>
      </w:r>
      <w:r>
        <w:t xml:space="preserve"> </w:t>
      </w:r>
      <w:r>
        <w:t xml:space="preserve">(maybe try Azure Form Recognizer or Adobe),</w:t>
      </w:r>
      <w:r>
        <w:t xml:space="preserve"> </w:t>
      </w:r>
      <w:r>
        <w:rPr>
          <w:b/>
          <w:bCs/>
        </w:rPr>
        <w:t xml:space="preserve">LLM for Q&amp;A</w:t>
      </w:r>
      <w:r>
        <w:t xml:space="preserve"> </w:t>
      </w:r>
      <w:r>
        <w:t xml:space="preserve">(maybe OpenAI GPT-4 via ChatGPT or an API), and possibly</w:t>
      </w:r>
      <w:r>
        <w:t xml:space="preserve"> </w:t>
      </w:r>
      <w:r>
        <w:rPr>
          <w:b/>
          <w:bCs/>
        </w:rPr>
        <w:t xml:space="preserve">a code assistant</w:t>
      </w:r>
      <w:r>
        <w:t xml:space="preserve"> </w:t>
      </w:r>
      <w:r>
        <w:t xml:space="preserve">(GitHub Copilot) if developers involved. Set up trial accounts or free tiers as needed. Inventory what you chose. Also, gather any documentation from those providers (privacy policies, etc.). Basically,</w:t>
      </w:r>
      <w:r>
        <w:t xml:space="preserve"> </w:t>
      </w:r>
      <w:r>
        <w:rPr>
          <w:b/>
          <w:bCs/>
        </w:rPr>
        <w:t xml:space="preserve">tool selection</w:t>
      </w:r>
      <w:r>
        <w:t xml:space="preserve"> </w:t>
      </w:r>
      <w:r>
        <w:t xml:space="preserve">is a big part of first 30 days</w:t>
      </w:r>
      <w:hyperlink r:id="rId101">
        <w:r>
          <w:rPr>
            <w:rStyle w:val="Hyperlink"/>
          </w:rPr>
          <w:t xml:space="preserve">[65]</w:t>
        </w:r>
      </w:hyperlink>
      <w:r>
        <w:t xml:space="preserve">. You might try a couple to compare – e.g., try an open-source OCR vs a cloud OCR to see quality.</w:t>
      </w:r>
    </w:p>
    <w:p>
      <w:pPr>
        <w:pStyle w:val="Compact"/>
        <w:numPr>
          <w:ilvl w:val="0"/>
          <w:numId w:val="1011"/>
        </w:numPr>
      </w:pPr>
      <w:r>
        <w:rPr>
          <w:b/>
          <w:bCs/>
        </w:rPr>
        <w:t xml:space="preserve">Infrastructure:</w:t>
      </w:r>
      <w:r>
        <w:t xml:space="preserve"> </w:t>
      </w:r>
      <w:r>
        <w:t xml:space="preserve">Document your current systems – e.g., “Tax prep software X, Document storage Y, etc.” – and see how AI might integrate. Identify any quick infrastructure tasks: if you’ll need an API key, request it now; if your firewall needs to allow an API, talk to IT now. Also,</w:t>
      </w:r>
      <w:r>
        <w:t xml:space="preserve"> </w:t>
      </w:r>
      <w:r>
        <w:rPr>
          <w:b/>
          <w:bCs/>
        </w:rPr>
        <w:t xml:space="preserve">containerize or create a dev environment</w:t>
      </w:r>
      <w:r>
        <w:t xml:space="preserve"> </w:t>
      </w:r>
      <w:r>
        <w:t xml:space="preserve">for playing with AI scripts if you have devs.</w:t>
      </w:r>
    </w:p>
    <w:p>
      <w:pPr>
        <w:pStyle w:val="Compact"/>
        <w:numPr>
          <w:ilvl w:val="0"/>
          <w:numId w:val="1011"/>
        </w:numPr>
      </w:pPr>
      <w:r>
        <w:rPr>
          <w:b/>
          <w:bCs/>
        </w:rPr>
        <w:t xml:space="preserve">Security &amp; Governance:</w:t>
      </w:r>
      <w:r>
        <w:t xml:space="preserve"> </w:t>
      </w:r>
      <w:r>
        <w:rPr>
          <w:b/>
          <w:bCs/>
        </w:rPr>
        <w:t xml:space="preserve">Review current security</w:t>
      </w:r>
      <w:r>
        <w:t xml:space="preserve"> </w:t>
      </w:r>
      <w:r>
        <w:t xml:space="preserve">setup with IT/Compliance. Ensure basic things like encryption and access control are in place as expected (this is good housekeeping anyway). Start drafting the</w:t>
      </w:r>
      <w:r>
        <w:t xml:space="preserve"> </w:t>
      </w:r>
      <w:r>
        <w:rPr>
          <w:b/>
          <w:bCs/>
        </w:rPr>
        <w:t xml:space="preserve">AI usage policy</w:t>
      </w:r>
      <w:r>
        <w:t xml:space="preserve"> </w:t>
      </w:r>
      <w:r>
        <w:t xml:space="preserve">outline now</w:t>
      </w:r>
      <w:hyperlink r:id="rId102">
        <w:r>
          <w:rPr>
            <w:rStyle w:val="Hyperlink"/>
          </w:rPr>
          <w:t xml:space="preserve">[66]</w:t>
        </w:r>
      </w:hyperlink>
      <w:r>
        <w:t xml:space="preserve"> </w:t>
      </w:r>
      <w:r>
        <w:t xml:space="preserve">– you don’t need it finished in 30 days, but have a framework and maybe get input from stakeholders (partners, etc.). Also, list any legal/regulatory questions to resolve (maybe ask: do we need client consent? If unsure, plan to consult legal by day 60). If you have a compliance officer or external advisor, engage them early to sanity-check your approach.</w:t>
      </w:r>
    </w:p>
    <w:p>
      <w:pPr>
        <w:pStyle w:val="Compact"/>
        <w:numPr>
          <w:ilvl w:val="0"/>
          <w:numId w:val="1011"/>
        </w:numPr>
      </w:pPr>
      <w:r>
        <w:rPr>
          <w:b/>
          <w:bCs/>
        </w:rPr>
        <w:t xml:space="preserve">Documentation/Process:</w:t>
      </w:r>
      <w:r>
        <w:t xml:space="preserve"> </w:t>
      </w:r>
      <w:r>
        <w:t xml:space="preserve">Begin an</w:t>
      </w:r>
      <w:r>
        <w:t xml:space="preserve"> </w:t>
      </w:r>
      <w:r>
        <w:rPr>
          <w:b/>
          <w:bCs/>
        </w:rPr>
        <w:t xml:space="preserve">“AI Governance Binder”</w:t>
      </w:r>
      <w:r>
        <w:t xml:space="preserve"> </w:t>
      </w:r>
      <w:r>
        <w:t xml:space="preserve">document or folder and drop in what you have (this pack’s docs, inventory lists, etc.). Also start an</w:t>
      </w:r>
      <w:r>
        <w:t xml:space="preserve"> </w:t>
      </w:r>
      <w:r>
        <w:rPr>
          <w:b/>
          <w:bCs/>
        </w:rPr>
        <w:t xml:space="preserve">Executive Summary of the project</w:t>
      </w:r>
      <w:r>
        <w:t xml:space="preserve"> </w:t>
      </w:r>
      <w:r>
        <w:t xml:space="preserve">(could literally use parts of the Executive Summary above to inform partners). Consolidate any existing diagrams of your process; you’ll update them later, but have them in one place</w:t>
      </w:r>
      <w:hyperlink r:id="rId103">
        <w:r>
          <w:rPr>
            <w:rStyle w:val="Hyperlink"/>
          </w:rPr>
          <w:t xml:space="preserve">[67]</w:t>
        </w:r>
      </w:hyperlink>
      <w:r>
        <w:t xml:space="preserve">. In parallel, do a quick</w:t>
      </w:r>
      <w:r>
        <w:t xml:space="preserve"> </w:t>
      </w:r>
      <w:r>
        <w:rPr>
          <w:i/>
          <w:iCs/>
        </w:rPr>
        <w:t xml:space="preserve">team briefing</w:t>
      </w:r>
      <w:r>
        <w:t xml:space="preserve">: in a staff meeting, announce that the firm is exploring AI, and give a short overview of what to expect. This is not formal training, just awareness to reduce apprehension.</w:t>
      </w:r>
    </w:p>
    <w:p>
      <w:pPr>
        <w:pStyle w:val="Compact"/>
        <w:numPr>
          <w:ilvl w:val="0"/>
          <w:numId w:val="1011"/>
        </w:numPr>
      </w:pPr>
      <w:r>
        <w:rPr>
          <w:b/>
          <w:bCs/>
        </w:rPr>
        <w:t xml:space="preserve">AI Tooling (for dev workflows):</w:t>
      </w:r>
      <w:r>
        <w:t xml:space="preserve"> </w:t>
      </w:r>
      <w:r>
        <w:t xml:space="preserve">If you have software developers, ensure they configure their IDEs with the AI assistant (e.g., install Copilot extension) and have access to the playbook. Possibly run an initial repo scan using the Copilot with the provided playbook to identify any easy improvements (Genesis pack suggests a repo scan at start)</w:t>
      </w:r>
      <w:hyperlink r:id="rId104">
        <w:r>
          <w:rPr>
            <w:rStyle w:val="Hyperlink"/>
          </w:rPr>
          <w:t xml:space="preserve">[68]</w:t>
        </w:r>
      </w:hyperlink>
      <w:r>
        <w:t xml:space="preserve"> </w:t>
      </w:r>
      <w:r>
        <w:t xml:space="preserve">– for example, scanning code for any hard-coded secrets or outdated dependencies could come up and be fixed, improving security as a side effect.</w:t>
      </w:r>
    </w:p>
    <w:p>
      <w:pPr>
        <w:pStyle w:val="FirstParagraph"/>
      </w:pPr>
      <w:r>
        <w:t xml:space="preserve">By Day 30, you should have: a solid understanding of your data landscape, chosen initial AI tools, early drafts of governance docs, and generally,</w:t>
      </w:r>
      <w:r>
        <w:t xml:space="preserve"> </w:t>
      </w:r>
      <w:r>
        <w:rPr>
          <w:b/>
          <w:bCs/>
        </w:rPr>
        <w:t xml:space="preserve">set the stage</w:t>
      </w:r>
      <w:r>
        <w:t xml:space="preserve">. You might also achieve a quick win or two – e.g., discover through inventory that many forms are standard and you can auto-label them, or realize a lot of time is spent on a task AI can surely help with, galvanizing the team.</w:t>
      </w:r>
    </w:p>
    <w:bookmarkEnd w:id="105"/>
    <w:bookmarkStart w:id="111" w:name="X8b8687d3992724c441c851914a8023293b9442e"/>
    <w:p>
      <w:pPr>
        <w:pStyle w:val="Heading3"/>
      </w:pPr>
      <w:r>
        <w:t xml:space="preserve">Days 31–60: Alignment and Initial Implementation</w:t>
      </w:r>
    </w:p>
    <w:p>
      <w:pPr>
        <w:pStyle w:val="FirstParagraph"/>
      </w:pPr>
      <w:r>
        <w:rPr>
          <w:b/>
          <w:bCs/>
        </w:rPr>
        <w:t xml:space="preserve">Objectives (Days 31–60):</w:t>
      </w:r>
      <w:r>
        <w:t xml:space="preserve"> </w:t>
      </w:r>
      <w:r>
        <w:t xml:space="preserve">Start implementing improvements revealed in phase 1. This means beginning to put in place structures like schemas, doing pilot tests with AI on real data (carefully), and firming up governance. We’re moving from analysis to action, focusing on</w:t>
      </w:r>
      <w:r>
        <w:t xml:space="preserve"> </w:t>
      </w:r>
      <w:r>
        <w:rPr>
          <w:i/>
          <w:iCs/>
        </w:rPr>
        <w:t xml:space="preserve">alignment</w:t>
      </w:r>
      <w:r>
        <w:t xml:space="preserve"> </w:t>
      </w:r>
      <w:r>
        <w:t xml:space="preserve">– aligning data to standards, aligning team to new processes, aligning tools to workflow.</w:t>
      </w:r>
    </w:p>
    <w:p>
      <w:pPr>
        <w:pStyle w:val="BodyText"/>
      </w:pPr>
      <w:r>
        <w:rPr>
          <w:b/>
          <w:bCs/>
        </w:rPr>
        <w:t xml:space="preserve">Key Tasks by Domain:</w:t>
      </w:r>
    </w:p>
    <w:p>
      <w:pPr>
        <w:pStyle w:val="Compact"/>
        <w:numPr>
          <w:ilvl w:val="0"/>
          <w:numId w:val="1012"/>
        </w:numPr>
      </w:pPr>
      <w:r>
        <w:rPr>
          <w:b/>
          <w:bCs/>
        </w:rPr>
        <w:t xml:space="preserve">Data:</w:t>
      </w:r>
      <w:r>
        <w:t xml:space="preserve"> </w:t>
      </w:r>
      <w:r>
        <w:t xml:space="preserve">Implement easy improvements in data structure and tracking</w:t>
      </w:r>
      <w:hyperlink r:id="rId106">
        <w:r>
          <w:rPr>
            <w:rStyle w:val="Hyperlink"/>
          </w:rPr>
          <w:t xml:space="preserve">[69]</w:t>
        </w:r>
      </w:hyperlink>
      <w:r>
        <w:t xml:space="preserve">. For example, if you identified missing schemas, create those schemas now (maybe define a JSON structure for each type of document’s data). If metadata was inconsistent, fix it: e.g., if some files had naming conventions and others didn’t, unify them. Start using a simple data catalog or even a spreadsheet that lists all clients and docs and statuses to improve visibility. Also, if feasible,</w:t>
      </w:r>
      <w:r>
        <w:t xml:space="preserve"> </w:t>
      </w:r>
      <w:r>
        <w:rPr>
          <w:b/>
          <w:bCs/>
        </w:rPr>
        <w:t xml:space="preserve">introduce dataset version control</w:t>
      </w:r>
      <w:r>
        <w:t xml:space="preserve"> </w:t>
      </w:r>
      <w:r>
        <w:t xml:space="preserve">– if you have a central Excel or DB, maybe implement a backup or commit process when changes happen (even using something like OneDrive version history or a simple “v1, v2” copy system). Additionally,</w:t>
      </w:r>
      <w:r>
        <w:t xml:space="preserve"> </w:t>
      </w:r>
      <w:r>
        <w:rPr>
          <w:b/>
          <w:bCs/>
        </w:rPr>
        <w:t xml:space="preserve">add provenance logging</w:t>
      </w:r>
      <w:r>
        <w:t xml:space="preserve"> </w:t>
      </w:r>
      <w:r>
        <w:t xml:space="preserve">to pipelines: for instance, if you build an extraction script, make it log “extracted from file X at time Y by user Z.” These actions may be incremental but set the base for trust in data.</w:t>
      </w:r>
    </w:p>
    <w:p>
      <w:pPr>
        <w:pStyle w:val="Compact"/>
        <w:numPr>
          <w:ilvl w:val="0"/>
          <w:numId w:val="1012"/>
        </w:numPr>
      </w:pPr>
      <w:r>
        <w:rPr>
          <w:b/>
          <w:bCs/>
        </w:rPr>
        <w:t xml:space="preserve">AI Tools:</w:t>
      </w:r>
      <w:r>
        <w:t xml:space="preserve"> </w:t>
      </w:r>
      <w:r>
        <w:t xml:space="preserve">By mid-phase, likely you have chosen certain tools – now</w:t>
      </w:r>
      <w:r>
        <w:t xml:space="preserve"> </w:t>
      </w:r>
      <w:r>
        <w:rPr>
          <w:b/>
          <w:bCs/>
        </w:rPr>
        <w:t xml:space="preserve">configure and integrate them</w:t>
      </w:r>
      <w:r>
        <w:t xml:space="preserve">. For example, integrate the OCR API into a small script or tool and run a few sample documents through to tune it (maybe adjust settings, see errors). Integrate the Q&amp;A LLM: perhaps try feeding it a real (but anonymized) client scenario question to see if it finds the right answer, adjust prompt phrasing as needed. This is like a</w:t>
      </w:r>
      <w:r>
        <w:t xml:space="preserve"> </w:t>
      </w:r>
      <w:r>
        <w:rPr>
          <w:b/>
          <w:bCs/>
        </w:rPr>
        <w:t xml:space="preserve">pilot testing period</w:t>
      </w:r>
      <w:hyperlink r:id="rId107">
        <w:r>
          <w:rPr>
            <w:rStyle w:val="Hyperlink"/>
          </w:rPr>
          <w:t xml:space="preserve">[70]</w:t>
        </w:r>
      </w:hyperlink>
      <w:r>
        <w:t xml:space="preserve">. Also, work on the</w:t>
      </w:r>
      <w:r>
        <w:t xml:space="preserve"> </w:t>
      </w:r>
      <w:r>
        <w:rPr>
          <w:b/>
          <w:bCs/>
        </w:rPr>
        <w:t xml:space="preserve">prompt templates</w:t>
      </w:r>
      <w:r>
        <w:t xml:space="preserve"> </w:t>
      </w:r>
      <w:r>
        <w:t xml:space="preserve">and usage guidelines: refine them from theoretical to actual text and test them. At the same time,</w:t>
      </w:r>
      <w:r>
        <w:t xml:space="preserve"> </w:t>
      </w:r>
      <w:r>
        <w:rPr>
          <w:b/>
          <w:bCs/>
        </w:rPr>
        <w:t xml:space="preserve">pin down the limitations</w:t>
      </w:r>
      <w:r>
        <w:t xml:space="preserve">: if you found during tests that e.g. the AI didn’t know about a late-2024 tax law, plan how to feed that context (maybe prepare a summary of that law to feed in prompt). Continue updating your inventory with any changes or decisions (e.g., “We tried two OCR tools, decided on Azure for now due to accuracy.”).</w:t>
      </w:r>
    </w:p>
    <w:p>
      <w:pPr>
        <w:pStyle w:val="Compact"/>
        <w:numPr>
          <w:ilvl w:val="0"/>
          <w:numId w:val="1012"/>
        </w:numPr>
      </w:pPr>
      <w:r>
        <w:rPr>
          <w:b/>
          <w:bCs/>
        </w:rPr>
        <w:t xml:space="preserve">Infrastructure:</w:t>
      </w:r>
      <w:r>
        <w:t xml:space="preserve"> </w:t>
      </w:r>
      <w:r>
        <w:t xml:space="preserve">Begin implementing needed infrastructure changes identified earlier.</w:t>
      </w:r>
      <w:r>
        <w:t xml:space="preserve"> </w:t>
      </w:r>
      <w:r>
        <w:rPr>
          <w:b/>
          <w:bCs/>
        </w:rPr>
        <w:t xml:space="preserve">Containerize pipelines</w:t>
      </w:r>
      <w:r>
        <w:t xml:space="preserve"> </w:t>
      </w:r>
      <w:r>
        <w:t xml:space="preserve">that need it (maybe create a Docker image for your OCR + analysis script)</w:t>
      </w:r>
      <w:hyperlink r:id="rId83">
        <w:r>
          <w:rPr>
            <w:rStyle w:val="Hyperlink"/>
          </w:rPr>
          <w:t xml:space="preserve">[53]</w:t>
        </w:r>
      </w:hyperlink>
      <w:r>
        <w:t xml:space="preserve">.</w:t>
      </w:r>
      <w:r>
        <w:t xml:space="preserve"> </w:t>
      </w:r>
      <w:r>
        <w:rPr>
          <w:b/>
          <w:bCs/>
        </w:rPr>
        <w:t xml:space="preserve">Introduce CI/CD</w:t>
      </w:r>
      <w:r>
        <w:t xml:space="preserve"> </w:t>
      </w:r>
      <w:r>
        <w:t xml:space="preserve">if new code is being written for AI integration – set up a simple Git repo for these scripts if not already. For workflow integration, possibly start building a simple</w:t>
      </w:r>
      <w:r>
        <w:t xml:space="preserve"> </w:t>
      </w:r>
      <w:r>
        <w:rPr>
          <w:b/>
          <w:bCs/>
        </w:rPr>
        <w:t xml:space="preserve">UI or interface</w:t>
      </w:r>
      <w:r>
        <w:t xml:space="preserve">: e.g., a shared Excel where after data entry, a macro calls an AI script; or if using a professional tax software with no UI for AI, perhaps an auxiliary application or even a command-line tool staff can run. It doesn’t have to be final – a proof-of-concept that people can start using on test cases by day 60. Also, beef up</w:t>
      </w:r>
      <w:r>
        <w:t xml:space="preserve"> </w:t>
      </w:r>
      <w:r>
        <w:rPr>
          <w:b/>
          <w:bCs/>
        </w:rPr>
        <w:t xml:space="preserve">observability</w:t>
      </w:r>
      <w:r>
        <w:t xml:space="preserve">: ensure logs are being captured for these new processes (maybe by writing logs to a file or console that you monitor)</w:t>
      </w:r>
      <w:hyperlink r:id="rId108">
        <w:r>
          <w:rPr>
            <w:rStyle w:val="Hyperlink"/>
          </w:rPr>
          <w:t xml:space="preserve">[71]</w:t>
        </w:r>
      </w:hyperlink>
      <w:r>
        <w:t xml:space="preserve">.</w:t>
      </w:r>
    </w:p>
    <w:p>
      <w:pPr>
        <w:pStyle w:val="Compact"/>
        <w:numPr>
          <w:ilvl w:val="0"/>
          <w:numId w:val="1012"/>
        </w:numPr>
      </w:pPr>
      <w:r>
        <w:rPr>
          <w:b/>
          <w:bCs/>
        </w:rPr>
        <w:t xml:space="preserve">Security &amp; Governance:</w:t>
      </w:r>
      <w:r>
        <w:t xml:space="preserve"> </w:t>
      </w:r>
      <w:r>
        <w:t xml:space="preserve">Finalize the</w:t>
      </w:r>
      <w:r>
        <w:t xml:space="preserve"> </w:t>
      </w:r>
      <w:r>
        <w:rPr>
          <w:b/>
          <w:bCs/>
        </w:rPr>
        <w:t xml:space="preserve">AI Usage Policy</w:t>
      </w:r>
      <w:r>
        <w:t xml:space="preserve"> </w:t>
      </w:r>
      <w:r>
        <w:t xml:space="preserve">and have it approved around this time</w:t>
      </w:r>
      <w:hyperlink r:id="rId109">
        <w:r>
          <w:rPr>
            <w:rStyle w:val="Hyperlink"/>
          </w:rPr>
          <w:t xml:space="preserve">[72]</w:t>
        </w:r>
      </w:hyperlink>
      <w:r>
        <w:t xml:space="preserve">. Then</w:t>
      </w:r>
      <w:r>
        <w:t xml:space="preserve"> </w:t>
      </w:r>
      <w:r>
        <w:rPr>
          <w:b/>
          <w:bCs/>
        </w:rPr>
        <w:t xml:space="preserve">conduct a training or briefing</w:t>
      </w:r>
      <w:r>
        <w:t xml:space="preserve"> </w:t>
      </w:r>
      <w:r>
        <w:t xml:space="preserve">to roll it out to the team (even if informal). Tighten security configurations: by now, implement those key rules like encryption and access controls if any were missing. If network segmentation or restrictions were needed (e.g., set firewall rules so only the intended machine or service can call the external AI), do it now</w:t>
      </w:r>
      <w:hyperlink r:id="rId109">
        <w:r>
          <w:rPr>
            <w:rStyle w:val="Hyperlink"/>
          </w:rPr>
          <w:t xml:space="preserve">[72]</w:t>
        </w:r>
      </w:hyperlink>
      <w:r>
        <w:t xml:space="preserve">. Also, ensure</w:t>
      </w:r>
      <w:r>
        <w:t xml:space="preserve"> </w:t>
      </w:r>
      <w:r>
        <w:rPr>
          <w:b/>
          <w:bCs/>
        </w:rPr>
        <w:t xml:space="preserve">encryption</w:t>
      </w:r>
      <w:r>
        <w:t xml:space="preserve"> </w:t>
      </w:r>
      <w:r>
        <w:t xml:space="preserve">in transit and at rest is verified for any new data stores or flows introduced. If any compliance questions remain unresolved, now is the time to get answers (e.g., consult an attorney on 7216 if needed and then adjust consent approach accordingly).</w:t>
      </w:r>
    </w:p>
    <w:p>
      <w:pPr>
        <w:pStyle w:val="Compact"/>
        <w:numPr>
          <w:ilvl w:val="0"/>
          <w:numId w:val="1012"/>
        </w:numPr>
      </w:pPr>
      <w:r>
        <w:rPr>
          <w:b/>
          <w:bCs/>
        </w:rPr>
        <w:t xml:space="preserve">Documentation/Process:</w:t>
      </w:r>
      <w:r>
        <w:t xml:space="preserve"> </w:t>
      </w:r>
      <w:r>
        <w:rPr>
          <w:b/>
          <w:bCs/>
        </w:rPr>
        <w:t xml:space="preserve">Update documentation</w:t>
      </w:r>
      <w:r>
        <w:t xml:space="preserve"> </w:t>
      </w:r>
      <w:r>
        <w:t xml:space="preserve">to reflect what’s been built so far</w:t>
      </w:r>
      <w:hyperlink r:id="rId110">
        <w:r>
          <w:rPr>
            <w:rStyle w:val="Hyperlink"/>
          </w:rPr>
          <w:t xml:space="preserve">[73]</w:t>
        </w:r>
      </w:hyperlink>
      <w:r>
        <w:t xml:space="preserve">. Create initial versions of new process docs: e.g., “How to use the OCR extraction tool” one-pager for staff, or update your checklist for reviewers to include AI-provided notes. Continue updating the architecture diagram with details as they become clear – by day 60 you likely know how things will connect, so you can sketch the “to-be” system architecture. If any SOPs can be updated (like adding a step “run X script”), do that now. On training front, you might do a targeted</w:t>
      </w:r>
      <w:r>
        <w:t xml:space="preserve"> </w:t>
      </w:r>
      <w:r>
        <w:rPr>
          <w:b/>
          <w:bCs/>
        </w:rPr>
        <w:t xml:space="preserve">pilot training</w:t>
      </w:r>
      <w:r>
        <w:t xml:space="preserve">: e.g., have one or two team members try the new process on a real but simple client case as a dry-run, then refine. The</w:t>
      </w:r>
      <w:r>
        <w:t xml:space="preserve"> </w:t>
      </w:r>
      <w:r>
        <w:rPr>
          <w:b/>
          <w:bCs/>
        </w:rPr>
        <w:t xml:space="preserve">change-management aspects</w:t>
      </w:r>
      <w:r>
        <w:t xml:space="preserve"> </w:t>
      </w:r>
      <w:r>
        <w:t xml:space="preserve">like check-ins with team: do at least one feedback session (“We’ve started using OCR on a few docs, how is it going?”).</w:t>
      </w:r>
    </w:p>
    <w:p>
      <w:pPr>
        <w:pStyle w:val="Compact"/>
        <w:numPr>
          <w:ilvl w:val="0"/>
          <w:numId w:val="1012"/>
        </w:numPr>
      </w:pPr>
      <w:r>
        <w:rPr>
          <w:b/>
          <w:bCs/>
        </w:rPr>
        <w:t xml:space="preserve">Interim Review:</w:t>
      </w:r>
      <w:r>
        <w:t xml:space="preserve"> </w:t>
      </w:r>
      <w:r>
        <w:t xml:space="preserve">Around day 60, do a</w:t>
      </w:r>
      <w:r>
        <w:t xml:space="preserve"> </w:t>
      </w:r>
      <w:r>
        <w:rPr>
          <w:b/>
          <w:bCs/>
        </w:rPr>
        <w:t xml:space="preserve">project review meeting</w:t>
      </w:r>
      <w:r>
        <w:t xml:space="preserve"> </w:t>
      </w:r>
      <w:r>
        <w:t xml:space="preserve">with stakeholders. Evaluate progress versus the plan. Update priorities if needed. Perhaps you discovered something is harder than expected (like integration with your tax software might not be possible if it’s closed source – so you pivot to a workaround like exporting data). Adjust the roadmap for 61-90 accordingly. Essentially, make sure leadership is informed of interim results (especially highlight any quick wins: e.g., “We used AI to draft a client letter and it saved 1 hour, with minimal edits!” or “OCR pilot showed 90% accuracy – promising”).</w:t>
      </w:r>
    </w:p>
    <w:p>
      <w:pPr>
        <w:pStyle w:val="FirstParagraph"/>
      </w:pPr>
      <w:r>
        <w:t xml:space="preserve">By end of day 60, you should have</w:t>
      </w:r>
      <w:r>
        <w:t xml:space="preserve"> </w:t>
      </w:r>
      <w:r>
        <w:rPr>
          <w:b/>
          <w:bCs/>
        </w:rPr>
        <w:t xml:space="preserve">initial AI functionality running in a limited capacity</w:t>
      </w:r>
      <w:r>
        <w:t xml:space="preserve">, governance in place, and team awareness. Not everything is deployed firm-wide yet, but maybe in a testing environment or with select users. For example, maybe one or two preparers have started using the AI review checklist on a couple of returns as a pilot. The foundation and alignment steps should largely be complete, meaning you have built the skeleton of the AI integration.</w:t>
      </w:r>
    </w:p>
    <w:bookmarkEnd w:id="111"/>
    <w:bookmarkStart w:id="117" w:name="days-6190-pilot-expansion-and-refinement"/>
    <w:p>
      <w:pPr>
        <w:pStyle w:val="Heading3"/>
      </w:pPr>
      <w:r>
        <w:t xml:space="preserve">Days 61–90: Pilot Expansion and Refinement</w:t>
      </w:r>
    </w:p>
    <w:p>
      <w:pPr>
        <w:pStyle w:val="FirstParagraph"/>
      </w:pPr>
      <w:r>
        <w:rPr>
          <w:b/>
          <w:bCs/>
        </w:rPr>
        <w:t xml:space="preserve">Objectives (Days 61–90):</w:t>
      </w:r>
      <w:r>
        <w:t xml:space="preserve"> </w:t>
      </w:r>
      <w:r>
        <w:t xml:space="preserve">In this phase, you ramp up from pilot to broader usage, aiming to have a workable AI-augmented process by day 90 that could be used for real work (likely right in time for the tax season if this started in late year). Focus on</w:t>
      </w:r>
      <w:r>
        <w:t xml:space="preserve"> </w:t>
      </w:r>
      <w:r>
        <w:rPr>
          <w:i/>
          <w:iCs/>
        </w:rPr>
        <w:t xml:space="preserve">refining</w:t>
      </w:r>
      <w:r>
        <w:t xml:space="preserve"> </w:t>
      </w:r>
      <w:r>
        <w:t xml:space="preserve">based on feedback,</w:t>
      </w:r>
      <w:r>
        <w:t xml:space="preserve"> </w:t>
      </w:r>
      <w:r>
        <w:rPr>
          <w:i/>
          <w:iCs/>
        </w:rPr>
        <w:t xml:space="preserve">finalizing documentation</w:t>
      </w:r>
      <w:r>
        <w:t xml:space="preserve">, and ensuring everything is ready for production-level use.</w:t>
      </w:r>
    </w:p>
    <w:p>
      <w:pPr>
        <w:pStyle w:val="BodyText"/>
      </w:pPr>
      <w:r>
        <w:rPr>
          <w:b/>
          <w:bCs/>
        </w:rPr>
        <w:t xml:space="preserve">Key Tasks by Domain:</w:t>
      </w:r>
    </w:p>
    <w:p>
      <w:pPr>
        <w:pStyle w:val="Compact"/>
        <w:numPr>
          <w:ilvl w:val="0"/>
          <w:numId w:val="1013"/>
        </w:numPr>
      </w:pPr>
      <w:r>
        <w:rPr>
          <w:b/>
          <w:bCs/>
        </w:rPr>
        <w:t xml:space="preserve">Data:</w:t>
      </w:r>
      <w:r>
        <w:t xml:space="preserve"> </w:t>
      </w:r>
      <w:r>
        <w:t xml:space="preserve">Finalize the preparation of data for</w:t>
      </w:r>
      <w:r>
        <w:t xml:space="preserve"> </w:t>
      </w:r>
      <w:r>
        <w:rPr>
          <w:b/>
          <w:bCs/>
        </w:rPr>
        <w:t xml:space="preserve">external collaboration or submission</w:t>
      </w:r>
      <w:r>
        <w:t xml:space="preserve"> </w:t>
      </w:r>
      <w:r>
        <w:t xml:space="preserve">(should you need to share anything externally). In Genesis terms, it was about making data packages Genesis-ready</w:t>
      </w:r>
      <w:hyperlink r:id="rId112">
        <w:r>
          <w:rPr>
            <w:rStyle w:val="Hyperlink"/>
          </w:rPr>
          <w:t xml:space="preserve">[74]</w:t>
        </w:r>
      </w:hyperlink>
      <w:r>
        <w:t xml:space="preserve">; in our context, perhaps ensure that if any data needs to go to a vendor or if you are assembling e.g. a sample dataset to fine-tune a model, it’s ready. Also, by now implement any remaining quality improvements: e.g., if dataset versioning wasn’t done yet, set up at least a rudimentary system (like even a manual log of changes). Possibly</w:t>
      </w:r>
      <w:r>
        <w:t xml:space="preserve"> </w:t>
      </w:r>
      <w:r>
        <w:rPr>
          <w:b/>
          <w:bCs/>
        </w:rPr>
        <w:t xml:space="preserve">freeze a baseline</w:t>
      </w:r>
      <w:r>
        <w:t xml:space="preserve"> </w:t>
      </w:r>
      <w:r>
        <w:t xml:space="preserve">of certain data so you can measure improvements later (e.g., have a copy of last year’s returns to compare error rates). If using a new system for data (like a database or new DMS for easier AI access), migrate some data into it during this phase. The idea is that by day 90, all necessary data is</w:t>
      </w:r>
      <w:r>
        <w:t xml:space="preserve"> </w:t>
      </w:r>
      <w:r>
        <w:rPr>
          <w:b/>
          <w:bCs/>
        </w:rPr>
        <w:t xml:space="preserve">in the right place and format</w:t>
      </w:r>
      <w:r>
        <w:t xml:space="preserve"> </w:t>
      </w:r>
      <w:r>
        <w:t xml:space="preserve">for AI workflows.</w:t>
      </w:r>
    </w:p>
    <w:p>
      <w:pPr>
        <w:pStyle w:val="Compact"/>
        <w:numPr>
          <w:ilvl w:val="0"/>
          <w:numId w:val="1013"/>
        </w:numPr>
      </w:pPr>
      <w:r>
        <w:rPr>
          <w:b/>
          <w:bCs/>
        </w:rPr>
        <w:t xml:space="preserve">AI Tools:</w:t>
      </w:r>
      <w:r>
        <w:t xml:space="preserve"> </w:t>
      </w:r>
      <w:r>
        <w:rPr>
          <w:b/>
          <w:bCs/>
        </w:rPr>
        <w:t xml:space="preserve">Validate reproducibility and reliability</w:t>
      </w:r>
      <w:r>
        <w:t xml:space="preserve"> </w:t>
      </w:r>
      <w:r>
        <w:t xml:space="preserve">of AI outputs end-to-end now</w:t>
      </w:r>
      <w:hyperlink r:id="rId113">
        <w:r>
          <w:rPr>
            <w:rStyle w:val="Hyperlink"/>
          </w:rPr>
          <w:t xml:space="preserve">[75]</w:t>
        </w:r>
      </w:hyperlink>
      <w:r>
        <w:t xml:space="preserve">. Run the AI tools on several real cases (with intense supervision) to ensure they perform as expected when scaled to slightly more complex or different scenarios. For instance, feed a few more complicated documents through OCR – ensure it still works (if not, you might plan to handle those exceptions manually). For Q&amp;A, maybe do a challenging query that involves multi-step reasoning to see how well the AI does. Also,</w:t>
      </w:r>
      <w:r>
        <w:t xml:space="preserve"> </w:t>
      </w:r>
      <w:r>
        <w:rPr>
          <w:b/>
          <w:bCs/>
        </w:rPr>
        <w:t xml:space="preserve">capture evaluation metrics</w:t>
      </w:r>
      <w:r>
        <w:t xml:space="preserve">: e.g., measure OCR accuracy now on a set of docs (like “out of 100 fields, AI got 95 correct, 5 needed correction”). Or measure time saved. This provides evidence of improvement. If you have any AI model fine-tuning or custom knowledge base integration (maybe you fed your past Q&amp;A into the model), finalize that now. Essentially,</w:t>
      </w:r>
      <w:r>
        <w:t xml:space="preserve"> </w:t>
      </w:r>
      <w:r>
        <w:rPr>
          <w:b/>
          <w:bCs/>
        </w:rPr>
        <w:t xml:space="preserve">get models to a production-ready state</w:t>
      </w:r>
      <w:r>
        <w:t xml:space="preserve"> </w:t>
      </w:r>
      <w:r>
        <w:t xml:space="preserve">– e.g., final API keys in place (maybe switching from trial to paid if needed for higher volume), any required model “publication” (some services require moving from dev to production endpoint).</w:t>
      </w:r>
    </w:p>
    <w:p>
      <w:pPr>
        <w:pStyle w:val="Compact"/>
        <w:numPr>
          <w:ilvl w:val="0"/>
          <w:numId w:val="1013"/>
        </w:numPr>
      </w:pPr>
      <w:r>
        <w:rPr>
          <w:b/>
          <w:bCs/>
        </w:rPr>
        <w:t xml:space="preserve">Infrastructure:</w:t>
      </w:r>
      <w:r>
        <w:t xml:space="preserve"> </w:t>
      </w:r>
      <w:r>
        <w:rPr>
          <w:b/>
          <w:bCs/>
        </w:rPr>
        <w:t xml:space="preserve">Finalize container images, deployment scripts, CI/CD</w:t>
      </w:r>
      <w:r>
        <w:t xml:space="preserve"> </w:t>
      </w:r>
      <w:r>
        <w:t xml:space="preserve">so that the AI components are deployed in production environment or ready to deploy</w:t>
      </w:r>
      <w:hyperlink r:id="rId114">
        <w:r>
          <w:rPr>
            <w:rStyle w:val="Hyperlink"/>
          </w:rPr>
          <w:t xml:space="preserve">[76]</w:t>
        </w:r>
      </w:hyperlink>
      <w:r>
        <w:t xml:space="preserve">. For instance, if you developed locally, now deploy the OCR service to a cloud function or server that all staff can access. Confirm that CI is producing reliable artifacts (like the latest version of your AI tool is packaged). Also, conduct a</w:t>
      </w:r>
      <w:r>
        <w:t xml:space="preserve"> </w:t>
      </w:r>
      <w:r>
        <w:rPr>
          <w:b/>
          <w:bCs/>
        </w:rPr>
        <w:t xml:space="preserve">security audit</w:t>
      </w:r>
      <w:r>
        <w:t xml:space="preserve"> </w:t>
      </w:r>
      <w:r>
        <w:t xml:space="preserve">of the infrastructure: check open ports, ensure only intended traffic flows, run through a threat modeling if possible (like “Could someone intercept our AI call? Is any sensitive data stored unencrypted on disk?” – address any findings). By day 90, the infrastructure should be</w:t>
      </w:r>
      <w:r>
        <w:t xml:space="preserve"> </w:t>
      </w:r>
      <w:r>
        <w:rPr>
          <w:b/>
          <w:bCs/>
        </w:rPr>
        <w:t xml:space="preserve">locked down and stable</w:t>
      </w:r>
      <w:r>
        <w:t xml:space="preserve">.</w:t>
      </w:r>
    </w:p>
    <w:p>
      <w:pPr>
        <w:pStyle w:val="Compact"/>
        <w:numPr>
          <w:ilvl w:val="0"/>
          <w:numId w:val="1013"/>
        </w:numPr>
      </w:pPr>
      <w:r>
        <w:rPr>
          <w:b/>
          <w:bCs/>
        </w:rPr>
        <w:t xml:space="preserve">Security &amp; Governance:</w:t>
      </w:r>
      <w:r>
        <w:t xml:space="preserve"> </w:t>
      </w:r>
      <w:r>
        <w:rPr>
          <w:b/>
          <w:bCs/>
        </w:rPr>
        <w:t xml:space="preserve">Finalize all security measures</w:t>
      </w:r>
      <w:r>
        <w:t xml:space="preserve"> </w:t>
      </w:r>
      <w:r>
        <w:t xml:space="preserve">identified. For example, if multi-factor or extra logging was slated but not done, implement now.</w:t>
      </w:r>
      <w:r>
        <w:t xml:space="preserve"> </w:t>
      </w:r>
      <w:r>
        <w:rPr>
          <w:b/>
          <w:bCs/>
        </w:rPr>
        <w:t xml:space="preserve">Update the Governance Binder</w:t>
      </w:r>
      <w:r>
        <w:t xml:space="preserve"> </w:t>
      </w:r>
      <w:r>
        <w:t xml:space="preserve">with any changes (like if new policy adjustments were made from lessons learned)</w:t>
      </w:r>
      <w:hyperlink r:id="rId115">
        <w:r>
          <w:rPr>
            <w:rStyle w:val="Hyperlink"/>
          </w:rPr>
          <w:t xml:space="preserve">[77]</w:t>
        </w:r>
      </w:hyperlink>
      <w:r>
        <w:t xml:space="preserve">. Also, ensure</w:t>
      </w:r>
      <w:r>
        <w:t xml:space="preserve"> </w:t>
      </w:r>
      <w:r>
        <w:rPr>
          <w:b/>
          <w:bCs/>
        </w:rPr>
        <w:t xml:space="preserve">everyone signs off on the AI policy</w:t>
      </w:r>
      <w:r>
        <w:t xml:space="preserve"> </w:t>
      </w:r>
      <w:r>
        <w:t xml:space="preserve">(maybe literally sign an acknowledgement if that’s something your firm does). Conduct a</w:t>
      </w:r>
      <w:r>
        <w:t xml:space="preserve"> </w:t>
      </w:r>
      <w:r>
        <w:rPr>
          <w:b/>
          <w:bCs/>
        </w:rPr>
        <w:t xml:space="preserve">compliance review</w:t>
      </w:r>
      <w:r>
        <w:t xml:space="preserve">: e.g., have a partner or compliance officer review a sample of AI usage to ensure it followed the policy and standards. It’s like a mini internal audit of the pilot to ensure things like no PII went to OpenAI or all AI outputs were properly reviewed. Any deviations discovered should be corrected with training or process changes now.</w:t>
      </w:r>
    </w:p>
    <w:p>
      <w:pPr>
        <w:pStyle w:val="Compact"/>
        <w:numPr>
          <w:ilvl w:val="0"/>
          <w:numId w:val="1013"/>
        </w:numPr>
      </w:pPr>
      <w:r>
        <w:rPr>
          <w:b/>
          <w:bCs/>
        </w:rPr>
        <w:t xml:space="preserve">Documentation/Process:</w:t>
      </w:r>
      <w:r>
        <w:t xml:space="preserve"> </w:t>
      </w:r>
      <w:r>
        <w:t xml:space="preserve">At this stage,</w:t>
      </w:r>
      <w:r>
        <w:t xml:space="preserve"> </w:t>
      </w:r>
      <w:r>
        <w:rPr>
          <w:b/>
          <w:bCs/>
        </w:rPr>
        <w:t xml:space="preserve">draft any client-facing deliverables</w:t>
      </w:r>
      <w:r>
        <w:t xml:space="preserve"> </w:t>
      </w:r>
      <w:r>
        <w:t xml:space="preserve">that might result. For example, if you plan to include an “AI Review Report” as part of tax prep deliverables (maybe a one-page summary of what the AI checked and found, to demonstrate added value), create a template for that and test it. Or if you want to mention technology in your marketing, prepare that language (approved by compliance).</w:t>
      </w:r>
      <w:r>
        <w:t xml:space="preserve"> </w:t>
      </w:r>
      <w:r>
        <w:rPr>
          <w:b/>
          <w:bCs/>
        </w:rPr>
        <w:t xml:space="preserve">Complete drafting of the internal “AI readiness statement”</w:t>
      </w:r>
      <w:r>
        <w:t xml:space="preserve"> </w:t>
      </w:r>
      <w:r>
        <w:t xml:space="preserve">if you want one for management – basically a memo saying “We have implemented X, Y, Z. We are ready to use AI for the upcoming tax season under these controls.” This can boost confidence internally and can be used if clients or regulators ask how you handle AI. Also, finish updating</w:t>
      </w:r>
      <w:r>
        <w:t xml:space="preserve"> </w:t>
      </w:r>
      <w:r>
        <w:rPr>
          <w:b/>
          <w:bCs/>
        </w:rPr>
        <w:t xml:space="preserve">architecture diagrams and data flows</w:t>
      </w:r>
      <w:r>
        <w:t xml:space="preserve"> </w:t>
      </w:r>
      <w:r>
        <w:t xml:space="preserve">with final actual details</w:t>
      </w:r>
      <w:hyperlink r:id="rId116">
        <w:r>
          <w:rPr>
            <w:rStyle w:val="Hyperlink"/>
          </w:rPr>
          <w:t xml:space="preserve">[78]</w:t>
        </w:r>
      </w:hyperlink>
      <w:r>
        <w:t xml:space="preserve">. Ensure</w:t>
      </w:r>
      <w:r>
        <w:t xml:space="preserve"> </w:t>
      </w:r>
      <w:r>
        <w:rPr>
          <w:b/>
          <w:bCs/>
        </w:rPr>
        <w:t xml:space="preserve">SOPs are fully updated</w:t>
      </w:r>
      <w:r>
        <w:t xml:space="preserve"> </w:t>
      </w:r>
      <w:r>
        <w:t xml:space="preserve">and perhaps do a final training session or circulate the new SOPs for acknowledgement. It’s good to do a</w:t>
      </w:r>
      <w:r>
        <w:t xml:space="preserve"> </w:t>
      </w:r>
      <w:r>
        <w:rPr>
          <w:b/>
          <w:bCs/>
        </w:rPr>
        <w:t xml:space="preserve">simulation or dry-run</w:t>
      </w:r>
      <w:r>
        <w:t xml:space="preserve"> </w:t>
      </w:r>
      <w:r>
        <w:t xml:space="preserve">now: maybe pick one full client (with their permission, or a very understanding client, or a prior year scenario) and run through the entire process end-to-end with AI integrated as if it were production. Document how it went and make any last tweaks.</w:t>
      </w:r>
    </w:p>
    <w:p>
      <w:pPr>
        <w:pStyle w:val="Compact"/>
        <w:numPr>
          <w:ilvl w:val="0"/>
          <w:numId w:val="1013"/>
        </w:numPr>
      </w:pPr>
      <w:r>
        <w:rPr>
          <w:b/>
          <w:bCs/>
        </w:rPr>
        <w:t xml:space="preserve">Team Readiness and Transition:</w:t>
      </w:r>
      <w:r>
        <w:t xml:space="preserve"> </w:t>
      </w:r>
      <w:r>
        <w:t xml:space="preserve">In this period you might expand the pilot to the whole team in preparation for going live. Do a</w:t>
      </w:r>
      <w:r>
        <w:t xml:space="preserve"> </w:t>
      </w:r>
      <w:r>
        <w:rPr>
          <w:b/>
          <w:bCs/>
        </w:rPr>
        <w:t xml:space="preserve">workshop</w:t>
      </w:r>
      <w:r>
        <w:t xml:space="preserve"> </w:t>
      </w:r>
      <w:r>
        <w:t xml:space="preserve">where those who piloted share experience with the rest. Let everyone get hands-on with a test example to build comfort. The goal is by day 90 the majority of relevant team members have used the AI tools at least once in a controlled setting and know how to do it. This reduces learning curve during real busy times.</w:t>
      </w:r>
    </w:p>
    <w:p>
      <w:pPr>
        <w:pStyle w:val="Compact"/>
        <w:numPr>
          <w:ilvl w:val="0"/>
          <w:numId w:val="1013"/>
        </w:numPr>
      </w:pPr>
      <w:r>
        <w:rPr>
          <w:b/>
          <w:bCs/>
        </w:rPr>
        <w:t xml:space="preserve">Success Criteria Check:</w:t>
      </w:r>
      <w:r>
        <w:t xml:space="preserve"> </w:t>
      </w:r>
      <w:r>
        <w:t xml:space="preserve">Evaluate if initial goals were met: e.g.,</w:t>
      </w:r>
      <w:r>
        <w:t xml:space="preserve"> </w:t>
      </w:r>
      <w:r>
        <w:rPr>
          <w:i/>
          <w:iCs/>
        </w:rPr>
        <w:t xml:space="preserve">Did we reduce prep time by X% or at least see clear evidence of future time savings? Did the AI catch any errors or provide insights we might have missed?</w:t>
      </w:r>
      <w:r>
        <w:t xml:space="preserve"> </w:t>
      </w:r>
      <w:r>
        <w:t xml:space="preserve">If yes, celebrate that and communicate it. If not, figure out why and address it if possible (or adjust expectations).</w:t>
      </w:r>
    </w:p>
    <w:p>
      <w:pPr>
        <w:pStyle w:val="FirstParagraph"/>
      </w:pPr>
      <w:r>
        <w:t xml:space="preserve">By day 90, you should have a</w:t>
      </w:r>
      <w:r>
        <w:t xml:space="preserve"> </w:t>
      </w:r>
      <w:r>
        <w:rPr>
          <w:b/>
          <w:bCs/>
        </w:rPr>
        <w:t xml:space="preserve">functioning AI-augmented tax preparation process</w:t>
      </w:r>
      <w:r>
        <w:t xml:space="preserve"> </w:t>
      </w:r>
      <w:r>
        <w:t xml:space="preserve">in place, at least for simpler cases or partial use. The core components (document AI, research AI, etc.) should be integrated and governed. The team should be trained and policies enforced. Essentially, you’re ready to use these tools with real clients in a safe way. This concludes the “initial implementation” phases.</w:t>
      </w:r>
    </w:p>
    <w:bookmarkEnd w:id="117"/>
    <w:bookmarkStart w:id="119" w:name="months-optimization-and-broad-adoption"/>
    <w:p>
      <w:pPr>
        <w:pStyle w:val="Heading3"/>
      </w:pPr>
      <w:r>
        <w:t xml:space="preserve">3–6 Months: Optimization and Broad Adoption</w:t>
      </w:r>
    </w:p>
    <w:p>
      <w:pPr>
        <w:pStyle w:val="FirstParagraph"/>
      </w:pPr>
      <w:r>
        <w:rPr>
          <w:b/>
          <w:bCs/>
        </w:rPr>
        <w:t xml:space="preserve">Objectives (Months 3–6):</w:t>
      </w:r>
      <w:r>
        <w:t xml:space="preserve"> </w:t>
      </w:r>
      <w:r>
        <w:t xml:space="preserve">After the initial go-live, the focus shifts to optimizing the processes, fixing any inefficiencies, and extending usage to more complex or additional use cases. It’s also about solidifying the change – making sure the new workflows stick and become standard practice.</w:t>
      </w:r>
    </w:p>
    <w:p>
      <w:pPr>
        <w:pStyle w:val="BodyText"/>
      </w:pPr>
      <w:r>
        <w:rPr>
          <w:b/>
          <w:bCs/>
        </w:rPr>
        <w:t xml:space="preserve">Focus Areas:</w:t>
      </w:r>
    </w:p>
    <w:p>
      <w:pPr>
        <w:pStyle w:val="Compact"/>
        <w:numPr>
          <w:ilvl w:val="0"/>
          <w:numId w:val="1014"/>
        </w:numPr>
      </w:pPr>
      <w:r>
        <w:rPr>
          <w:b/>
          <w:bCs/>
        </w:rPr>
        <w:t xml:space="preserve">Performance Optimization:</w:t>
      </w:r>
      <w:r>
        <w:t xml:space="preserve"> </w:t>
      </w:r>
      <w:r>
        <w:t xml:space="preserve">Now that you’re using AI in production, gather data on its performance. Identify any bottlenecks. For example, maybe the OCR is still slow on certain documents; you could try adjusting settings or using a different engine. Or perhaps the AI suggestions are great but too verbose; you might refine prompt to be more concise. Optimize data pipelines – maybe incorporate caching of AI results for repeated queries (to save cost and time). If you find any tasks still time-consuming, see if AI can assist further or if any automation can be layered. Essentially iterate to make the AI integration as seamless and speedy as possible</w:t>
      </w:r>
      <w:hyperlink r:id="rId118">
        <w:r>
          <w:rPr>
            <w:rStyle w:val="Hyperlink"/>
          </w:rPr>
          <w:t xml:space="preserve">[79]</w:t>
        </w:r>
      </w:hyperlink>
      <w:r>
        <w:t xml:space="preserve">.</w:t>
      </w:r>
    </w:p>
    <w:p>
      <w:pPr>
        <w:pStyle w:val="Compact"/>
        <w:numPr>
          <w:ilvl w:val="0"/>
          <w:numId w:val="1014"/>
        </w:numPr>
      </w:pPr>
      <w:r>
        <w:rPr>
          <w:b/>
          <w:bCs/>
        </w:rPr>
        <w:t xml:space="preserve">Expanded Use Cases:</w:t>
      </w:r>
      <w:r>
        <w:t xml:space="preserve"> </w:t>
      </w:r>
      <w:r>
        <w:t xml:space="preserve">You tackled core tax prep. Consider adjacent areas now. For instance,</w:t>
      </w:r>
      <w:r>
        <w:t xml:space="preserve"> </w:t>
      </w:r>
      <w:r>
        <w:rPr>
          <w:b/>
          <w:bCs/>
        </w:rPr>
        <w:t xml:space="preserve">tax planning</w:t>
      </w:r>
      <w:r>
        <w:t xml:space="preserve"> </w:t>
      </w:r>
      <w:r>
        <w:t xml:space="preserve">for next year – maybe use AI to analyze client data post-filing and generate planning ideas (like an off-season value-add service). Or</w:t>
      </w:r>
      <w:r>
        <w:t xml:space="preserve"> </w:t>
      </w:r>
      <w:r>
        <w:rPr>
          <w:b/>
          <w:bCs/>
        </w:rPr>
        <w:t xml:space="preserve">audit support</w:t>
      </w:r>
      <w:r>
        <w:t xml:space="preserve"> </w:t>
      </w:r>
      <w:r>
        <w:t xml:space="preserve">– if a client gets an IRS notice, perhaps AI could help draft a response or find relevant references. Another example:</w:t>
      </w:r>
      <w:r>
        <w:t xml:space="preserve"> </w:t>
      </w:r>
      <w:r>
        <w:rPr>
          <w:b/>
          <w:bCs/>
        </w:rPr>
        <w:t xml:space="preserve">internal training</w:t>
      </w:r>
      <w:r>
        <w:t xml:space="preserve"> </w:t>
      </w:r>
      <w:r>
        <w:t xml:space="preserve">– new staff can use the AI as a learning tool (e.g., ask it “why is client X’s AMT triggered?”). Ensure governance extends to these uses. Prioritize which new uses to turn on based on benefit and risk. Try one at a time, in a controlled way, much like initial tasks.</w:t>
      </w:r>
    </w:p>
    <w:p>
      <w:pPr>
        <w:pStyle w:val="Compact"/>
        <w:numPr>
          <w:ilvl w:val="0"/>
          <w:numId w:val="1014"/>
        </w:numPr>
      </w:pPr>
      <w:r>
        <w:rPr>
          <w:b/>
          <w:bCs/>
        </w:rPr>
        <w:t xml:space="preserve">Explainability and Quality</w:t>
      </w:r>
      <w:r>
        <w:t xml:space="preserve">: If not earlier, around this time you could implement more advanced features like</w:t>
      </w:r>
      <w:r>
        <w:t xml:space="preserve"> </w:t>
      </w:r>
      <w:r>
        <w:rPr>
          <w:b/>
          <w:bCs/>
        </w:rPr>
        <w:t xml:space="preserve">explainability</w:t>
      </w:r>
      <w:r>
        <w:t xml:space="preserve"> </w:t>
      </w:r>
      <w:r>
        <w:t xml:space="preserve">of AI recommendations. For instance, if AI flagged a discrepancy, ensure it logs or explains why (“Line 12 is 50% higher than last year’s; threshold was 20%”). This might involve adjusting code or prompts to include reasoning. It could help in review and in trusting the AI. Also expand</w:t>
      </w:r>
      <w:r>
        <w:t xml:space="preserve"> </w:t>
      </w:r>
      <w:r>
        <w:rPr>
          <w:b/>
          <w:bCs/>
        </w:rPr>
        <w:t xml:space="preserve">benchmarking</w:t>
      </w:r>
      <w:r>
        <w:t xml:space="preserve"> </w:t>
      </w:r>
      <w:r>
        <w:t xml:space="preserve">– maybe compare a sample of returns done with AI vs without (or vs last year’s error rates) to quantify improvements</w:t>
      </w:r>
      <w:hyperlink r:id="rId118">
        <w:r>
          <w:rPr>
            <w:rStyle w:val="Hyperlink"/>
          </w:rPr>
          <w:t xml:space="preserve">[79]</w:t>
        </w:r>
      </w:hyperlink>
      <w:r>
        <w:t xml:space="preserve">.</w:t>
      </w:r>
    </w:p>
    <w:p>
      <w:pPr>
        <w:pStyle w:val="Compact"/>
        <w:numPr>
          <w:ilvl w:val="0"/>
          <w:numId w:val="1014"/>
        </w:numPr>
      </w:pPr>
      <w:r>
        <w:rPr>
          <w:b/>
          <w:bCs/>
        </w:rPr>
        <w:t xml:space="preserve">Security Hardening &amp; Monitoring:</w:t>
      </w:r>
      <w:r>
        <w:t xml:space="preserve"> </w:t>
      </w:r>
      <w:r>
        <w:t xml:space="preserve">After a few months, it’s prudent to</w:t>
      </w:r>
      <w:r>
        <w:t xml:space="preserve"> </w:t>
      </w:r>
      <w:r>
        <w:rPr>
          <w:b/>
          <w:bCs/>
        </w:rPr>
        <w:t xml:space="preserve">audit the logs</w:t>
      </w:r>
      <w:r>
        <w:t xml:space="preserve"> </w:t>
      </w:r>
      <w:r>
        <w:t xml:space="preserve">and see if any unapproved usage occurred or any hints of incident. For example, check if anyone tried using an AI tool in a way against policy (the logs might show if a user input an SSN into the AI by mistake – if you logged prompts securely, you could catch that). Use this to reinforce training or tweak systems (maybe mask such patterns automatically). Also ensure all software and tools are updated (apply any patches to AI-related software, update to newer model versions if needed and tested). Continue to monitor vendor compliance (did the AI provider change terms?).</w:t>
      </w:r>
    </w:p>
    <w:p>
      <w:pPr>
        <w:pStyle w:val="Compact"/>
        <w:numPr>
          <w:ilvl w:val="0"/>
          <w:numId w:val="1014"/>
        </w:numPr>
      </w:pPr>
      <w:r>
        <w:rPr>
          <w:b/>
          <w:bCs/>
        </w:rPr>
        <w:t xml:space="preserve">Documentation and Knowledge Sharing:</w:t>
      </w:r>
      <w:r>
        <w:t xml:space="preserve"> </w:t>
      </w:r>
      <w:r>
        <w:t xml:space="preserve">By 6 months, compile the learnings and perhaps write an internal case study or report. This documentation can be valuable for firm knowledge and for external marketing or audits. It shows proactive improvement. Keep the Governance binder updated with any changes (maybe you changed a process after initial rollout; document that update). If there were any issues and resolutions, record them (like a mini knowledge base of AI issues: e.g., “If OCR fails on handwriting, procedure is to do manual entry.”).</w:t>
      </w:r>
    </w:p>
    <w:p>
      <w:pPr>
        <w:pStyle w:val="Compact"/>
        <w:numPr>
          <w:ilvl w:val="0"/>
          <w:numId w:val="1014"/>
        </w:numPr>
      </w:pPr>
      <w:r>
        <w:rPr>
          <w:b/>
          <w:bCs/>
        </w:rPr>
        <w:t xml:space="preserve">Client Engagement:</w:t>
      </w:r>
      <w:r>
        <w:t xml:space="preserve"> </w:t>
      </w:r>
      <w:r>
        <w:t xml:space="preserve">Possibly, by now you might inform some key clients how you’re leveraging AI to improve service, to gauge their reaction. Many clients will appreciate the innovation if framed correctly (emphasize quality and efficiency, not that a robot is doing their taxes!). Their feedback could be interesting – e.g., maybe a client says “I love that letter I got summarizing my return, was that AI? It was well-written.” Or some might express concerns (“Is my data safe?”), giving you a chance to reassure and refine communication.</w:t>
      </w:r>
    </w:p>
    <w:p>
      <w:pPr>
        <w:pStyle w:val="FirstParagraph"/>
      </w:pPr>
      <w:r>
        <w:rPr>
          <w:b/>
          <w:bCs/>
        </w:rPr>
        <w:t xml:space="preserve">Outcome by 6 months:</w:t>
      </w:r>
      <w:r>
        <w:t xml:space="preserve"> </w:t>
      </w:r>
      <w:r>
        <w:t xml:space="preserve">The AI integration should be fully embedded in your standard practice, running smoothly during the tax season. The team should be confident with it, and any kinks ironed out. You have metrics to show improvements (maybe faster turnaround, fewer errors, etc.). The firm should feel that the AI project has moved from experimental to essential infrastructure for their work.</w:t>
      </w:r>
    </w:p>
    <w:bookmarkEnd w:id="119"/>
    <w:bookmarkStart w:id="122" w:name="months-long-term-readiness-and-evolution"/>
    <w:p>
      <w:pPr>
        <w:pStyle w:val="Heading3"/>
      </w:pPr>
      <w:r>
        <w:t xml:space="preserve">6–12 Months: Long-Term Readiness and Evolution</w:t>
      </w:r>
    </w:p>
    <w:p>
      <w:pPr>
        <w:pStyle w:val="FirstParagraph"/>
      </w:pPr>
      <w:r>
        <w:rPr>
          <w:b/>
          <w:bCs/>
        </w:rPr>
        <w:t xml:space="preserve">Objectives (Months 6–12):</w:t>
      </w:r>
      <w:r>
        <w:t xml:space="preserve"> </w:t>
      </w:r>
      <w:r>
        <w:t xml:space="preserve">The final phase focuses on ensuring long-term success and keeping up with change. It's about</w:t>
      </w:r>
      <w:r>
        <w:t xml:space="preserve"> </w:t>
      </w:r>
      <w:r>
        <w:rPr>
          <w:i/>
          <w:iCs/>
        </w:rPr>
        <w:t xml:space="preserve">sustaining and scaling</w:t>
      </w:r>
      <w:r>
        <w:t xml:space="preserve">: maintaining readiness as new challenges come, and possibly scaling to more advanced capabilities or more users (like other departments).</w:t>
      </w:r>
    </w:p>
    <w:p>
      <w:pPr>
        <w:pStyle w:val="BodyText"/>
      </w:pPr>
      <w:r>
        <w:rPr>
          <w:b/>
          <w:bCs/>
        </w:rPr>
        <w:t xml:space="preserve">Key Themes:</w:t>
      </w:r>
    </w:p>
    <w:p>
      <w:pPr>
        <w:pStyle w:val="Compact"/>
        <w:numPr>
          <w:ilvl w:val="0"/>
          <w:numId w:val="1015"/>
        </w:numPr>
      </w:pPr>
      <w:r>
        <w:rPr>
          <w:b/>
          <w:bCs/>
        </w:rPr>
        <w:t xml:space="preserve">Periodic Audits and Maintenance:</w:t>
      </w:r>
      <w:r>
        <w:t xml:space="preserve"> </w:t>
      </w:r>
      <w:r>
        <w:t xml:space="preserve">At around 1 year mark, do a</w:t>
      </w:r>
      <w:r>
        <w:t xml:space="preserve"> </w:t>
      </w:r>
      <w:r>
        <w:rPr>
          <w:b/>
          <w:bCs/>
        </w:rPr>
        <w:t xml:space="preserve">full internal audit</w:t>
      </w:r>
      <w:r>
        <w:t xml:space="preserve"> </w:t>
      </w:r>
      <w:r>
        <w:t xml:space="preserve">of the AI-augmented process</w:t>
      </w:r>
      <w:hyperlink r:id="rId120">
        <w:r>
          <w:rPr>
            <w:rStyle w:val="Hyperlink"/>
          </w:rPr>
          <w:t xml:space="preserve">[80]</w:t>
        </w:r>
      </w:hyperlink>
      <w:r>
        <w:t xml:space="preserve">. Check compliance with policies (spot-check some engagements to ensure AI steps were done right). Evaluate whether the controls are sufficient or need tightening. Also audit for drift: maybe over time people got lax on some step – address that. Evaluate if any models have drifted or performance changed (some AI services might change behavior with updates). Retrain or fine-tune models if needed to maintain accuracy</w:t>
      </w:r>
      <w:hyperlink r:id="rId120">
        <w:r>
          <w:rPr>
            <w:rStyle w:val="Hyperlink"/>
          </w:rPr>
          <w:t xml:space="preserve">[80]</w:t>
        </w:r>
      </w:hyperlink>
      <w:r>
        <w:t xml:space="preserve">.</w:t>
      </w:r>
    </w:p>
    <w:p>
      <w:pPr>
        <w:pStyle w:val="Compact"/>
        <w:numPr>
          <w:ilvl w:val="0"/>
          <w:numId w:val="1015"/>
        </w:numPr>
      </w:pPr>
      <w:r>
        <w:rPr>
          <w:b/>
          <w:bCs/>
        </w:rPr>
        <w:t xml:space="preserve">Update Governance &amp; Documentation:</w:t>
      </w:r>
      <w:r>
        <w:t xml:space="preserve"> </w:t>
      </w:r>
      <w:r>
        <w:t xml:space="preserve">Revise policies as needed based on that audit or any external changes (e.g., if AICPA issues new guidelines or if a new law about AI usage comes out, incorporate those)</w:t>
      </w:r>
      <w:hyperlink r:id="rId28">
        <w:r>
          <w:rPr>
            <w:rStyle w:val="Hyperlink"/>
          </w:rPr>
          <w:t xml:space="preserve">[8]</w:t>
        </w:r>
      </w:hyperlink>
      <w:hyperlink r:id="rId33">
        <w:r>
          <w:rPr>
            <w:rStyle w:val="Hyperlink"/>
          </w:rPr>
          <w:t xml:space="preserve">[12]</w:t>
        </w:r>
      </w:hyperlink>
      <w:r>
        <w:t xml:space="preserve">. Keep all documentation living – e.g., if you discovered a better way to handle something, update the SOP and train the team. Ensure that as new staff join, they receive training on the AI tools – fold it into your standard training programs.</w:t>
      </w:r>
    </w:p>
    <w:p>
      <w:pPr>
        <w:pStyle w:val="Compact"/>
        <w:numPr>
          <w:ilvl w:val="0"/>
          <w:numId w:val="1015"/>
        </w:numPr>
      </w:pPr>
      <w:r>
        <w:rPr>
          <w:b/>
          <w:bCs/>
        </w:rPr>
        <w:t xml:space="preserve">Tech Upgrades:</w:t>
      </w:r>
      <w:r>
        <w:t xml:space="preserve"> </w:t>
      </w:r>
      <w:r>
        <w:t xml:space="preserve">The AI field will likely have new developments within a year. Monitor for any new tools that could further improve your process. For instance, maybe a new version of GPT is much faster or has tax knowledge through 2025 – plan to evaluate it. Or new specialized tax AI services appear – consider if they provide enough benefit to adopt (maybe additional cost). Maintain a mindset of continuous improvement with caution: don’t jump on every new thing, but assess if it solves a current pain point. Possibly run a small experiment with any promising new tech. Also ensure your existing tools remain updated – e.g., if your OCR vendor improves their model, test and adopt if beneficial.</w:t>
      </w:r>
    </w:p>
    <w:p>
      <w:pPr>
        <w:pStyle w:val="Compact"/>
        <w:numPr>
          <w:ilvl w:val="0"/>
          <w:numId w:val="1015"/>
        </w:numPr>
      </w:pPr>
      <w:r>
        <w:rPr>
          <w:b/>
          <w:bCs/>
        </w:rPr>
        <w:t xml:space="preserve">Scale to Other Domains:</w:t>
      </w:r>
      <w:r>
        <w:t xml:space="preserve"> </w:t>
      </w:r>
      <w:r>
        <w:t xml:space="preserve">If your company has other departments (e.g., audit, advisory) or if you want to extend to related processes (like bookkeeping, payroll compliance), consider applying similar AI readiness approaches there. The frameworks from this pack can be adapted. This is optional and beyond tax prep, but if the tax project was a success, it often inspires expansion.</w:t>
      </w:r>
    </w:p>
    <w:p>
      <w:pPr>
        <w:pStyle w:val="Compact"/>
        <w:numPr>
          <w:ilvl w:val="0"/>
          <w:numId w:val="1015"/>
        </w:numPr>
      </w:pPr>
      <w:r>
        <w:rPr>
          <w:b/>
          <w:bCs/>
        </w:rPr>
        <w:t xml:space="preserve">Culture and Firm Positioning:</w:t>
      </w:r>
      <w:r>
        <w:t xml:space="preserve"> </w:t>
      </w:r>
      <w:r>
        <w:t xml:space="preserve">Over a year, aim to embed a culture of smart automation and AI literacy. Encourage staff to keep suggesting uses for AI or improvements (maybe an “AI ideas” forum). Perhaps designate an “AI committee” to continuously oversee these efforts, keeping the momentum. Externally, by 12 months you could market yourselves as a tech-forward firm that effectively uses AI to benefit clients – which can attract new clients or talent. If you do, ensure messaging focuses on human expertise amplified by AI, which is exactly what you’ve built.</w:t>
      </w:r>
    </w:p>
    <w:p>
      <w:pPr>
        <w:pStyle w:val="FirstParagraph"/>
      </w:pPr>
      <w:r>
        <w:rPr>
          <w:b/>
          <w:bCs/>
        </w:rPr>
        <w:t xml:space="preserve">Outcome by 12 months:</w:t>
      </w:r>
      <w:r>
        <w:t xml:space="preserve"> </w:t>
      </w:r>
      <w:r>
        <w:t xml:space="preserve">The firm is not just ready for AI – it’s thriving with AI as a normal part of operations. The initial “project” transitions to business-as-usual, with ongoing oversight. You maintain readiness for future changes, meaning the team can handle updates in regulations or technology without starting from scratch. Essentially, you become an</w:t>
      </w:r>
      <w:r>
        <w:t xml:space="preserve"> </w:t>
      </w:r>
      <w:r>
        <w:rPr>
          <w:b/>
          <w:bCs/>
        </w:rPr>
        <w:t xml:space="preserve">AI-augmented tax practice</w:t>
      </w:r>
      <w:r>
        <w:t xml:space="preserve"> </w:t>
      </w:r>
      <w:r>
        <w:t xml:space="preserve">that can adapt to whatever year 2 and beyond bring.</w:t>
      </w:r>
    </w:p>
    <w:p>
      <w:r>
        <w:pict>
          <v:rect style="width:0;height:1.5pt" o:hralign="center" o:hrstd="t" o:hr="t"/>
        </w:pict>
      </w:r>
    </w:p>
    <w:p>
      <w:pPr>
        <w:pStyle w:val="FirstParagraph"/>
      </w:pPr>
      <w:r>
        <w:t xml:space="preserve">The roadmap above is a guideline; each organization can adjust timelines. Some might progress faster in some areas and slower in others. The provided phases ensure that critical pieces (like security and training) are not left until too late, and that early phases deliver tangible value to justify continuing. It also aligns with broader recommendations in the accounting industry:</w:t>
      </w:r>
      <w:r>
        <w:t xml:space="preserve"> </w:t>
      </w:r>
      <w:r>
        <w:rPr>
          <w:i/>
          <w:iCs/>
        </w:rPr>
        <w:t xml:space="preserve">start with a pilot, ensure human-in-the-loop, and then scale up responsibly</w:t>
      </w:r>
      <w:hyperlink r:id="rId38">
        <w:r>
          <w:rPr>
            <w:rStyle w:val="Hyperlink"/>
          </w:rPr>
          <w:t xml:space="preserve">[17]</w:t>
        </w:r>
      </w:hyperlink>
      <w:hyperlink r:id="rId121">
        <w:r>
          <w:rPr>
            <w:rStyle w:val="Hyperlink"/>
          </w:rPr>
          <w:t xml:space="preserve">[81]</w:t>
        </w:r>
      </w:hyperlink>
      <w:r>
        <w:t xml:space="preserve">.</w:t>
      </w:r>
    </w:p>
    <w:p>
      <w:pPr>
        <w:pStyle w:val="BodyText"/>
      </w:pPr>
      <w:r>
        <w:t xml:space="preserve">Next, we will provide more detailed</w:t>
      </w:r>
      <w:r>
        <w:t xml:space="preserve"> </w:t>
      </w:r>
      <w:r>
        <w:rPr>
          <w:b/>
          <w:bCs/>
        </w:rPr>
        <w:t xml:space="preserve">Security &amp; Governance guidance</w:t>
      </w:r>
      <w:r>
        <w:t xml:space="preserve"> </w:t>
      </w:r>
      <w:r>
        <w:t xml:space="preserve">to complement the above, followed by</w:t>
      </w:r>
      <w:r>
        <w:t xml:space="preserve"> </w:t>
      </w:r>
      <w:r>
        <w:rPr>
          <w:b/>
          <w:bCs/>
        </w:rPr>
        <w:t xml:space="preserve">Architecture integration details</w:t>
      </w:r>
      <w:r>
        <w:t xml:space="preserve"> </w:t>
      </w:r>
      <w:r>
        <w:t xml:space="preserve">and</w:t>
      </w:r>
      <w:r>
        <w:t xml:space="preserve"> </w:t>
      </w:r>
      <w:r>
        <w:rPr>
          <w:b/>
          <w:bCs/>
        </w:rPr>
        <w:t xml:space="preserve">AI copilot playbook</w:t>
      </w:r>
      <w:r>
        <w:t xml:space="preserve"> </w:t>
      </w:r>
      <w:r>
        <w:t xml:space="preserve">content.</w:t>
      </w:r>
    </w:p>
    <w:bookmarkEnd w:id="122"/>
    <w:bookmarkEnd w:id="123"/>
    <w:bookmarkStart w:id="149" w:name="Xb1dfa69cf54eb7efeb37cc5868e7a00739e4158"/>
    <w:p>
      <w:pPr>
        <w:pStyle w:val="Heading2"/>
      </w:pPr>
      <w:r>
        <w:t xml:space="preserve">Security and Governance Guidance for AI in Tax</w:t>
      </w:r>
    </w:p>
    <w:p>
      <w:pPr>
        <w:pStyle w:val="FirstParagraph"/>
      </w:pPr>
      <w:r>
        <w:rPr>
          <w:i/>
          <w:iCs/>
        </w:rPr>
        <w:t xml:space="preserve">This section offers detailed guidance on security controls, data protection, ethical use, and governance structures specific to AI in tax preparation. It is aligned with the objectives we touched on in the checklist and roadmap, but here we dive deeper into best practices and concrete steps. This is meant for engineering teams and firm leadership to implement robust security around the AI integration.</w:t>
      </w:r>
      <w:r>
        <w:t xml:space="preserve"> </w:t>
      </w:r>
      <w:r>
        <w:rPr>
          <w:b/>
          <w:bCs/>
        </w:rPr>
        <w:t xml:space="preserve">(Citations to relevant regulations and industry recommendations are included to support each point.)</w:t>
      </w:r>
    </w:p>
    <w:bookmarkStart w:id="125" w:name="security-objectives-and-principles"/>
    <w:p>
      <w:pPr>
        <w:pStyle w:val="Heading3"/>
      </w:pPr>
      <w:r>
        <w:t xml:space="preserve">1. Security Objectives and Principles</w:t>
      </w:r>
    </w:p>
    <w:p>
      <w:pPr>
        <w:pStyle w:val="FirstParagraph"/>
      </w:pPr>
      <w:r>
        <w:t xml:space="preserve">Before implementing specific controls, it’s important to outline the high-level security and governance objectives for AI usage in a tax context:</w:t>
      </w:r>
    </w:p>
    <w:p>
      <w:pPr>
        <w:pStyle w:val="Compact"/>
        <w:numPr>
          <w:ilvl w:val="0"/>
          <w:numId w:val="1016"/>
        </w:numPr>
      </w:pPr>
      <w:r>
        <w:rPr>
          <w:b/>
          <w:bCs/>
        </w:rPr>
        <w:t xml:space="preserve">Preserve Client Confidentiality and Privacy:</w:t>
      </w:r>
      <w:r>
        <w:t xml:space="preserve"> </w:t>
      </w:r>
      <w:r>
        <w:t xml:space="preserve">Tax professionals are legally and ethically obligated to keep client information confidential. This doesn’t change with AI – thus any AI use must not compromise privacy. The objective is</w:t>
      </w:r>
      <w:r>
        <w:t xml:space="preserve"> </w:t>
      </w:r>
      <w:r>
        <w:rPr>
          <w:b/>
          <w:bCs/>
        </w:rPr>
        <w:t xml:space="preserve">zero unauthorized disclosures</w:t>
      </w:r>
      <w:r>
        <w:t xml:space="preserve"> </w:t>
      </w:r>
      <w:r>
        <w:t xml:space="preserve">of taxpayer information via AI systems. As the Thomson Reuters</w:t>
      </w:r>
      <w:r>
        <w:t xml:space="preserve"> </w:t>
      </w:r>
      <w:r>
        <w:rPr>
          <w:i/>
          <w:iCs/>
        </w:rPr>
        <w:t xml:space="preserve">Future of Professionals Report</w:t>
      </w:r>
      <w:r>
        <w:t xml:space="preserve"> </w:t>
      </w:r>
      <w:r>
        <w:t xml:space="preserve">noted, data security is a top ethical concern with AI (65% citing it)</w:t>
      </w:r>
      <w:hyperlink r:id="rId25">
        <w:r>
          <w:rPr>
            <w:rStyle w:val="Hyperlink"/>
          </w:rPr>
          <w:t xml:space="preserve">[4]</w:t>
        </w:r>
      </w:hyperlink>
      <w:r>
        <w:t xml:space="preserve">. This means our systems should be designed such that using AI does not increase the risk of a breach or leak of client data.</w:t>
      </w:r>
    </w:p>
    <w:p>
      <w:pPr>
        <w:pStyle w:val="Compact"/>
        <w:numPr>
          <w:ilvl w:val="0"/>
          <w:numId w:val="1016"/>
        </w:numPr>
      </w:pPr>
      <w:r>
        <w:rPr>
          <w:b/>
          <w:bCs/>
        </w:rPr>
        <w:t xml:space="preserve">Ensure Accuracy and Integrity of Advice:</w:t>
      </w:r>
      <w:r>
        <w:t xml:space="preserve"> </w:t>
      </w:r>
      <w:r>
        <w:t xml:space="preserve">AI should not be allowed to introduce inaccuracies into tax work. Professionals must exercise due diligence (Circular 230, SSTS) to verify that any advice or calculation is correct. The AI should be a tool to enhance accuracy (by double-checking calculations or suggesting areas to look at), not a source of unchecked errors. The guiding principle:</w:t>
      </w:r>
      <w:r>
        <w:t xml:space="preserve"> </w:t>
      </w:r>
      <w:r>
        <w:rPr>
          <w:b/>
          <w:bCs/>
        </w:rPr>
        <w:t xml:space="preserve">AI outputs must be treated as suggestions that require the same verification as if a junior staff had provided them</w:t>
      </w:r>
      <w:r>
        <w:t xml:space="preserve">. The firm’s quality control processes (review layers) remain in force, just with AI as an additional input.</w:t>
      </w:r>
    </w:p>
    <w:p>
      <w:pPr>
        <w:pStyle w:val="Compact"/>
        <w:numPr>
          <w:ilvl w:val="0"/>
          <w:numId w:val="1016"/>
        </w:numPr>
      </w:pPr>
      <w:r>
        <w:rPr>
          <w:b/>
          <w:bCs/>
        </w:rPr>
        <w:t xml:space="preserve">Maintain Ethical Standards and Professional Responsibility:</w:t>
      </w:r>
      <w:r>
        <w:t xml:space="preserve"> </w:t>
      </w:r>
      <w:r>
        <w:t xml:space="preserve">As emphasized by AICPA guidelines, using AI does not reduce the practitioner’s responsibility</w:t>
      </w:r>
      <w:hyperlink r:id="rId35">
        <w:r>
          <w:rPr>
            <w:rStyle w:val="Hyperlink"/>
          </w:rPr>
          <w:t xml:space="preserve">[14]</w:t>
        </w:r>
      </w:hyperlink>
      <w:r>
        <w:t xml:space="preserve">. The CPA signing the return is still fully accountable as if they did all work manually. Therefore, our governance must ensure human oversight on any AI-derived conclusions. Also, AI should be used in a manner consistent with professional ethics – e.g., not to knowingly exploit loopholes that violate the law or to create misleading statements. A majority of professionals support establishing standards for AI use to uphold ethics</w:t>
      </w:r>
      <w:hyperlink r:id="rId27">
        <w:r>
          <w:rPr>
            <w:rStyle w:val="Hyperlink"/>
          </w:rPr>
          <w:t xml:space="preserve">[7]</w:t>
        </w:r>
      </w:hyperlink>
      <w:r>
        <w:t xml:space="preserve">, hence we will codify clear rules.</w:t>
      </w:r>
    </w:p>
    <w:p>
      <w:pPr>
        <w:pStyle w:val="Compact"/>
        <w:numPr>
          <w:ilvl w:val="0"/>
          <w:numId w:val="1016"/>
        </w:numPr>
      </w:pPr>
      <w:r>
        <w:rPr>
          <w:b/>
          <w:bCs/>
        </w:rPr>
        <w:t xml:space="preserve">Enable Auditability and Transparency:</w:t>
      </w:r>
      <w:r>
        <w:t xml:space="preserve"> </w:t>
      </w:r>
      <w:r>
        <w:t xml:space="preserve">We want to be able to</w:t>
      </w:r>
      <w:r>
        <w:t xml:space="preserve"> </w:t>
      </w:r>
      <w:r>
        <w:rPr>
          <w:b/>
          <w:bCs/>
        </w:rPr>
        <w:t xml:space="preserve">explain and document how AI was used</w:t>
      </w:r>
      <w:r>
        <w:t xml:space="preserve"> </w:t>
      </w:r>
      <w:r>
        <w:t xml:space="preserve">in the preparation process. In case of any questions (internal, client, or regulatory), we should have an audit trail to show what the AI suggested and how the human professionals dealt with it</w:t>
      </w:r>
      <w:hyperlink r:id="rId39">
        <w:r>
          <w:rPr>
            <w:rStyle w:val="Hyperlink"/>
          </w:rPr>
          <w:t xml:space="preserve">[18]</w:t>
        </w:r>
      </w:hyperlink>
      <w:r>
        <w:t xml:space="preserve">. This transparency is also an internal safeguard – it forces careful consideration of AI outputs if one knows it’s recorded and could be reviewed.</w:t>
      </w:r>
    </w:p>
    <w:p>
      <w:pPr>
        <w:pStyle w:val="Compact"/>
        <w:numPr>
          <w:ilvl w:val="0"/>
          <w:numId w:val="1016"/>
        </w:numPr>
      </w:pPr>
      <w:r>
        <w:rPr>
          <w:b/>
          <w:bCs/>
        </w:rPr>
        <w:t xml:space="preserve">Controlled Collaboration with Third-Party AI Services:</w:t>
      </w:r>
      <w:r>
        <w:t xml:space="preserve"> </w:t>
      </w:r>
      <w:r>
        <w:t xml:space="preserve">If using external AI providers, treat them as you would any subcontractor or software vendor handling sensitive data. This means</w:t>
      </w:r>
      <w:r>
        <w:t xml:space="preserve"> </w:t>
      </w:r>
      <w:r>
        <w:rPr>
          <w:b/>
          <w:bCs/>
        </w:rPr>
        <w:t xml:space="preserve">due diligence on the vendor’s security</w:t>
      </w:r>
      <w:r>
        <w:t xml:space="preserve"> </w:t>
      </w:r>
      <w:r>
        <w:t xml:space="preserve">(e.g., is data encrypted, do they have certifications like SOC 2?), minimum necessary data sharing, and contractual or setting-based assurance that your data won’t be misused (for example, using OpenAI’s business settings to opt-out of data being used for training). Essentially, treat AI APIs with the same caution as sending data to an outside consultant – NDA/agreements in place as needed, and regulation 7216 compliance (which generally allows sharing with auxiliary service providers under certain conditions, but you must ensure they protect the data)</w:t>
      </w:r>
      <w:hyperlink r:id="rId34">
        <w:r>
          <w:rPr>
            <w:rStyle w:val="Hyperlink"/>
          </w:rPr>
          <w:t xml:space="preserve">[13]</w:t>
        </w:r>
      </w:hyperlink>
      <w:r>
        <w:t xml:space="preserve">.</w:t>
      </w:r>
    </w:p>
    <w:p>
      <w:pPr>
        <w:pStyle w:val="Compact"/>
        <w:numPr>
          <w:ilvl w:val="0"/>
          <w:numId w:val="1016"/>
        </w:numPr>
      </w:pPr>
      <w:r>
        <w:rPr>
          <w:b/>
          <w:bCs/>
        </w:rPr>
        <w:t xml:space="preserve">Human Oversight and Risk Management:</w:t>
      </w:r>
      <w:r>
        <w:t xml:space="preserve"> </w:t>
      </w:r>
      <w:r>
        <w:t xml:space="preserve">Implement a framework such that</w:t>
      </w:r>
      <w:r>
        <w:t xml:space="preserve"> </w:t>
      </w:r>
      <w:r>
        <w:rPr>
          <w:b/>
          <w:bCs/>
        </w:rPr>
        <w:t xml:space="preserve">AI augments but does not replace critical human judgments</w:t>
      </w:r>
      <w:r>
        <w:t xml:space="preserve">. For any scenario where AI might provide an answer (like “Is this expense deductible?”), ensure either the AI is pulling directly from authoritative sources or the human double-checks authoritative sources. Boundaries should be set – e.g., if AI is used to draft a tax position memo, perhaps the firm requires a second review by someone not on the engagement team (treat it almost as if an intern drafted it – you’d review carefully). We want to minimize the risk of “automation complacency” where staff trust AI too much. Only 43% of tax pros are comfortable with AI advice unsupervised</w:t>
      </w:r>
      <w:hyperlink r:id="rId28">
        <w:r>
          <w:rPr>
            <w:rStyle w:val="Hyperlink"/>
          </w:rPr>
          <w:t xml:space="preserve">[8]</w:t>
        </w:r>
      </w:hyperlink>
      <w:r>
        <w:t xml:space="preserve">, meaning our default stance is</w:t>
      </w:r>
      <w:r>
        <w:t xml:space="preserve"> </w:t>
      </w:r>
      <w:r>
        <w:rPr>
          <w:b/>
          <w:bCs/>
        </w:rPr>
        <w:t xml:space="preserve">AI is not allowed to be the final word</w:t>
      </w:r>
      <w:r>
        <w:t xml:space="preserve">.</w:t>
      </w:r>
    </w:p>
    <w:p>
      <w:pPr>
        <w:pStyle w:val="Compact"/>
        <w:numPr>
          <w:ilvl w:val="0"/>
          <w:numId w:val="1016"/>
        </w:numPr>
      </w:pPr>
      <w:r>
        <w:rPr>
          <w:b/>
          <w:bCs/>
        </w:rPr>
        <w:t xml:space="preserve">Compliance with Evolving Regulations:</w:t>
      </w:r>
      <w:r>
        <w:t xml:space="preserve"> </w:t>
      </w:r>
      <w:r>
        <w:t xml:space="preserve">The regulatory landscape around AI is evolving. For instance, in late 2024 the U.S. Department of Labor released AI best practices including maintaining human oversight</w:t>
      </w:r>
      <w:hyperlink r:id="rId124">
        <w:r>
          <w:rPr>
            <w:rStyle w:val="Hyperlink"/>
          </w:rPr>
          <w:t xml:space="preserve">[82]</w:t>
        </w:r>
      </w:hyperlink>
      <w:r>
        <w:t xml:space="preserve">. We aim to remain compliant not just with current rules but adaptable to new laws or standards (like potential future IRS guidance on AI, or data protection laws that might classify AI outputs in a certain way). Having a governance process that monitors external developments is part of our objective so we can update our policies proactively.</w:t>
      </w:r>
    </w:p>
    <w:p>
      <w:pPr>
        <w:pStyle w:val="FirstParagraph"/>
      </w:pPr>
      <w:r>
        <w:t xml:space="preserve">These objectives form the foundation: confidentiality, accuracy, ethical compliance, auditability, careful vendor management, and oversight. Next, we translate these into concrete controls and practices.</w:t>
      </w:r>
    </w:p>
    <w:bookmarkEnd w:id="125"/>
    <w:bookmarkStart w:id="130" w:name="data-classification-and-handling-rules"/>
    <w:p>
      <w:pPr>
        <w:pStyle w:val="Heading3"/>
      </w:pPr>
      <w:r>
        <w:t xml:space="preserve">2. Data Classification and Handling Rules</w:t>
      </w:r>
    </w:p>
    <w:p>
      <w:pPr>
        <w:pStyle w:val="FirstParagraph"/>
      </w:pPr>
      <w:r>
        <w:t xml:space="preserve">Implementing a robust</w:t>
      </w:r>
      <w:r>
        <w:t xml:space="preserve"> </w:t>
      </w:r>
      <w:r>
        <w:rPr>
          <w:b/>
          <w:bCs/>
        </w:rPr>
        <w:t xml:space="preserve">data classification</w:t>
      </w:r>
      <w:r>
        <w:t xml:space="preserve"> </w:t>
      </w:r>
      <w:r>
        <w:t xml:space="preserve">scheme is the cornerstone of protecting sensitive information in AI workflows</w:t>
      </w:r>
      <w:hyperlink r:id="rId126">
        <w:r>
          <w:rPr>
            <w:rStyle w:val="Hyperlink"/>
          </w:rPr>
          <w:t xml:space="preserve">[83]</w:t>
        </w:r>
      </w:hyperlink>
      <w:hyperlink r:id="rId127">
        <w:r>
          <w:rPr>
            <w:rStyle w:val="Hyperlink"/>
          </w:rPr>
          <w:t xml:space="preserve">[84]</w:t>
        </w:r>
      </w:hyperlink>
      <w:r>
        <w:t xml:space="preserve">. We classify data so that we can apply appropriate handling rules at each level:</w:t>
      </w:r>
    </w:p>
    <w:p>
      <w:pPr>
        <w:pStyle w:val="BodyText"/>
      </w:pPr>
      <w:r>
        <w:rPr>
          <w:b/>
          <w:bCs/>
        </w:rPr>
        <w:t xml:space="preserve">Classification Levels (Example):</w:t>
      </w:r>
      <w:r>
        <w:br/>
      </w:r>
      <w:r>
        <w:t xml:space="preserve">-</w:t>
      </w:r>
      <w:r>
        <w:t xml:space="preserve"> </w:t>
      </w:r>
      <w:r>
        <w:rPr>
          <w:b/>
          <w:bCs/>
        </w:rPr>
        <w:t xml:space="preserve">Public:</w:t>
      </w:r>
      <w:r>
        <w:t xml:space="preserve"> </w:t>
      </w:r>
      <w:r>
        <w:t xml:space="preserve">Information that can be shared openly (e.g., published tax articles, generic tax law information).</w:t>
      </w:r>
      <w:r>
        <w:t xml:space="preserve"> </w:t>
      </w:r>
      <w:r>
        <w:rPr>
          <w:i/>
          <w:iCs/>
        </w:rPr>
        <w:t xml:space="preserve">In our context, we rarely deal with truly public data as inputs, but some outputs or learned insights might be okay to share.</w:t>
      </w:r>
      <w:r>
        <w:br/>
      </w:r>
      <w:r>
        <w:t xml:space="preserve">-</w:t>
      </w:r>
      <w:r>
        <w:t xml:space="preserve"> </w:t>
      </w:r>
      <w:r>
        <w:rPr>
          <w:b/>
          <w:bCs/>
        </w:rPr>
        <w:t xml:space="preserve">Internal:</w:t>
      </w:r>
      <w:r>
        <w:t xml:space="preserve"> </w:t>
      </w:r>
      <w:r>
        <w:t xml:space="preserve">Non-sensitive firm information or test data. For example, a generic prompt or a training scenario with fake data. If exposed, it poses little risk. This could include internal process documents, or anonymized aggregate statistics.</w:t>
      </w:r>
      <w:r>
        <w:br/>
      </w:r>
      <w:r>
        <w:t xml:space="preserve">-</w:t>
      </w:r>
      <w:r>
        <w:t xml:space="preserve"> </w:t>
      </w:r>
      <w:r>
        <w:rPr>
          <w:b/>
          <w:bCs/>
        </w:rPr>
        <w:t xml:space="preserve">Confidential (Client-Tax):</w:t>
      </w:r>
      <w:r>
        <w:t xml:space="preserve"> </w:t>
      </w:r>
      <w:r>
        <w:t xml:space="preserve">This covers the majority of client-specific tax data. All personal identifying information (names, SSNs, addresses), financial figures, tax forms, etc. are Confidential. Basically, anything that can identify a taxpayer or their financial details. Under IRS regs, most of this is considered taxpayer information protected by §7216. We treat it with the highest care – encryption, limited sharing, etc.</w:t>
      </w:r>
      <w:r>
        <w:br/>
      </w:r>
      <w:r>
        <w:t xml:space="preserve">-</w:t>
      </w:r>
      <w:r>
        <w:t xml:space="preserve"> </w:t>
      </w:r>
      <w:r>
        <w:rPr>
          <w:b/>
          <w:bCs/>
        </w:rPr>
        <w:t xml:space="preserve">Restricted:</w:t>
      </w:r>
      <w:r>
        <w:t xml:space="preserve"> </w:t>
      </w:r>
      <w:r>
        <w:t xml:space="preserve">We might optionally have this as an even higher tier if needed (for example, if we handle celebrities or highly sensitive cases, we might designate those as Restricted – only certain partners can see, perhaps processed on isolated machines with no internet). Or use Restricted for things like company trade secrets in a tax context (if we see sensitive business plans or IP while doing tax work).</w:t>
      </w:r>
    </w:p>
    <w:p>
      <w:pPr>
        <w:pStyle w:val="BodyText"/>
      </w:pPr>
      <w:r>
        <w:t xml:space="preserve">For each classification, define handling rules</w:t>
      </w:r>
      <w:hyperlink r:id="rId128">
        <w:r>
          <w:rPr>
            <w:rStyle w:val="Hyperlink"/>
          </w:rPr>
          <w:t xml:space="preserve">[85]</w:t>
        </w:r>
      </w:hyperlink>
      <w:hyperlink r:id="rId129">
        <w:r>
          <w:rPr>
            <w:rStyle w:val="Hyperlink"/>
          </w:rPr>
          <w:t xml:space="preserve">[86]</w:t>
        </w:r>
      </w:hyperlink>
      <w:r>
        <w:t xml:space="preserve">:</w:t>
      </w:r>
    </w:p>
    <w:p>
      <w:pPr>
        <w:pStyle w:val="Compact"/>
        <w:numPr>
          <w:ilvl w:val="0"/>
          <w:numId w:val="1017"/>
        </w:numPr>
      </w:pPr>
      <w:r>
        <w:rPr>
          <w:b/>
          <w:bCs/>
        </w:rPr>
        <w:t xml:space="preserve">Storage Locations:</w:t>
      </w:r>
    </w:p>
    <w:p>
      <w:pPr>
        <w:pStyle w:val="Compact"/>
        <w:numPr>
          <w:ilvl w:val="0"/>
          <w:numId w:val="1017"/>
        </w:numPr>
      </w:pPr>
      <w:r>
        <w:rPr>
          <w:i/>
          <w:iCs/>
        </w:rPr>
        <w:t xml:space="preserve">Public/Internal:</w:t>
      </w:r>
      <w:r>
        <w:t xml:space="preserve"> </w:t>
      </w:r>
      <w:r>
        <w:t xml:space="preserve">Can be stored on standard internal systems (e.g., company SharePoint or knowledge base).</w:t>
      </w:r>
    </w:p>
    <w:p>
      <w:pPr>
        <w:pStyle w:val="Compact"/>
        <w:numPr>
          <w:ilvl w:val="0"/>
          <w:numId w:val="1017"/>
        </w:numPr>
      </w:pPr>
      <w:r>
        <w:rPr>
          <w:i/>
          <w:iCs/>
        </w:rPr>
        <w:t xml:space="preserve">Confidential:</w:t>
      </w:r>
      <w:r>
        <w:t xml:space="preserve"> </w:t>
      </w:r>
      <w:r>
        <w:t xml:space="preserve">Must be stored in encrypted systems with access controls. E.g., our tax software database (which is encrypted), or a secure document management system. No storing in personal drives or unauthorized cloud services. No copying to USB unless encrypted.</w:t>
      </w:r>
    </w:p>
    <w:p>
      <w:pPr>
        <w:numPr>
          <w:ilvl w:val="0"/>
          <w:numId w:val="1017"/>
        </w:numPr>
      </w:pPr>
      <w:r>
        <w:rPr>
          <w:i/>
          <w:iCs/>
        </w:rPr>
        <w:t xml:space="preserve">Restricted:</w:t>
      </w:r>
      <w:r>
        <w:t xml:space="preserve"> </w:t>
      </w:r>
      <w:r>
        <w:t xml:space="preserve">Perhaps stored only in encrypted form on a segregated drive or with additional password protection on files, if applicable.</w:t>
      </w:r>
    </w:p>
    <w:p>
      <w:pPr>
        <w:numPr>
          <w:ilvl w:val="0"/>
          <w:numId w:val="1017"/>
        </w:numPr>
      </w:pPr>
      <w:r>
        <w:rPr>
          <w:b/>
          <w:bCs/>
        </w:rPr>
        <w:t xml:space="preserve">Encryption Requirements:</w:t>
      </w:r>
    </w:p>
    <w:p>
      <w:pPr>
        <w:pStyle w:val="Compact"/>
        <w:numPr>
          <w:ilvl w:val="0"/>
          <w:numId w:val="1017"/>
        </w:numPr>
      </w:pPr>
      <w:r>
        <w:rPr>
          <w:i/>
          <w:iCs/>
        </w:rPr>
        <w:t xml:space="preserve">Confidential &amp; Restricted:</w:t>
      </w:r>
      <w:r>
        <w:t xml:space="preserve"> </w:t>
      </w:r>
      <w:r>
        <w:t xml:space="preserve">Always encrypted in transit (SSL/TLS) and at rest when on servers or portable media</w:t>
      </w:r>
      <w:hyperlink r:id="rId65">
        <w:r>
          <w:rPr>
            <w:rStyle w:val="Hyperlink"/>
          </w:rPr>
          <w:t xml:space="preserve">[41]</w:t>
        </w:r>
      </w:hyperlink>
      <w:hyperlink r:id="rId66">
        <w:r>
          <w:rPr>
            <w:rStyle w:val="Hyperlink"/>
          </w:rPr>
          <w:t xml:space="preserve">[42]</w:t>
        </w:r>
      </w:hyperlink>
      <w:r>
        <w:t xml:space="preserve">. If we email such info (even internally), use encrypted email or secure portals. If we upload to an AI service, ensure that service uses HTTPS and ideally that data is not stored or is encrypted at rest on their side (if they provide those assurances).</w:t>
      </w:r>
    </w:p>
    <w:p>
      <w:pPr>
        <w:pStyle w:val="Compact"/>
        <w:numPr>
          <w:ilvl w:val="0"/>
          <w:numId w:val="1017"/>
        </w:numPr>
      </w:pPr>
      <w:r>
        <w:rPr>
          <w:i/>
          <w:iCs/>
        </w:rPr>
        <w:t xml:space="preserve">Internal:</w:t>
      </w:r>
      <w:r>
        <w:t xml:space="preserve"> </w:t>
      </w:r>
      <w:r>
        <w:t xml:space="preserve">At least transit encryption (since all our network traffic internal/external should use TLS by default). At rest encryption is recommended but if it’s on our controlled server maybe not as strict.</w:t>
      </w:r>
    </w:p>
    <w:p>
      <w:pPr>
        <w:numPr>
          <w:ilvl w:val="0"/>
          <w:numId w:val="1017"/>
        </w:numPr>
      </w:pPr>
      <w:r>
        <w:rPr>
          <w:i/>
          <w:iCs/>
        </w:rPr>
        <w:t xml:space="preserve">Public:</w:t>
      </w:r>
      <w:r>
        <w:t xml:space="preserve"> </w:t>
      </w:r>
      <w:r>
        <w:t xml:space="preserve">No special requirements beyond normal.</w:t>
      </w:r>
    </w:p>
    <w:p>
      <w:pPr>
        <w:numPr>
          <w:ilvl w:val="0"/>
          <w:numId w:val="1017"/>
        </w:numPr>
      </w:pPr>
      <w:r>
        <w:rPr>
          <w:b/>
          <w:bCs/>
        </w:rPr>
        <w:t xml:space="preserve">Allowed Transmission Channels:</w:t>
      </w:r>
    </w:p>
    <w:p>
      <w:pPr>
        <w:pStyle w:val="Compact"/>
        <w:numPr>
          <w:ilvl w:val="0"/>
          <w:numId w:val="1017"/>
        </w:numPr>
      </w:pPr>
      <w:r>
        <w:rPr>
          <w:i/>
          <w:iCs/>
        </w:rPr>
        <w:t xml:space="preserve">Confidential:</w:t>
      </w:r>
      <w:r>
        <w:t xml:space="preserve"> </w:t>
      </w:r>
      <w:r>
        <w:t xml:space="preserve">Only through secure channels. For internal use, that means our VPN or secure network. If data goes to a cloud AI service, that’s an external transmission – only allow it if either (a) data is anonymized or (b) we have a secure channel and an agreement (see next section on sharing with AI providers). Perhaps set a rule: Confidential client data should not be pasted into any web-based tool that is not explicitly approved (e.g., don’t paste into random ChatGPT web UI; use only approved methods like our integrated system or an API with proper settings). If needed, implement technical blocks (some firms disable access to public AI websites on work devices to prevent accidental leaks).</w:t>
      </w:r>
    </w:p>
    <w:p>
      <w:pPr>
        <w:pStyle w:val="Compact"/>
        <w:numPr>
          <w:ilvl w:val="0"/>
          <w:numId w:val="1017"/>
        </w:numPr>
      </w:pPr>
      <w:r>
        <w:rPr>
          <w:i/>
          <w:iCs/>
        </w:rPr>
        <w:t xml:space="preserve">Restricted:</w:t>
      </w:r>
      <w:r>
        <w:t xml:space="preserve"> </w:t>
      </w:r>
      <w:r>
        <w:t xml:space="preserve">Likely disallow any external transmission entirely. Only use on completely internal systems (which probably means we wouldn’t run those through cloud AI at all, unless we self-host an AI model internally for that purpose).</w:t>
      </w:r>
    </w:p>
    <w:p>
      <w:pPr>
        <w:numPr>
          <w:ilvl w:val="0"/>
          <w:numId w:val="1017"/>
        </w:numPr>
      </w:pPr>
      <w:r>
        <w:rPr>
          <w:i/>
          <w:iCs/>
        </w:rPr>
        <w:t xml:space="preserve">Internal/Public:</w:t>
      </w:r>
      <w:r>
        <w:t xml:space="preserve"> </w:t>
      </w:r>
      <w:r>
        <w:t xml:space="preserve">Internal can go through internal channels. Public can go anywhere, but that’s not usually relevant for client data.</w:t>
      </w:r>
    </w:p>
    <w:p>
      <w:pPr>
        <w:numPr>
          <w:ilvl w:val="0"/>
          <w:numId w:val="1017"/>
        </w:numPr>
      </w:pPr>
      <w:r>
        <w:rPr>
          <w:b/>
          <w:bCs/>
        </w:rPr>
        <w:t xml:space="preserve">Access Controls (Who can access):</w:t>
      </w:r>
    </w:p>
    <w:p>
      <w:pPr>
        <w:pStyle w:val="Compact"/>
        <w:numPr>
          <w:ilvl w:val="0"/>
          <w:numId w:val="1017"/>
        </w:numPr>
      </w:pPr>
      <w:r>
        <w:rPr>
          <w:i/>
          <w:iCs/>
        </w:rPr>
        <w:t xml:space="preserve">Confidential:</w:t>
      </w:r>
      <w:r>
        <w:t xml:space="preserve"> </w:t>
      </w:r>
      <w:r>
        <w:t xml:space="preserve">Only staff assigned to the client engagement plus those with supervisory roles should access that data. Implement this via permissions in software (our tax software has per-client access controls, ensure they’re used; our file shares have folders per client with limited groups). Also applies to AI outputs that contain client info – treat them same as source data.</w:t>
      </w:r>
    </w:p>
    <w:p>
      <w:pPr>
        <w:pStyle w:val="Compact"/>
        <w:numPr>
          <w:ilvl w:val="0"/>
          <w:numId w:val="1017"/>
        </w:numPr>
      </w:pPr>
      <w:r>
        <w:rPr>
          <w:i/>
          <w:iCs/>
        </w:rPr>
        <w:t xml:space="preserve">Restricted:</w:t>
      </w:r>
      <w:r>
        <w:t xml:space="preserve"> </w:t>
      </w:r>
      <w:r>
        <w:t xml:space="preserve">Likely only one or two key individuals (e.g., engagement partner) can access.</w:t>
      </w:r>
    </w:p>
    <w:p>
      <w:pPr>
        <w:pStyle w:val="Compact"/>
        <w:numPr>
          <w:ilvl w:val="0"/>
          <w:numId w:val="1017"/>
        </w:numPr>
      </w:pPr>
      <w:r>
        <w:t xml:space="preserve">For AI usage specifically, it means not everyone in the firm can run queries on any client – they should only run AI-assisted processes on clients they serve, to avoid unnecessary dissemination of info. This can be enforced by design (embedding AI in the software which already restricts client access).</w:t>
      </w:r>
    </w:p>
    <w:p>
      <w:pPr>
        <w:pStyle w:val="FirstParagraph"/>
      </w:pPr>
      <w:r>
        <w:rPr>
          <w:b/>
          <w:bCs/>
        </w:rPr>
        <w:t xml:space="preserve">Engineering Implementation:</w:t>
      </w:r>
      <w:r>
        <w:br/>
      </w:r>
      <w:r>
        <w:t xml:space="preserve">We ensure that classification metadata is attached to data where possible</w:t>
      </w:r>
      <w:hyperlink r:id="rId77">
        <w:r>
          <w:rPr>
            <w:rStyle w:val="Hyperlink"/>
          </w:rPr>
          <w:t xml:space="preserve">[49]</w:t>
        </w:r>
      </w:hyperlink>
      <w:r>
        <w:t xml:space="preserve">. For example, if we store documents in a system, we add a field for classification. If building any file processing pipeline, include classification in the file’s metadata (or even in the filename or path). Then, use that classification in code to apply logic: e.g., our AI call function could check “if data.classification == Confidential: mask PII before sending”. Indeed, one practical measure: maintain a list of PII elements (SSN patterns, etc.) and scrub or tokenize them in any text sent to AI.</w:t>
      </w:r>
    </w:p>
    <w:p>
      <w:pPr>
        <w:pStyle w:val="BodyText"/>
      </w:pPr>
      <w:r>
        <w:t xml:space="preserve">We should train staff in recognizing classification. Perhaps label outputs clearly – for instance, if an AI generates a summary of a client’s situation, mark that document “Confidential”. Everyone should know how to handle each label. A quick reference of rules can be provided (e.g., a table or chart posted on intranet).</w:t>
      </w:r>
    </w:p>
    <w:p>
      <w:pPr>
        <w:pStyle w:val="BodyText"/>
      </w:pPr>
      <w:r>
        <w:t xml:space="preserve">By having classification and handling guidelines, we create a culture and system where sensitive data is only used in approved ways. This addresses a key concern: not putting client secrets into AI recklessly. Instead, we either avoid it or do it in a controlled manner with minimal info and appropriate protections.</w:t>
      </w:r>
    </w:p>
    <w:bookmarkEnd w:id="130"/>
    <w:bookmarkStart w:id="135" w:name="access-control-identity-and-logging"/>
    <w:p>
      <w:pPr>
        <w:pStyle w:val="Heading3"/>
      </w:pPr>
      <w:r>
        <w:t xml:space="preserve">3. Access Control, Identity, and Logging</w:t>
      </w:r>
    </w:p>
    <w:p>
      <w:pPr>
        <w:pStyle w:val="FirstParagraph"/>
      </w:pPr>
      <w:r>
        <w:t xml:space="preserve">To maintain security, integrate AI tools within our existing</w:t>
      </w:r>
      <w:r>
        <w:t xml:space="preserve"> </w:t>
      </w:r>
      <w:r>
        <w:rPr>
          <w:b/>
          <w:bCs/>
        </w:rPr>
        <w:t xml:space="preserve">identity and access management (IAM)</w:t>
      </w:r>
      <w:r>
        <w:t xml:space="preserve"> </w:t>
      </w:r>
      <w:r>
        <w:t xml:space="preserve">framework. We want to ensure that only authorized users use the AI features, and they only use them on data they’re allowed to see. And we want to log their usage for accountability.</w:t>
      </w:r>
    </w:p>
    <w:p>
      <w:pPr>
        <w:pStyle w:val="BodyText"/>
      </w:pPr>
      <w:r>
        <w:rPr>
          <w:b/>
          <w:bCs/>
        </w:rPr>
        <w:t xml:space="preserve">Identity &amp; Roles:</w:t>
      </w:r>
      <w:r>
        <w:br/>
      </w:r>
      <w:r>
        <w:t xml:space="preserve">We will use centralized identity (e.g., our Active Directory or SSO system) for any custom AI applications we build</w:t>
      </w:r>
      <w:hyperlink r:id="rId131">
        <w:r>
          <w:rPr>
            <w:rStyle w:val="Hyperlink"/>
          </w:rPr>
          <w:t xml:space="preserve">[87]</w:t>
        </w:r>
      </w:hyperlink>
      <w:r>
        <w:t xml:space="preserve">. For example, if we create an internal web interface for AI analysis, it should require the user to log in with their work credentials. No separate generic logins for AI systems – this prevents anonymous or untraceable use.</w:t>
      </w:r>
      <w:r>
        <w:br/>
      </w:r>
      <w:r>
        <w:t xml:space="preserve">We align roles with responsibilities:</w:t>
      </w:r>
      <w:r>
        <w:br/>
      </w:r>
      <w:r>
        <w:t xml:space="preserve">- For instance, define an “AI User – Preparer” role that can run AI functions on returns but maybe cannot adjust AI system settings.</w:t>
      </w:r>
      <w:r>
        <w:br/>
      </w:r>
      <w:r>
        <w:t xml:space="preserve">- An “AI Admin” role (maybe IT or the champion) who can change configurations, view logs, etc.</w:t>
      </w:r>
      <w:r>
        <w:br/>
      </w:r>
      <w:r>
        <w:t xml:space="preserve">- Ensure that if we have a dev team, their access in production is limited (e.g., they can’t run AI on client data outside of the production systems).</w:t>
      </w:r>
      <w:r>
        <w:br/>
      </w:r>
      <w:r>
        <w:t xml:space="preserve">We continue to use RBAC (Role-Based Access Control) as for other systems</w:t>
      </w:r>
      <w:hyperlink r:id="rId131">
        <w:r>
          <w:rPr>
            <w:rStyle w:val="Hyperlink"/>
          </w:rPr>
          <w:t xml:space="preserve">[87]</w:t>
        </w:r>
      </w:hyperlink>
      <w:r>
        <w:t xml:space="preserve">.</w:t>
      </w:r>
    </w:p>
    <w:p>
      <w:pPr>
        <w:pStyle w:val="BodyText"/>
      </w:pPr>
      <w:r>
        <w:rPr>
          <w:b/>
          <w:bCs/>
        </w:rPr>
        <w:t xml:space="preserve">Access Policies:</w:t>
      </w:r>
      <w:r>
        <w:br/>
      </w:r>
      <w:r>
        <w:t xml:space="preserve">Document explicitly which roles can do what in context of AI</w:t>
      </w:r>
      <w:hyperlink r:id="rId132">
        <w:r>
          <w:rPr>
            <w:rStyle w:val="Hyperlink"/>
          </w:rPr>
          <w:t xml:space="preserve">[88]</w:t>
        </w:r>
      </w:hyperlink>
      <w:r>
        <w:t xml:space="preserve">:</w:t>
      </w:r>
      <w:r>
        <w:br/>
      </w:r>
      <w:r>
        <w:t xml:space="preserve">- Who can input data into AI (likely any preparer on that client’s team can use the AI features for that client).</w:t>
      </w:r>
      <w:r>
        <w:br/>
      </w:r>
      <w:r>
        <w:t xml:space="preserve">- Who can see AI output. For example, if AI produces an analysis file, maybe only the engagement team plus reviewers can see it, just like any workpaper. That implies storing outputs in the same secure folder as other workpapers rather than in some open area.</w:t>
      </w:r>
      <w:r>
        <w:br/>
      </w:r>
      <w:r>
        <w:t xml:space="preserve">- Who can modify AI system or prompts. Possibly restrict prompt/template editing to the champion or admin, so individuals don’t start using unvetted prompts that might break rules.</w:t>
      </w:r>
      <w:r>
        <w:br/>
      </w:r>
      <w:r>
        <w:t xml:space="preserve">- Privileged accounts: ensure admin accounts for any AI server or API keys are kept to minimum and secured (MFA, etc.)</w:t>
      </w:r>
      <w:hyperlink r:id="rId133">
        <w:r>
          <w:rPr>
            <w:rStyle w:val="Hyperlink"/>
          </w:rPr>
          <w:t xml:space="preserve">[89]</w:t>
        </w:r>
      </w:hyperlink>
      <w:r>
        <w:t xml:space="preserve">.</w:t>
      </w:r>
    </w:p>
    <w:p>
      <w:pPr>
        <w:pStyle w:val="BodyText"/>
      </w:pPr>
      <w:r>
        <w:t xml:space="preserve">We also incorporate AI usage into our</w:t>
      </w:r>
      <w:r>
        <w:t xml:space="preserve"> </w:t>
      </w:r>
      <w:r>
        <w:rPr>
          <w:b/>
          <w:bCs/>
        </w:rPr>
        <w:t xml:space="preserve">annual access review</w:t>
      </w:r>
      <w:r>
        <w:t xml:space="preserve"> </w:t>
      </w:r>
      <w:r>
        <w:t xml:space="preserve">processes (most firms periodically review who has access to what). For example, verify only current employees have access to whatever AI integration portal, and that leaving employees are promptly removed (since AI might provide another vector to access data, we treat it with same vigilance in deprovisioning).</w:t>
      </w:r>
    </w:p>
    <w:p>
      <w:pPr>
        <w:pStyle w:val="BodyText"/>
      </w:pPr>
      <w:r>
        <w:rPr>
          <w:b/>
          <w:bCs/>
        </w:rPr>
        <w:t xml:space="preserve">Logging and Monitoring:</w:t>
      </w:r>
      <w:r>
        <w:br/>
      </w:r>
      <w:r>
        <w:t xml:space="preserve">Every request to an AI service should be logged along with: who made it (user ID), when, what type of operation, and if possible what data (or at least which client it pertained to)</w:t>
      </w:r>
      <w:hyperlink r:id="rId134">
        <w:r>
          <w:rPr>
            <w:rStyle w:val="Hyperlink"/>
          </w:rPr>
          <w:t xml:space="preserve">[90]</w:t>
        </w:r>
      </w:hyperlink>
      <w:r>
        <w:t xml:space="preserve">. We have to be careful not to log sensitive data verbatim (we don’t want to accidentally create a secondary repository of PII in logs), but we can log references or hashes. For example, log “User J.Smith ran ‘OCR’ on document ID 12345 (Client Jones W2.pdf) at 3pm.” Or “User J.Smith asked a tax question regarding Client Jones.” If capturing full prompts, store them securely and perhaps masked.</w:t>
      </w:r>
      <w:r>
        <w:br/>
      </w:r>
      <w:r>
        <w:t xml:space="preserve">Logging serves both security (detect misuse) and audit trail (see decisions made).</w:t>
      </w:r>
    </w:p>
    <w:p>
      <w:pPr>
        <w:pStyle w:val="BodyText"/>
      </w:pPr>
      <w:r>
        <w:t xml:space="preserve">We set up monitoring on these logs. Potential alerts:</w:t>
      </w:r>
      <w:r>
        <w:br/>
      </w:r>
      <w:r>
        <w:t xml:space="preserve">- Unusually high volume of AI requests by one user or for one client (could indicate misuse or a bug causing repeated calls).</w:t>
      </w:r>
      <w:r>
        <w:br/>
      </w:r>
      <w:r>
        <w:t xml:space="preserve">- Attempts to use AI on clients the user doesn’t have access to (which ideally system should prevent, but log if it happens).</w:t>
      </w:r>
      <w:r>
        <w:br/>
      </w:r>
      <w:r>
        <w:t xml:space="preserve">- Outside of business hour usage (maybe fine, but if someone’s hitting it at 3am with lots of data, is that authorized? Could just be someone working late but worth noticing).</w:t>
      </w:r>
      <w:r>
        <w:br/>
      </w:r>
      <w:r>
        <w:t xml:space="preserve">- Any errors returned by AI service (could indicate service is failing or someone tried to send disallowed content which the API refused, etc.).</w:t>
      </w:r>
    </w:p>
    <w:p>
      <w:pPr>
        <w:pStyle w:val="BodyText"/>
      </w:pPr>
      <w:r>
        <w:t xml:space="preserve">The logs should be reviewed periodically, perhaps by the AI project lead or IT security. This aligns with a principle of</w:t>
      </w:r>
      <w:r>
        <w:t xml:space="preserve"> </w:t>
      </w:r>
      <w:r>
        <w:rPr>
          <w:b/>
          <w:bCs/>
        </w:rPr>
        <w:t xml:space="preserve">“trust but verify”</w:t>
      </w:r>
      <w:r>
        <w:t xml:space="preserve"> </w:t>
      </w:r>
      <w:r>
        <w:t xml:space="preserve">in AI usage – trust staff but also verify through logs that nothing fishy is going on</w:t>
      </w:r>
      <w:hyperlink r:id="rId39">
        <w:r>
          <w:rPr>
            <w:rStyle w:val="Hyperlink"/>
          </w:rPr>
          <w:t xml:space="preserve">[18]</w:t>
        </w:r>
      </w:hyperlink>
      <w:r>
        <w:t xml:space="preserve">.</w:t>
      </w:r>
    </w:p>
    <w:p>
      <w:pPr>
        <w:pStyle w:val="BodyText"/>
      </w:pPr>
      <w:r>
        <w:rPr>
          <w:b/>
          <w:bCs/>
        </w:rPr>
        <w:t xml:space="preserve">Audit Trails and Documentation:</w:t>
      </w:r>
      <w:r>
        <w:br/>
      </w:r>
      <w:r>
        <w:t xml:space="preserve">As part of access control, each significant AI-generated piece (like an AI-created workpaper or memo) should have metadata on who/when it was generated. E.g., include in the document “Generated by AI on X date for client Y by user Z, reviewed by user W on Y date.” This allows later understanding of chain of custody for that information. This is akin to how we might annotate workpapers prepared by a staff and reviewed by a manager.</w:t>
      </w:r>
    </w:p>
    <w:p>
      <w:pPr>
        <w:pStyle w:val="BodyText"/>
      </w:pPr>
      <w:r>
        <w:t xml:space="preserve">By combining strong identity management with thorough logging, we deter misuse (people know activity is tracked) and we can quickly pinpoint if something goes wrong (like which account potentially leaked data). It also supports compliance – if ever questioned (say a client asks “did you put my data in an AI?”), we could actually check logs and answer precisely how their data was used, showing professionalism and control.</w:t>
      </w:r>
    </w:p>
    <w:bookmarkEnd w:id="135"/>
    <w:bookmarkStart w:id="137" w:name="data-protection-in-transit-and-storage"/>
    <w:p>
      <w:pPr>
        <w:pStyle w:val="Heading3"/>
      </w:pPr>
      <w:r>
        <w:t xml:space="preserve">4. Data Protection in Transit and Storage</w:t>
      </w:r>
    </w:p>
    <w:p>
      <w:pPr>
        <w:pStyle w:val="FirstParagraph"/>
      </w:pPr>
      <w:r>
        <w:t xml:space="preserve">We touched on encryption under classification, but to emphasize:</w:t>
      </w:r>
      <w:r>
        <w:t xml:space="preserve"> </w:t>
      </w:r>
      <w:r>
        <w:rPr>
          <w:b/>
          <w:bCs/>
        </w:rPr>
        <w:t xml:space="preserve">all client tax data that interacts with AI must be encrypted during transmission and in storage</w:t>
      </w:r>
      <w:hyperlink r:id="rId65">
        <w:r>
          <w:rPr>
            <w:rStyle w:val="Hyperlink"/>
          </w:rPr>
          <w:t xml:space="preserve">[41]</w:t>
        </w:r>
      </w:hyperlink>
      <w:hyperlink r:id="rId66">
        <w:r>
          <w:rPr>
            <w:rStyle w:val="Hyperlink"/>
          </w:rPr>
          <w:t xml:space="preserve">[42]</w:t>
        </w:r>
      </w:hyperlink>
      <w:r>
        <w:t xml:space="preserve">.</w:t>
      </w:r>
    </w:p>
    <w:p>
      <w:pPr>
        <w:pStyle w:val="BodyText"/>
      </w:pPr>
      <w:r>
        <w:rPr>
          <w:b/>
          <w:bCs/>
        </w:rPr>
        <w:t xml:space="preserve">In Transit:</w:t>
      </w:r>
      <w:r>
        <w:br/>
      </w:r>
      <w:r>
        <w:t xml:space="preserve">- Ensure TLS (HTTPS) is enforced for any API calls to cloud AI. This is usually by default (OpenAI, Azure, etc., all require HTTPS). We might use a network sniffer in test to double-check that library doesn’t fall back to plaintext for any reason.</w:t>
      </w:r>
      <w:r>
        <w:br/>
      </w:r>
      <w:r>
        <w:t xml:space="preserve">- Internally, if our AI components talk to each other (e.g., a container calling another container, or client workstation calling an internal server), use TLS on those connections too, or if on same host use secure channels. E.g., for a web app on our intranet, use HTTPS with a valid certificate even if only internal, to avoid eavesdropping on internal network.</w:t>
      </w:r>
      <w:r>
        <w:br/>
      </w:r>
      <w:r>
        <w:t xml:space="preserve">- If staff use the AI via web browser (like if we allow ChatGPT web for non-sensitive queries), encourage them to only do so on secure networks (and the site is HTTPS anyway). Possibly use a VPN if remote.</w:t>
      </w:r>
      <w:r>
        <w:br/>
      </w:r>
      <w:r>
        <w:t xml:space="preserve">- Also, avoid sending data over email or chat to ask AI – i.e., don’t copy client data into Slack asking an AI bot to analyze (that could break multiple layers of security). Keep it in controlled channels.</w:t>
      </w:r>
    </w:p>
    <w:p>
      <w:pPr>
        <w:pStyle w:val="BodyText"/>
      </w:pPr>
      <w:r>
        <w:rPr>
          <w:b/>
          <w:bCs/>
        </w:rPr>
        <w:t xml:space="preserve">At Rest:</w:t>
      </w:r>
      <w:r>
        <w:br/>
      </w:r>
      <w:r>
        <w:t xml:space="preserve">- Our tax data is likely in an encrypted database or DMS. We will integrate AI using those secure storage locations, not by extracting data and putting it in unencrypted temporary files. If we do need to store a temp file (e.g., the OCR output JSON), store it in an encrypted drive or ensure it’s ephemeral (deleted after use, or in memory).</w:t>
      </w:r>
      <w:r>
        <w:br/>
      </w:r>
      <w:r>
        <w:t xml:space="preserve">- If using cloud services, understand their data at rest encryption: most reputable ones encrypt data on disk by default. Confirm this. E.g., if we upload a file to an OCR service and they store it even briefly, is it encrypted on their side? Many state yes (Azure, etc.).</w:t>
      </w:r>
      <w:r>
        <w:br/>
      </w:r>
      <w:r>
        <w:t xml:space="preserve">- Avoid caching sensitive prompts on local machines unless those machines have disk encryption (which ideally all work laptops do nowadays). So if running AI via a local script, ensure the machine has full disk encryption (BitLocker, etc.).</w:t>
      </w:r>
      <w:r>
        <w:br/>
      </w:r>
      <w:r>
        <w:t xml:space="preserve">- The license agreements or policies of vendors become important: ensure they commit to not retaining data longer than needed. For example, some OCR APIs allow choosing not to store the image after processing. Use such options. For LLMs, e.g., OpenAI’s policy for business API promises not to use data for training and to delete it after a short time (30 days) unless otherwise needed. That’s good, but still we treat it as if it could persist, so we minimize what’s sent.</w:t>
      </w:r>
    </w:p>
    <w:p>
      <w:pPr>
        <w:pStyle w:val="BodyText"/>
      </w:pPr>
      <w:r>
        <w:rPr>
          <w:b/>
          <w:bCs/>
        </w:rPr>
        <w:t xml:space="preserve">Segmentation:</w:t>
      </w:r>
      <w:r>
        <w:br/>
      </w:r>
      <w:r>
        <w:t xml:space="preserve">Another aspect – if we have an internal network, segment the environment that processes AI. For example, maybe the machine that orchestrates data to/from AI is isolated in a DMZ with only necessary connections. This limits blast radius if it were compromised</w:t>
      </w:r>
      <w:hyperlink r:id="rId136">
        <w:r>
          <w:rPr>
            <w:rStyle w:val="Hyperlink"/>
          </w:rPr>
          <w:t xml:space="preserve">[91]</w:t>
        </w:r>
      </w:hyperlink>
      <w:r>
        <w:t xml:space="preserve">. Also, ensure that that machine doesn’t inadvertently become a conduit – for instance, it should not have open ports to outside except the AI API calls.</w:t>
      </w:r>
    </w:p>
    <w:p>
      <w:pPr>
        <w:pStyle w:val="BodyText"/>
      </w:pPr>
      <w:r>
        <w:rPr>
          <w:b/>
          <w:bCs/>
        </w:rPr>
        <w:t xml:space="preserve">Secrets Management:</w:t>
      </w:r>
      <w:r>
        <w:br/>
      </w:r>
      <w:r>
        <w:t xml:space="preserve">We must securely store API keys and credentials for AI services</w:t>
      </w:r>
      <w:hyperlink r:id="rId60">
        <w:r>
          <w:rPr>
            <w:rStyle w:val="Hyperlink"/>
          </w:rPr>
          <w:t xml:space="preserve">[37]</w:t>
        </w:r>
      </w:hyperlink>
      <w:r>
        <w:t xml:space="preserve">. Those keys are like passwords that could give someone else access to our data or allow them to run up usage. Use a secrets manager or at least environment variables not checked into code. Rotate keys if suspect any leak. Limit scope of keys (some APIs allow scopes or separate keys per environment – use that to ensure a key can’t be used outside intended context).</w:t>
      </w:r>
    </w:p>
    <w:p>
      <w:pPr>
        <w:pStyle w:val="BodyText"/>
      </w:pPr>
      <w:r>
        <w:rPr>
          <w:b/>
          <w:bCs/>
        </w:rPr>
        <w:t xml:space="preserve">Review Repositories:</w:t>
      </w:r>
      <w:r>
        <w:br/>
      </w:r>
      <w:r>
        <w:t xml:space="preserve">Make sure no sensitive data or keys accidentally ended up in code or logs. Use scanning tools to detect if, say, someone put a client example directly in a prompt template in code – better to remove that or anonymize it. This aligns with our practice of no client identifiers in code or prompts that are stored.</w:t>
      </w:r>
    </w:p>
    <w:p>
      <w:pPr>
        <w:pStyle w:val="BodyText"/>
      </w:pPr>
      <w:r>
        <w:t xml:space="preserve">By enforcing strong encryption and careful secrets handling, we significantly reduce risk of data exposure. Even if an attacker intercepts communication or accesses a disk, encryption means they get nothing useful.</w:t>
      </w:r>
    </w:p>
    <w:bookmarkEnd w:id="137"/>
    <w:bookmarkStart w:id="142" w:name="integrity-audit-trails-and-verification"/>
    <w:p>
      <w:pPr>
        <w:pStyle w:val="Heading3"/>
      </w:pPr>
      <w:r>
        <w:t xml:space="preserve">5. Integrity, Audit Trails and Verification</w:t>
      </w:r>
    </w:p>
    <w:p>
      <w:pPr>
        <w:pStyle w:val="FirstParagraph"/>
      </w:pPr>
      <w:r>
        <w:t xml:space="preserve">Using AI means new outputs are generated that affect returns, so we need to ensure</w:t>
      </w:r>
      <w:r>
        <w:t xml:space="preserve"> </w:t>
      </w:r>
      <w:r>
        <w:rPr>
          <w:b/>
          <w:bCs/>
        </w:rPr>
        <w:t xml:space="preserve">integrity</w:t>
      </w:r>
      <w:r>
        <w:t xml:space="preserve"> </w:t>
      </w:r>
      <w:r>
        <w:t xml:space="preserve">of data and outputs throughout the process and maintain the ability to verify and trace them:</w:t>
      </w:r>
    </w:p>
    <w:p>
      <w:pPr>
        <w:pStyle w:val="BodyText"/>
      </w:pPr>
      <w:r>
        <w:rPr>
          <w:b/>
          <w:bCs/>
        </w:rPr>
        <w:t xml:space="preserve">Provenance and Lineage:</w:t>
      </w:r>
      <w:r>
        <w:br/>
      </w:r>
      <w:r>
        <w:t xml:space="preserve">As introduced earlier, track the provenance of any AI-generated result</w:t>
      </w:r>
      <w:hyperlink r:id="rId138">
        <w:r>
          <w:rPr>
            <w:rStyle w:val="Hyperlink"/>
          </w:rPr>
          <w:t xml:space="preserve">[92]</w:t>
        </w:r>
      </w:hyperlink>
      <w:hyperlink r:id="rId139">
        <w:r>
          <w:rPr>
            <w:rStyle w:val="Hyperlink"/>
          </w:rPr>
          <w:t xml:space="preserve">[93]</w:t>
        </w:r>
      </w:hyperlink>
      <w:r>
        <w:t xml:space="preserve">. For instance, if the AI produces a summary of transactions flagged as unusual, record: “Based on data from [Source], processed by [AI Tool] on [Date].” Keep the original data that was used for the AI analysis immutable (e.g., store the version of data set that was fed to AI, or a hash of it, so one can confirm later what the AI saw)</w:t>
      </w:r>
      <w:hyperlink r:id="rId140">
        <w:r>
          <w:rPr>
            <w:rStyle w:val="Hyperlink"/>
          </w:rPr>
          <w:t xml:space="preserve">[94]</w:t>
        </w:r>
      </w:hyperlink>
      <w:r>
        <w:t xml:space="preserve">. This way, if questions arise, we can reconstruct the context.</w:t>
      </w:r>
      <w:r>
        <w:br/>
      </w:r>
      <w:r>
        <w:t xml:space="preserve">For training or research answers, keep references. E.g., if AI cites IRS Pub or Code sections, verify and note them. Possibly use AI tools that provide source links (some specialized tax AI will do that).</w:t>
      </w:r>
    </w:p>
    <w:p>
      <w:pPr>
        <w:pStyle w:val="BodyText"/>
      </w:pPr>
      <w:r>
        <w:rPr>
          <w:b/>
          <w:bCs/>
        </w:rPr>
        <w:t xml:space="preserve">Audit Trails:</w:t>
      </w:r>
      <w:r>
        <w:br/>
      </w:r>
      <w:r>
        <w:t xml:space="preserve">We mentioned logging of usage. Additionally, keep a copy of significant AI outputs in the engagement file</w:t>
      </w:r>
      <w:hyperlink r:id="rId134">
        <w:r>
          <w:rPr>
            <w:rStyle w:val="Hyperlink"/>
          </w:rPr>
          <w:t xml:space="preserve">[90]</w:t>
        </w:r>
      </w:hyperlink>
      <w:r>
        <w:t xml:space="preserve">. For example, if AI gave 3 recommendations and the team chose 2 of them to act on, store that recommendation list (or at least the chosen ones with note they came from AI). If AI corrected an error during review, note that (like “Schedule C expense total was corrected by AI cross-check, from $X to $Y”). These become part of the workpapers. Ensure logs of changes in systems reflect AI involvement if possible – e.g., if data in tax software was changed as result of AI suggestion, maybe note in the software’s notes “Changed per AI review finding, verified by John.”</w:t>
      </w:r>
      <w:r>
        <w:br/>
      </w:r>
      <w:r>
        <w:rPr>
          <w:b/>
          <w:bCs/>
        </w:rPr>
        <w:t xml:space="preserve">Retain logs</w:t>
      </w:r>
      <w:r>
        <w:t xml:space="preserve"> </w:t>
      </w:r>
      <w:r>
        <w:t xml:space="preserve">for a sufficient period – likely as long as workpapers (e.g., 7 years). They might be needed if something is questioned later.</w:t>
      </w:r>
    </w:p>
    <w:p>
      <w:pPr>
        <w:pStyle w:val="BodyText"/>
      </w:pPr>
      <w:r>
        <w:rPr>
          <w:b/>
          <w:bCs/>
        </w:rPr>
        <w:t xml:space="preserve">Hashing and Change Detection:</w:t>
      </w:r>
      <w:r>
        <w:br/>
      </w:r>
      <w:r>
        <w:t xml:space="preserve">For any submission or final output, you could hash key artifacts</w:t>
      </w:r>
      <w:hyperlink r:id="rId141">
        <w:r>
          <w:rPr>
            <w:rStyle w:val="Hyperlink"/>
          </w:rPr>
          <w:t xml:space="preserve">[95]</w:t>
        </w:r>
      </w:hyperlink>
      <w:r>
        <w:t xml:space="preserve">. Not critical in all cases, but for instance, if you generate an AI-augmented checklist output that you send somewhere, computing a hash and storing it means you can later ensure it wasn’t tampered with. We often don’t need that level internally, but if you ever transmit AI output externally (say to a client or authority), consider signing it or at least storing an original copy so no one can claim it said something different.</w:t>
      </w:r>
      <w:r>
        <w:br/>
      </w:r>
      <w:r>
        <w:t xml:space="preserve">In context of tax returns, we rely on e-file integrity, but for any auxiliary documents, hashing provides evidence of integrity.</w:t>
      </w:r>
    </w:p>
    <w:p>
      <w:pPr>
        <w:pStyle w:val="BodyText"/>
      </w:pPr>
      <w:r>
        <w:rPr>
          <w:b/>
          <w:bCs/>
        </w:rPr>
        <w:t xml:space="preserve">Model and Data Validation:</w:t>
      </w:r>
      <w:r>
        <w:br/>
      </w:r>
      <w:r>
        <w:t xml:space="preserve">Implement checks to ensure AI’s suggestions make sense in context. For example:</w:t>
      </w:r>
      <w:r>
        <w:br/>
      </w:r>
      <w:r>
        <w:t xml:space="preserve">- Cross-verify important numbers that AI outputs with an independent method (maybe have a separate small program or formula to double-check any critical calculation – even using a different AI model as a double-check can be an option, albeit not as reliable as a human check).</w:t>
      </w:r>
      <w:r>
        <w:br/>
      </w:r>
      <w:r>
        <w:t xml:space="preserve">- If AI suggests a citation, verify that citation. Perhaps maintain an internal library of authoritative sources that the team can quickly search to confirm (like a subscription to a tax research tool – indeed the Thomson Reuters CoCounsel approach is exactly to embed an AI with a research library to ensure answers have sources</w:t>
      </w:r>
      <w:hyperlink r:id="rId47">
        <w:r>
          <w:rPr>
            <w:rStyle w:val="Hyperlink"/>
          </w:rPr>
          <w:t xml:space="preserve">[25]</w:t>
        </w:r>
      </w:hyperlink>
      <w:r>
        <w:t xml:space="preserve">).</w:t>
      </w:r>
      <w:r>
        <w:br/>
      </w:r>
      <w:r>
        <w:t xml:space="preserve">- Use the “two-person rule” but one of the persons is AI: e.g., AI’s output is not accepted until a second person (or second AI approach) confirms it. For instance, if one AI flags potential missing income, maybe run a query with a different AI or manually check the supporting docs to confirm before sending a query to client. This addresses AI’s possible error or hallucination.</w:t>
      </w:r>
    </w:p>
    <w:p>
      <w:pPr>
        <w:pStyle w:val="BodyText"/>
      </w:pPr>
      <w:r>
        <w:rPr>
          <w:b/>
          <w:bCs/>
        </w:rPr>
        <w:t xml:space="preserve">Maintaining Logs and Change Logs:</w:t>
      </w:r>
      <w:r>
        <w:br/>
      </w:r>
      <w:r>
        <w:t xml:space="preserve">If AI is used to change data (like adjusting an entry), try to do it through systems that automatically log changes (our tax software likely logs changes per user). If not, maintain a manual change log. Essentially, we want to avoid a scenario where “the number changed and no one knows why.” Always tie it back to a reason – if reason is AI found something, note that along with human approval.</w:t>
      </w:r>
    </w:p>
    <w:p>
      <w:pPr>
        <w:pStyle w:val="BodyText"/>
      </w:pPr>
      <w:r>
        <w:t xml:space="preserve">All these measures align with a core message:</w:t>
      </w:r>
      <w:r>
        <w:t xml:space="preserve"> </w:t>
      </w:r>
      <w:r>
        <w:rPr>
          <w:b/>
          <w:bCs/>
        </w:rPr>
        <w:t xml:space="preserve">accountability and traceability</w:t>
      </w:r>
      <w:r>
        <w:t xml:space="preserve">. If something goes wrong or is queried, we can trace exactly what happened and who approved it, demonstrating we are in control of the process. This also instills discipline in using AI – if you know your actions are logged and must be justified, you’ll treat the AI output with the proper critical eye (which is what we want).</w:t>
      </w:r>
    </w:p>
    <w:bookmarkEnd w:id="142"/>
    <w:bookmarkStart w:id="143" w:name="X9976e5ed67c2a009cbd62c7155a7fd5840ee508"/>
    <w:p>
      <w:pPr>
        <w:pStyle w:val="Heading3"/>
      </w:pPr>
      <w:r>
        <w:t xml:space="preserve">6. Third-Party AI Services and Vendor Management</w:t>
      </w:r>
    </w:p>
    <w:p>
      <w:pPr>
        <w:pStyle w:val="FirstParagraph"/>
      </w:pPr>
      <w:r>
        <w:t xml:space="preserve">Most likely, we are using third-party AI services (OpenAI, Azure, Amazon, etc., or specialized like TaxGPT). We need to manage these relationships carefully:</w:t>
      </w:r>
    </w:p>
    <w:p>
      <w:pPr>
        <w:pStyle w:val="Compact"/>
        <w:numPr>
          <w:ilvl w:val="0"/>
          <w:numId w:val="1018"/>
        </w:numPr>
      </w:pPr>
      <w:r>
        <w:rPr>
          <w:b/>
          <w:bCs/>
        </w:rPr>
        <w:t xml:space="preserve">Vendor Due Diligence:</w:t>
      </w:r>
      <w:r>
        <w:t xml:space="preserve"> </w:t>
      </w:r>
      <w:r>
        <w:t xml:space="preserve">Before using a service with real data, review their security measures. Request or download any whitepapers or SOC 2 reports if available. For major cloud providers, they often publish security documentation. Check if they have any regulatory compliance in place (like are they HIPAA compliant – not our domain, but indicates level of security). For an accounting-specific tool, see if they mention compliance with IRS or AICPA standards. If a vendor doesn’t give any info on security, that’s a red flag. Prefer vendors that explicitly address data protection for AI.</w:t>
      </w:r>
    </w:p>
    <w:p>
      <w:pPr>
        <w:pStyle w:val="Compact"/>
        <w:numPr>
          <w:ilvl w:val="0"/>
          <w:numId w:val="1018"/>
        </w:numPr>
      </w:pPr>
      <w:r>
        <w:rPr>
          <w:b/>
          <w:bCs/>
        </w:rPr>
        <w:t xml:space="preserve">Data Usage Terms:</w:t>
      </w:r>
      <w:r>
        <w:t xml:space="preserve"> </w:t>
      </w:r>
      <w:r>
        <w:t xml:space="preserve">Scrutinize terms of service regarding data. Many AI providers improved on this: e.g., OpenAI’s enterprise terms state they won’t use your content to train models</w:t>
      </w:r>
      <w:hyperlink r:id="rId47">
        <w:r>
          <w:rPr>
            <w:rStyle w:val="Hyperlink"/>
          </w:rPr>
          <w:t xml:space="preserve">[25]</w:t>
        </w:r>
      </w:hyperlink>
      <w:r>
        <w:t xml:space="preserve">. Ensure you have that in writing (if necessary, sign up for a business account that guarantees it, rather than free one that might not). If any vendor’s default is to reuse your data for improving their AI, opt out if possible (OpenAI allows via settings) or don’t use that vendor for sensitive content.</w:t>
      </w:r>
    </w:p>
    <w:p>
      <w:pPr>
        <w:pStyle w:val="Compact"/>
        <w:numPr>
          <w:ilvl w:val="0"/>
          <w:numId w:val="1018"/>
        </w:numPr>
      </w:pPr>
      <w:r>
        <w:rPr>
          <w:b/>
          <w:bCs/>
        </w:rPr>
        <w:t xml:space="preserve">Contractual Protections:</w:t>
      </w:r>
      <w:r>
        <w:t xml:space="preserve"> </w:t>
      </w:r>
      <w:r>
        <w:t xml:space="preserve">If you are a larger firm, you might negotiate a data protection addendum. At minimum, using a service likely falls under existing confidentiality agreements with clients (some engagement letters may allow use of third-party software providers as long as you ensure they safeguard data). But to be safe, update engagements to mention it and thereby get client consent (like an “auxiliary service provider” clause). That covers legal basis. Additionally, consider NDAs: if using a smaller AI vendor, maybe have an NDA that covers any data we send them.</w:t>
      </w:r>
    </w:p>
    <w:p>
      <w:pPr>
        <w:pStyle w:val="Compact"/>
        <w:numPr>
          <w:ilvl w:val="0"/>
          <w:numId w:val="1018"/>
        </w:numPr>
      </w:pPr>
      <w:r>
        <w:rPr>
          <w:b/>
          <w:bCs/>
        </w:rPr>
        <w:t xml:space="preserve">Jurisdiction and Storage:</w:t>
      </w:r>
      <w:r>
        <w:t xml:space="preserve"> </w:t>
      </w:r>
      <w:r>
        <w:t xml:space="preserve">Know where the vendor stores data. Ideally, use services that store data in jurisdictions with strong privacy laws (or same country as you, to avoid cross-border issues). For example, if you’re in US, an AI service storing data only in US data centers is preferable than globally. If in EU, ensure compliance with GDPR (which might treat AI outputs as personal data if it’s about a person).</w:t>
      </w:r>
    </w:p>
    <w:p>
      <w:pPr>
        <w:pStyle w:val="Compact"/>
        <w:numPr>
          <w:ilvl w:val="0"/>
          <w:numId w:val="1018"/>
        </w:numPr>
      </w:pPr>
      <w:r>
        <w:rPr>
          <w:b/>
          <w:bCs/>
        </w:rPr>
        <w:t xml:space="preserve">Testing with Dummy Data:</w:t>
      </w:r>
      <w:r>
        <w:t xml:space="preserve"> </w:t>
      </w:r>
      <w:r>
        <w:t xml:space="preserve">Before sending real data, test the service with synthetic or dummy data to see how it behaves. This is twofold: see what kind of output it gives (quality), but also see if any of that test data shows up anywhere unintended. For instance, some had concerns that public AI might regurgitate data given by others; by using dummy data, you can later query if that data ever appears externally (this is a bit theoretical, but one could attempt something like search if any of your dummy phrases appear in AI responses to unrelated queries). Likely not an issue with current models if not used for training, but it’s a paranoia check.</w:t>
      </w:r>
    </w:p>
    <w:p>
      <w:pPr>
        <w:pStyle w:val="Compact"/>
        <w:numPr>
          <w:ilvl w:val="0"/>
          <w:numId w:val="1018"/>
        </w:numPr>
      </w:pPr>
      <w:r>
        <w:rPr>
          <w:b/>
          <w:bCs/>
        </w:rPr>
        <w:t xml:space="preserve">Limit Scope of Data Sent:</w:t>
      </w:r>
      <w:r>
        <w:t xml:space="preserve"> </w:t>
      </w:r>
      <w:r>
        <w:t xml:space="preserve">Even with a good vendor, follow “minimum necessary” principle. If asking a question, don’t attach the entire client file if you just need one number. Use client identifiers like “Client A” instead of real names. Essentially treat the vendor as an “outsourced assist” – you wouldn’t email a random consultant your whole client folder just to ask a simple question, you’d excerpt what they need. Do the same with AI API calls. This we implement at coding level (like functions that strip extraneous data).</w:t>
      </w:r>
    </w:p>
    <w:p>
      <w:pPr>
        <w:pStyle w:val="Compact"/>
        <w:numPr>
          <w:ilvl w:val="0"/>
          <w:numId w:val="1018"/>
        </w:numPr>
      </w:pPr>
      <w:r>
        <w:rPr>
          <w:b/>
          <w:bCs/>
        </w:rPr>
        <w:t xml:space="preserve">Monitoring Vendor Performance:</w:t>
      </w:r>
      <w:r>
        <w:t xml:space="preserve"> </w:t>
      </w:r>
      <w:r>
        <w:t xml:space="preserve">Keep an eye on the news or any communications for breaches or changes. If vendor X reports a security incident, evaluate if our data could’ve been exposed (e.g., early 2023 there was an issue where some ChatGPT history got exposed to others for a short time – if we had been using it, we’d want to know if our queries might have been seen by others). We should subscribe to updates or at least periodically review news on key vendors.</w:t>
      </w:r>
    </w:p>
    <w:p>
      <w:pPr>
        <w:pStyle w:val="Compact"/>
        <w:numPr>
          <w:ilvl w:val="0"/>
          <w:numId w:val="1018"/>
        </w:numPr>
      </w:pPr>
      <w:r>
        <w:rPr>
          <w:b/>
          <w:bCs/>
        </w:rPr>
        <w:t xml:space="preserve">Backup Plans:</w:t>
      </w:r>
      <w:r>
        <w:t xml:space="preserve"> </w:t>
      </w:r>
      <w:r>
        <w:t xml:space="preserve">Always be ready to disable a vendor if something goes wrong. For example, if tomorrow one of the services had a data leak, our plan could be: immediately stop sending new data, revert to manual or an alternate service, investigate impact. This might be part of our incident response plan. It’s analogous to if a tax software had a breach – you might temporarily avoid using features that transmit data until patched.</w:t>
      </w:r>
    </w:p>
    <w:p>
      <w:pPr>
        <w:pStyle w:val="FirstParagraph"/>
      </w:pPr>
      <w:r>
        <w:t xml:space="preserve">By treating the AI service providers with the same rigor as any outsourcing partner, we align with professional responsibilities. IRS often allows sharing data with service providers for tax prep if you ensure via contract they keep it confidential (this is how using cloud-based tax software is okay – it’s a service provider, not a disclosure to a third party for other purposes). We are essentially doing that. And we must also remain prepared that if the service fails or becomes a risk, we can detach from it (hence not over-relying beyond our control).</w:t>
      </w:r>
    </w:p>
    <w:bookmarkEnd w:id="143"/>
    <w:bookmarkStart w:id="144" w:name="X15de1e85f86de1feb103eeb4e3f061514293205"/>
    <w:p>
      <w:pPr>
        <w:pStyle w:val="Heading3"/>
      </w:pPr>
      <w:r>
        <w:t xml:space="preserve">7. Human Oversight and Quality Assurance Measures</w:t>
      </w:r>
    </w:p>
    <w:p>
      <w:pPr>
        <w:pStyle w:val="FirstParagraph"/>
      </w:pPr>
      <w:r>
        <w:t xml:space="preserve">Perhaps the most important governance aspect is preserving human judgment in the loop. We establish concrete measures to enforce that:</w:t>
      </w:r>
    </w:p>
    <w:p>
      <w:pPr>
        <w:pStyle w:val="Compact"/>
        <w:numPr>
          <w:ilvl w:val="0"/>
          <w:numId w:val="1019"/>
        </w:numPr>
      </w:pPr>
      <w:r>
        <w:rPr>
          <w:b/>
          <w:bCs/>
        </w:rPr>
        <w:t xml:space="preserve">Review Checkpoints:</w:t>
      </w:r>
      <w:r>
        <w:t xml:space="preserve"> </w:t>
      </w:r>
      <w:r>
        <w:t xml:space="preserve">We integrate AI usage into our existing review process. For example, in our preparation checklist, after all AI-assisted steps are done, we have a specific review step: “Reviewer: verify all AI-flagged issues and AI-generated content have been addressed and are correct.” This is similar to how a manager reviews staff work – they know which areas the newbie might have struggled with. Here, they know AI could be wrong in some areas, so they pay extra attention there. We effectively train reviewers on “AI awareness” – e.g., if they see a workpaper produced by AI, they should double-check its conclusions. Only after the human reviewer is satisfied do we mark that part complete. This ensures no unchecked AI output goes to final deliverable.</w:t>
      </w:r>
    </w:p>
    <w:p>
      <w:pPr>
        <w:pStyle w:val="Compact"/>
        <w:numPr>
          <w:ilvl w:val="0"/>
          <w:numId w:val="1019"/>
        </w:numPr>
      </w:pPr>
      <w:r>
        <w:rPr>
          <w:b/>
          <w:bCs/>
        </w:rPr>
        <w:t xml:space="preserve">No Self-Execution of AI Advice:</w:t>
      </w:r>
      <w:r>
        <w:t xml:space="preserve"> </w:t>
      </w:r>
      <w:r>
        <w:t xml:space="preserve">Implement a policy that AI cannot auto-complete a critical action without human sign-off. For instance, if an AI system suggests adjusting a return entry, it does not directly change it; it either marks it for human to change or asks for confirmation. We do</w:t>
      </w:r>
      <w:r>
        <w:t xml:space="preserve"> </w:t>
      </w:r>
      <w:r>
        <w:rPr>
          <w:i/>
          <w:iCs/>
        </w:rPr>
        <w:t xml:space="preserve">not</w:t>
      </w:r>
      <w:r>
        <w:t xml:space="preserve"> </w:t>
      </w:r>
      <w:r>
        <w:t xml:space="preserve">allow, say, an AI to automatically file something to the IRS. All final filings are still done by human action, after reviewing everything. This is a vital safety. Even if our tech could auto-file, we keep a human confirmation step.</w:t>
      </w:r>
    </w:p>
    <w:p>
      <w:pPr>
        <w:pStyle w:val="Compact"/>
        <w:numPr>
          <w:ilvl w:val="0"/>
          <w:numId w:val="1019"/>
        </w:numPr>
      </w:pPr>
      <w:r>
        <w:rPr>
          <w:b/>
          <w:bCs/>
        </w:rPr>
        <w:t xml:space="preserve">Training on AI Errors:</w:t>
      </w:r>
      <w:r>
        <w:t xml:space="preserve"> </w:t>
      </w:r>
      <w:r>
        <w:t xml:space="preserve">Provide training to staff about known AI failure modes: hallucinations (making stuff up), arithmetic mistakes (though less common now, it can still mess up math at times, ironically), lack of context, etc. Teach them to recognize when an answer “doesn’t sound right.” For example, if AI cites a tax law that doesn’t exist or an outdated provision, the preparer or reviewer should catch that and investigate. Essentially, improve staff’s digital skepticism. Encourage them to</w:t>
      </w:r>
      <w:r>
        <w:t xml:space="preserve"> </w:t>
      </w:r>
      <w:r>
        <w:rPr>
          <w:b/>
          <w:bCs/>
        </w:rPr>
        <w:t xml:space="preserve">treat AI as a junior staff</w:t>
      </w:r>
      <w:r>
        <w:t xml:space="preserve"> </w:t>
      </w:r>
      <w:r>
        <w:t xml:space="preserve">– helpful but needing oversight and verification</w:t>
      </w:r>
      <w:hyperlink r:id="rId39">
        <w:r>
          <w:rPr>
            <w:rStyle w:val="Hyperlink"/>
          </w:rPr>
          <w:t xml:space="preserve">[18]</w:t>
        </w:r>
      </w:hyperlink>
      <w:r>
        <w:t xml:space="preserve">. If something is critical, double-check it manually.</w:t>
      </w:r>
    </w:p>
    <w:p>
      <w:pPr>
        <w:pStyle w:val="Compact"/>
        <w:numPr>
          <w:ilvl w:val="0"/>
          <w:numId w:val="1019"/>
        </w:numPr>
      </w:pPr>
      <w:r>
        <w:rPr>
          <w:b/>
          <w:bCs/>
        </w:rPr>
        <w:t xml:space="preserve">Limits on Use Cases:</w:t>
      </w:r>
      <w:r>
        <w:t xml:space="preserve"> </w:t>
      </w:r>
      <w:r>
        <w:t xml:space="preserve">Define which tasks AI is allowed to do and which it isn’t. For example, maybe we decide AI can help draft communications and check calculations, but</w:t>
      </w:r>
      <w:r>
        <w:t xml:space="preserve"> </w:t>
      </w:r>
      <w:r>
        <w:rPr>
          <w:i/>
          <w:iCs/>
        </w:rPr>
        <w:t xml:space="preserve">should not be used</w:t>
      </w:r>
      <w:r>
        <w:t xml:space="preserve"> </w:t>
      </w:r>
      <w:r>
        <w:t xml:space="preserve">to make judgment calls on grey areas of tax law (that’s for a CPA’s professional judgment). Or we allow it to suggest positions but require that a licensed preparer evaluate and make the final call. Possibly disallow using AI for tasks like “predict audit outcome” where it could be pure speculation – unless clearly labeled as such. Boundaries ensure we don’t let AI stray into making decisions only a person should make, like “Is this expense legally permissible?” – the AI can be consulted, but the final answer must come from a person.</w:t>
      </w:r>
    </w:p>
    <w:p>
      <w:pPr>
        <w:pStyle w:val="Compact"/>
        <w:numPr>
          <w:ilvl w:val="0"/>
          <w:numId w:val="1019"/>
        </w:numPr>
      </w:pPr>
      <w:r>
        <w:rPr>
          <w:b/>
          <w:bCs/>
        </w:rPr>
        <w:t xml:space="preserve">Peer Review of AI Integration:</w:t>
      </w:r>
      <w:r>
        <w:t xml:space="preserve"> </w:t>
      </w:r>
      <w:r>
        <w:t xml:space="preserve">In the first few uses, maybe have two people involved – one runs the AI and another reviews just that part. This is like a double layer just until everyone is comfortable the AI isn’t causing issues. As trust grows (and policy is proven), you can fold it into normal review. But any brand new AI feature in future, treat it with heightened review at first.</w:t>
      </w:r>
    </w:p>
    <w:p>
      <w:pPr>
        <w:pStyle w:val="Compact"/>
        <w:numPr>
          <w:ilvl w:val="0"/>
          <w:numId w:val="1019"/>
        </w:numPr>
      </w:pPr>
      <w:r>
        <w:rPr>
          <w:b/>
          <w:bCs/>
        </w:rPr>
        <w:t xml:space="preserve">Client Interactions:</w:t>
      </w:r>
      <w:r>
        <w:t xml:space="preserve"> </w:t>
      </w:r>
      <w:r>
        <w:t xml:space="preserve">If AI is used to draft client-facing communication, require an experienced person to read the entire content before it goes out (which normally they'd do for any important email or letter). They should ensure tone, correctness, and no unintended promises or statements. For instance, an AI might phrase something oddly or overstep (like “you will definitely not be audited” – we’d never promise that, so catch and edit such statements).</w:t>
      </w:r>
    </w:p>
    <w:p>
      <w:pPr>
        <w:pStyle w:val="Compact"/>
        <w:numPr>
          <w:ilvl w:val="0"/>
          <w:numId w:val="1019"/>
        </w:numPr>
      </w:pPr>
      <w:r>
        <w:rPr>
          <w:b/>
          <w:bCs/>
        </w:rPr>
        <w:t xml:space="preserve">Confidence Checks:</w:t>
      </w:r>
      <w:r>
        <w:t xml:space="preserve"> </w:t>
      </w:r>
      <w:r>
        <w:t xml:space="preserve">Some AI systems can provide a confidence score or similar. If available, use that – e.g., instruct AI to say “not sure” when uncertain. If an output is low confidence or the AI gave disclaimers, treat it as a big red flag requiring thorough human analysis. We might encode a rule: if AI uses language like “I’m not certain” or “probably”, that output cannot be used until verified independently. Actually, OpenAI doesn't give a numeric score per answer, but we can infer from context or using multiple models to cross-verify, as said.</w:t>
      </w:r>
    </w:p>
    <w:p>
      <w:pPr>
        <w:pStyle w:val="Compact"/>
        <w:numPr>
          <w:ilvl w:val="0"/>
          <w:numId w:val="1019"/>
        </w:numPr>
      </w:pPr>
      <w:r>
        <w:rPr>
          <w:b/>
          <w:bCs/>
        </w:rPr>
        <w:t xml:space="preserve">Gradual Autonomy (Never full):</w:t>
      </w:r>
      <w:r>
        <w:t xml:space="preserve"> </w:t>
      </w:r>
      <w:r>
        <w:t xml:space="preserve">Perhaps over time, as we trust AI in small things, we might allow a bit more autonomy in minor areas – e.g., maybe allow AI to auto-sort documents into folders (low risk if mis-sorted). But for core things like tax calculations, always require eyes on it. We consciously decide the level of autonomy per task and err on side of less for anything material. There’s a concept from NIST AI risk management: human in the loop, human on the loop, or human out of the loop. We will not do “human out of the loop” for any significant aspect of compliance, because that would violate our standards of due care.</w:t>
      </w:r>
    </w:p>
    <w:p>
      <w:pPr>
        <w:pStyle w:val="FirstParagraph"/>
      </w:pPr>
      <w:r>
        <w:t xml:space="preserve">The overall approach is captured well by Thomson Reuters’ note: professionals want</w:t>
      </w:r>
      <w:r>
        <w:t xml:space="preserve"> </w:t>
      </w:r>
      <w:r>
        <w:rPr>
          <w:b/>
          <w:bCs/>
        </w:rPr>
        <w:t xml:space="preserve">“clear rules for responsible use to minimize risks” and strongly support oversight</w:t>
      </w:r>
      <w:hyperlink r:id="rId32">
        <w:r>
          <w:rPr>
            <w:rStyle w:val="Hyperlink"/>
          </w:rPr>
          <w:t xml:space="preserve">[11]</w:t>
        </w:r>
      </w:hyperlink>
      <w:hyperlink r:id="rId28">
        <w:r>
          <w:rPr>
            <w:rStyle w:val="Hyperlink"/>
          </w:rPr>
          <w:t xml:space="preserve">[96]</w:t>
        </w:r>
      </w:hyperlink>
      <w:r>
        <w:t xml:space="preserve">. We implement exactly that: clear internal rules, oversight at multiple levels, and training to abide by them.</w:t>
      </w:r>
    </w:p>
    <w:bookmarkEnd w:id="144"/>
    <w:bookmarkStart w:id="145" w:name="incident-response-and-error-handling"/>
    <w:p>
      <w:pPr>
        <w:pStyle w:val="Heading3"/>
      </w:pPr>
      <w:r>
        <w:t xml:space="preserve">8. Incident Response and Error Handling</w:t>
      </w:r>
    </w:p>
    <w:p>
      <w:pPr>
        <w:pStyle w:val="FirstParagraph"/>
      </w:pPr>
      <w:r>
        <w:t xml:space="preserve">Despite precautions, mistakes or incidents can happen. We prepare an incident response plan specifically including AI-related scenarios:</w:t>
      </w:r>
    </w:p>
    <w:p>
      <w:pPr>
        <w:pStyle w:val="Compact"/>
        <w:numPr>
          <w:ilvl w:val="0"/>
          <w:numId w:val="1020"/>
        </w:numPr>
      </w:pPr>
      <w:r>
        <w:rPr>
          <w:b/>
          <w:bCs/>
        </w:rPr>
        <w:t xml:space="preserve">Scenario: AI Data Leak</w:t>
      </w:r>
      <w:r>
        <w:t xml:space="preserve"> </w:t>
      </w:r>
      <w:r>
        <w:t xml:space="preserve">– e.g., an employee accidentally pasted client info into a public AI chatbot not covered by our policy (or a bug sent more data to a service than intended), or the AI service itself had a breach. Our response steps:</w:t>
      </w:r>
    </w:p>
    <w:p>
      <w:pPr>
        <w:pStyle w:val="Compact"/>
        <w:numPr>
          <w:ilvl w:val="0"/>
          <w:numId w:val="1020"/>
        </w:numPr>
      </w:pPr>
      <w:r>
        <w:rPr>
          <w:b/>
          <w:bCs/>
        </w:rPr>
        <w:t xml:space="preserve">Containment:</w:t>
      </w:r>
      <w:r>
        <w:t xml:space="preserve"> </w:t>
      </w:r>
      <w:r>
        <w:t xml:space="preserve">Immediately stop use of the relevant channel (if internal, turn off the integration; if employee error, have them delete content if possible and secure their system) to prevent further leakage.</w:t>
      </w:r>
    </w:p>
    <w:p>
      <w:pPr>
        <w:pStyle w:val="Compact"/>
        <w:numPr>
          <w:ilvl w:val="0"/>
          <w:numId w:val="1020"/>
        </w:numPr>
      </w:pPr>
      <w:r>
        <w:rPr>
          <w:b/>
          <w:bCs/>
        </w:rPr>
        <w:t xml:space="preserve">Assessment:</w:t>
      </w:r>
      <w:r>
        <w:t xml:space="preserve"> </w:t>
      </w:r>
      <w:r>
        <w:t xml:space="preserve">Determine what data was potentially exposed – which client(s), what type of info. If it’s personal info, this may trigger privacy breach notifications under laws or engagement terms. Use logs to get exact detail of what was sent.</w:t>
      </w:r>
    </w:p>
    <w:p>
      <w:pPr>
        <w:pStyle w:val="Compact"/>
        <w:numPr>
          <w:ilvl w:val="0"/>
          <w:numId w:val="1020"/>
        </w:numPr>
      </w:pPr>
      <w:r>
        <w:rPr>
          <w:b/>
          <w:bCs/>
        </w:rPr>
        <w:t xml:space="preserve">Notification:</w:t>
      </w:r>
      <w:r>
        <w:t xml:space="preserve"> </w:t>
      </w:r>
      <w:r>
        <w:t xml:space="preserve">Notify firm management and legal counsel. If required, notify affected clients that there was a potential exposure (depending on severity and legal duty – many jurisdictions mandate notifying individuals if their PII was compromised, unless we think risk is low; ethically, transparency is often wise anyway to maintain trust, framing it as “We take this seriously, here’s what we did.”).</w:t>
      </w:r>
    </w:p>
    <w:p>
      <w:pPr>
        <w:pStyle w:val="Compact"/>
        <w:numPr>
          <w:ilvl w:val="0"/>
          <w:numId w:val="1020"/>
        </w:numPr>
      </w:pPr>
      <w:r>
        <w:rPr>
          <w:b/>
          <w:bCs/>
        </w:rPr>
        <w:t xml:space="preserve">Remediation:</w:t>
      </w:r>
      <w:r>
        <w:t xml:space="preserve"> </w:t>
      </w:r>
      <w:r>
        <w:t xml:space="preserve">Based on the cause – if employee negligence, maybe retraining or discipline; if a process gap, tighten it (like remove copy/paste access to external site, or enforce strict technical controls as needed). If vendor breach, consider halting use of that vendor and switching if trust cannot be restored, and see if vendor is offering support.</w:t>
      </w:r>
    </w:p>
    <w:p>
      <w:pPr>
        <w:pStyle w:val="Compact"/>
        <w:numPr>
          <w:ilvl w:val="0"/>
          <w:numId w:val="1020"/>
        </w:numPr>
      </w:pPr>
      <w:r>
        <w:rPr>
          <w:b/>
          <w:bCs/>
        </w:rPr>
        <w:t xml:space="preserve">Documentation:</w:t>
      </w:r>
      <w:r>
        <w:t xml:space="preserve"> </w:t>
      </w:r>
      <w:r>
        <w:t xml:space="preserve">Document the incident and response actions for record (this goes in our incident log, and probably update our risk assessment documents).</w:t>
      </w:r>
    </w:p>
    <w:p>
      <w:pPr>
        <w:numPr>
          <w:ilvl w:val="0"/>
          <w:numId w:val="1020"/>
        </w:numPr>
      </w:pPr>
      <w:r>
        <w:rPr>
          <w:b/>
          <w:bCs/>
        </w:rPr>
        <w:t xml:space="preserve">Review:</w:t>
      </w:r>
      <w:r>
        <w:t xml:space="preserve"> </w:t>
      </w:r>
      <w:r>
        <w:t xml:space="preserve">Post-mortem analysis to learn and update policies so it doesn’t happen again (e.g., add new rule or tech safeguard discovered necessary).</w:t>
      </w:r>
    </w:p>
    <w:p>
      <w:pPr>
        <w:numPr>
          <w:ilvl w:val="0"/>
          <w:numId w:val="1020"/>
        </w:numPr>
      </w:pPr>
      <w:r>
        <w:rPr>
          <w:b/>
          <w:bCs/>
        </w:rPr>
        <w:t xml:space="preserve">Scenario: AI Causes an Error in Tax Return</w:t>
      </w:r>
      <w:r>
        <w:t xml:space="preserve"> </w:t>
      </w:r>
      <w:r>
        <w:t xml:space="preserve">– e.g., AI suggested a deduction which team took, but it turned out not allowable, causing an IRS issue or client underpayment. Response:</w:t>
      </w:r>
    </w:p>
    <w:p>
      <w:pPr>
        <w:pStyle w:val="Compact"/>
        <w:numPr>
          <w:ilvl w:val="0"/>
          <w:numId w:val="1020"/>
        </w:numPr>
      </w:pPr>
      <w:r>
        <w:rPr>
          <w:b/>
          <w:bCs/>
        </w:rPr>
        <w:t xml:space="preserve">Correct the Error:</w:t>
      </w:r>
      <w:r>
        <w:t xml:space="preserve"> </w:t>
      </w:r>
      <w:r>
        <w:t xml:space="preserve">Immediately prepare an amended return or corrective filing to fix it, once discovered, and coordinate with the client on next steps (they might owe interest, etc. – figure out who bears cost; possibly the firm if it was our fault, as with any error).</w:t>
      </w:r>
    </w:p>
    <w:p>
      <w:pPr>
        <w:pStyle w:val="Compact"/>
        <w:numPr>
          <w:ilvl w:val="0"/>
          <w:numId w:val="1020"/>
        </w:numPr>
      </w:pPr>
      <w:r>
        <w:rPr>
          <w:b/>
          <w:bCs/>
        </w:rPr>
        <w:t xml:space="preserve">Communication:</w:t>
      </w:r>
      <w:r>
        <w:t xml:space="preserve"> </w:t>
      </w:r>
      <w:r>
        <w:t xml:space="preserve">Be honest with the client – explain that an automated tool provided a suggestion that turned out incorrect but that ultimately it’s our responsibility and we are fixing it. Assure them of steps taken to avoid recurrence. Clients might not need the technical detail that “AI did it”, perhaps just say “a software tool” to not spark fear. But if they ask, be transparent that yes an AI was involved but underscore human accountability and changes made.</w:t>
      </w:r>
    </w:p>
    <w:p>
      <w:pPr>
        <w:pStyle w:val="Compact"/>
        <w:numPr>
          <w:ilvl w:val="0"/>
          <w:numId w:val="1020"/>
        </w:numPr>
      </w:pPr>
      <w:r>
        <w:rPr>
          <w:b/>
          <w:bCs/>
        </w:rPr>
        <w:t xml:space="preserve">Report Internally:</w:t>
      </w:r>
      <w:r>
        <w:t xml:space="preserve"> </w:t>
      </w:r>
      <w:r>
        <w:t xml:space="preserve">Treat it like a quality review issue – inform the quality control partner or risk management team in firm. Evaluate if this is a one-off or if other engagements might have had similar issue (do a retrospective check if the AI logic that failed was used elsewhere).</w:t>
      </w:r>
    </w:p>
    <w:p>
      <w:pPr>
        <w:pStyle w:val="Compact"/>
        <w:numPr>
          <w:ilvl w:val="0"/>
          <w:numId w:val="1020"/>
        </w:numPr>
      </w:pPr>
      <w:r>
        <w:rPr>
          <w:b/>
          <w:bCs/>
        </w:rPr>
        <w:t xml:space="preserve">Suspend/Adjust AI usage in that area:</w:t>
      </w:r>
      <w:r>
        <w:t xml:space="preserve"> </w:t>
      </w:r>
      <w:r>
        <w:t xml:space="preserve">Until we resolve why it happened, stop using that specific AI function. Perhaps refine the prompt or add a rule that would catch this. For example, if AI recommended a deduction and hallucinated some basis for it, maybe we change procedure to require explicit source verification before accepting such advice.</w:t>
      </w:r>
    </w:p>
    <w:p>
      <w:pPr>
        <w:pStyle w:val="Compact"/>
        <w:numPr>
          <w:ilvl w:val="0"/>
          <w:numId w:val="1020"/>
        </w:numPr>
      </w:pPr>
      <w:r>
        <w:rPr>
          <w:b/>
          <w:bCs/>
        </w:rPr>
        <w:t xml:space="preserve">Policy Update:</w:t>
      </w:r>
      <w:r>
        <w:t xml:space="preserve"> </w:t>
      </w:r>
      <w:r>
        <w:t xml:space="preserve">If needed, update guidance to explicitly forbid relying on AI for that type of judgment or to add an extra review.</w:t>
      </w:r>
    </w:p>
    <w:p>
      <w:pPr>
        <w:numPr>
          <w:ilvl w:val="0"/>
          <w:numId w:val="1020"/>
        </w:numPr>
      </w:pPr>
      <w:r>
        <w:rPr>
          <w:b/>
          <w:bCs/>
        </w:rPr>
        <w:t xml:space="preserve">Follow-up:</w:t>
      </w:r>
      <w:r>
        <w:t xml:space="preserve"> </w:t>
      </w:r>
      <w:r>
        <w:t xml:space="preserve">After fix, keep an eye on that client’s situation (maybe IRS might ask more, etc.) and support them. There’s also potential liability – ensure our professional liability insurance would cover an error if needed; using AI doesn’t absolve us, so we handle it under normal E&amp;O processes if it became a claim. Probably it won’t if we catch it early and remedy.</w:t>
      </w:r>
    </w:p>
    <w:p>
      <w:pPr>
        <w:numPr>
          <w:ilvl w:val="0"/>
          <w:numId w:val="1020"/>
        </w:numPr>
      </w:pPr>
      <w:r>
        <w:rPr>
          <w:b/>
          <w:bCs/>
        </w:rPr>
        <w:t xml:space="preserve">Scenario: AI Service Outage or Quality Degradation</w:t>
      </w:r>
      <w:r>
        <w:t xml:space="preserve"> </w:t>
      </w:r>
      <w:r>
        <w:t xml:space="preserve">– Not a security incident but operational risk: say our chosen AI API goes down on April 10 when we need it most, or it suddenly starts giving nonsense output (maybe due to a model update). Response:</w:t>
      </w:r>
    </w:p>
    <w:p>
      <w:pPr>
        <w:pStyle w:val="Compact"/>
        <w:numPr>
          <w:ilvl w:val="0"/>
          <w:numId w:val="1020"/>
        </w:numPr>
      </w:pPr>
      <w:r>
        <w:t xml:space="preserve">Have a pre-defined fallback: either switch to a backup service (maybe have two OCR providers set up just in case), or revert to manual for that period.</w:t>
      </w:r>
    </w:p>
    <w:p>
      <w:pPr>
        <w:pStyle w:val="Compact"/>
        <w:numPr>
          <w:ilvl w:val="0"/>
          <w:numId w:val="1020"/>
        </w:numPr>
      </w:pPr>
      <w:r>
        <w:t xml:space="preserve">Communicate to team: “AI tool X is down, use manual process for Y, do Z instead.” Possibly have this in a runbook.</w:t>
      </w:r>
    </w:p>
    <w:p>
      <w:pPr>
        <w:pStyle w:val="Compact"/>
        <w:numPr>
          <w:ilvl w:val="0"/>
          <w:numId w:val="1020"/>
        </w:numPr>
      </w:pPr>
      <w:r>
        <w:t xml:space="preserve">If it’s a short outage, maybe just wait; if longer, escalate to vendor support.</w:t>
      </w:r>
    </w:p>
    <w:p>
      <w:pPr>
        <w:pStyle w:val="Compact"/>
        <w:numPr>
          <w:ilvl w:val="0"/>
          <w:numId w:val="1020"/>
        </w:numPr>
      </w:pPr>
      <w:r>
        <w:t xml:space="preserve">Post-incident, consider adding redundancy – e.g., maybe run critical analyses through two different models concurrently so if one fails the other likely still works (though that doubles cost), or keep the pipeline but allow skipping AI steps gracefully if needed (so work doesn’t stop).</w:t>
      </w:r>
    </w:p>
    <w:p>
      <w:pPr>
        <w:pStyle w:val="Compact"/>
        <w:numPr>
          <w:ilvl w:val="0"/>
          <w:numId w:val="1020"/>
        </w:numPr>
      </w:pPr>
      <w:r>
        <w:t xml:space="preserve">Also, after an outage, double-check any output around that time – if the tool was partially failing, ensure it didn’t give incomplete results unnoticed.</w:t>
      </w:r>
    </w:p>
    <w:p>
      <w:pPr>
        <w:pStyle w:val="FirstParagraph"/>
      </w:pPr>
      <w:r>
        <w:t xml:space="preserve">Our incident response plan aligns with general IT incident management but tuned to AI. The key difference is the</w:t>
      </w:r>
      <w:r>
        <w:t xml:space="preserve"> </w:t>
      </w:r>
      <w:r>
        <w:rPr>
          <w:b/>
          <w:bCs/>
        </w:rPr>
        <w:t xml:space="preserve">cultural aspect</w:t>
      </w:r>
      <w:r>
        <w:t xml:space="preserve">: because AI is new and some may be skeptical, when an incident happens, there might be a temptation to blame the whole idea of using AI. We handle it constructively: identify specific cause (maybe not AI per se but how it was used), and show that our controls kicked in or have been improved. This keeps confidence that we’re in control, even if a hiccup occurred.</w:t>
      </w:r>
    </w:p>
    <w:bookmarkEnd w:id="145"/>
    <w:bookmarkStart w:id="148" w:name="X5aab4748c0f7731891ad1489b5149692a5a64fe"/>
    <w:p>
      <w:pPr>
        <w:pStyle w:val="Heading3"/>
      </w:pPr>
      <w:r>
        <w:t xml:space="preserve">9. Compliance with Professional Standards and Future Regulations</w:t>
      </w:r>
    </w:p>
    <w:p>
      <w:pPr>
        <w:pStyle w:val="FirstParagraph"/>
      </w:pPr>
      <w:r>
        <w:t xml:space="preserve">Finally, we ensure our use of AI remains compliant with all relevant professional standards, and we stay adaptive to changes:</w:t>
      </w:r>
    </w:p>
    <w:p>
      <w:pPr>
        <w:pStyle w:val="Compact"/>
        <w:numPr>
          <w:ilvl w:val="0"/>
          <w:numId w:val="1021"/>
        </w:numPr>
      </w:pPr>
      <w:r>
        <w:rPr>
          <w:b/>
          <w:bCs/>
        </w:rPr>
        <w:t xml:space="preserve">IRS Circular 230:</w:t>
      </w:r>
      <w:r>
        <w:t xml:space="preserve"> </w:t>
      </w:r>
      <w:r>
        <w:t xml:space="preserve">As referenced, Section 10.22 (due diligence) and Section 10.34 (standards for advising and preparing returns) require accuracy and reasonable bases for positions. We interpret that using AI does not change these obligations; in fact, it can help meet them by double-checking, but one must ensure AI doesn’t introduce negligence. We perhaps create an internal memo (for file) stating how our AI usage plan satisfies Circular 230: e.g., “We supervise AI output per 10.22(b) as we would supervise a staff’s work</w:t>
      </w:r>
      <w:hyperlink r:id="rId26">
        <w:r>
          <w:rPr>
            <w:rStyle w:val="Hyperlink"/>
          </w:rPr>
          <w:t xml:space="preserve">[6]</w:t>
        </w:r>
      </w:hyperlink>
      <w:r>
        <w:t xml:space="preserve">; we do not rely on AI opinions if we know or should know they are incorrect, consistent with 10.37 (relying on advice of others)</w:t>
      </w:r>
      <w:hyperlink r:id="rId146">
        <w:r>
          <w:rPr>
            <w:rStyle w:val="Hyperlink"/>
          </w:rPr>
          <w:t xml:space="preserve">[97]</w:t>
        </w:r>
      </w:hyperlink>
      <w:r>
        <w:t xml:space="preserve">.” Noting that if AI says something odd, we recognize that and do not rely on it blindly, fulfilling our duty. This kind of mapping can be useful if we ever had to explain to regulators or in peer review how we ensure compliance.</w:t>
      </w:r>
    </w:p>
    <w:p>
      <w:pPr>
        <w:pStyle w:val="Compact"/>
        <w:numPr>
          <w:ilvl w:val="0"/>
          <w:numId w:val="1021"/>
        </w:numPr>
      </w:pPr>
      <w:r>
        <w:rPr>
          <w:b/>
          <w:bCs/>
        </w:rPr>
        <w:t xml:space="preserve">AICPA Code of Professional Conduct:</w:t>
      </w:r>
      <w:r>
        <w:t xml:space="preserve"> </w:t>
      </w:r>
      <w:r>
        <w:t xml:space="preserve">Particularly the Confidential Client Information rule (ET 1.700) – we ensure any client info shared is with client consent or allowable exception (the service provider exception, which we fit under by treating AI provider as a service provider and maintaining confidentiality agreements). We document in our policy that use of AI service is considered a use of a third-party service provider and we have obtained consent or have a confidentiality agreement, satisfying ethics requirements</w:t>
      </w:r>
      <w:hyperlink r:id="rId67">
        <w:r>
          <w:rPr>
            <w:rStyle w:val="Hyperlink"/>
          </w:rPr>
          <w:t xml:space="preserve">[43]</w:t>
        </w:r>
      </w:hyperlink>
      <w:r>
        <w:t xml:space="preserve">. Also, the code’s integrity and objectivity sections require not subordinating judgment – we explicitly state that human judgment is final. So we are good there.</w:t>
      </w:r>
    </w:p>
    <w:p>
      <w:pPr>
        <w:pStyle w:val="Compact"/>
        <w:numPr>
          <w:ilvl w:val="0"/>
          <w:numId w:val="1021"/>
        </w:numPr>
      </w:pPr>
      <w:r>
        <w:rPr>
          <w:b/>
          <w:bCs/>
        </w:rPr>
        <w:t xml:space="preserve">AICPA Statements on Standards for Tax Services (SSTS):</w:t>
      </w:r>
      <w:r>
        <w:t xml:space="preserve"> </w:t>
      </w:r>
      <w:r>
        <w:t xml:space="preserve">Notably SSTS No. 1 on tax return positions and SSTS No. 3 on using estimates, etc. If AI provides an estimate or a range, we treat it just as an estimate from client – only use if reasonable. SSTS 1.4.2 and 1.4.3 (in the revised SSTS effective 2024) explicitly mention tools and that member must use judgment when relying on them</w:t>
      </w:r>
      <w:hyperlink r:id="rId68">
        <w:r>
          <w:rPr>
            <w:rStyle w:val="Hyperlink"/>
          </w:rPr>
          <w:t xml:space="preserve">[44]</w:t>
        </w:r>
      </w:hyperlink>
      <w:hyperlink r:id="rId35">
        <w:r>
          <w:rPr>
            <w:rStyle w:val="Hyperlink"/>
          </w:rPr>
          <w:t xml:space="preserve">[14]</w:t>
        </w:r>
      </w:hyperlink>
      <w:r>
        <w:t xml:space="preserve">. We incorporate that guidance: e.g., check that our use of AI is reasonable – if the AI is basically doing the same as a tax research software just in natural language, that’s fine as long as we verify the sources. If an AI tool’s output seems unreasonable, SSTS would say you can’t rely on it without more due diligence. So we abide by that. Document that we consulted SSTS 1.4 and confirm compliance (like an internal checklist: did we ensure AI tool is appropriate? Did we maintain responsibility? Yes, by our oversight steps).</w:t>
      </w:r>
    </w:p>
    <w:p>
      <w:pPr>
        <w:pStyle w:val="Compact"/>
        <w:numPr>
          <w:ilvl w:val="0"/>
          <w:numId w:val="1021"/>
        </w:numPr>
      </w:pPr>
      <w:r>
        <w:rPr>
          <w:b/>
          <w:bCs/>
        </w:rPr>
        <w:t xml:space="preserve">Record Retention and Disclosure:</w:t>
      </w:r>
      <w:r>
        <w:t xml:space="preserve"> </w:t>
      </w:r>
      <w:r>
        <w:t xml:space="preserve">Ensure that if AI creates new records that are considered part of the client file, we retain them as required (like our usual retention policies). Also consider that if a client asks for their file or if an external quality review asks, those AI outputs might be disclosable as part of workpapers. We will treat them like any other workpaper (which also means, ensure they don’t contain any language we wouldn’t want seen – e.g., avoid using AI internal notes that are unprofessional, etc.).</w:t>
      </w:r>
    </w:p>
    <w:p>
      <w:pPr>
        <w:pStyle w:val="Compact"/>
        <w:numPr>
          <w:ilvl w:val="0"/>
          <w:numId w:val="1021"/>
        </w:numPr>
      </w:pPr>
      <w:r>
        <w:rPr>
          <w:b/>
          <w:bCs/>
        </w:rPr>
        <w:t xml:space="preserve">Emerging Laws:</w:t>
      </w:r>
      <w:r>
        <w:t xml:space="preserve"> </w:t>
      </w:r>
      <w:r>
        <w:t xml:space="preserve">Keep an eye on any new laws such as privacy laws (California CPRA, etc.) and AI-specific laws (EU’s AI Act – if it applies, though that’s more about providers). While likely not directly impacting how an accounting firm uses AI internally, if an AI system were to be used in a way affecting individuals, some laws might consider that processing personal data and requiring certain notices or rights. For instance, if we used AI to profile clients in some way, we’d ensure it doesn’t violate privacy. This is an evolving area, so our governance group (maybe that AI committee or the risk manager) should yearly or more often check for new guidance from bodies like AICPA, IRS, FTC (they’ve talked about AI fairness, etc.).</w:t>
      </w:r>
    </w:p>
    <w:p>
      <w:pPr>
        <w:pStyle w:val="Compact"/>
        <w:numPr>
          <w:ilvl w:val="0"/>
          <w:numId w:val="1021"/>
        </w:numPr>
      </w:pPr>
      <w:r>
        <w:rPr>
          <w:b/>
          <w:bCs/>
        </w:rPr>
        <w:t xml:space="preserve">Industry Standards:</w:t>
      </w:r>
      <w:r>
        <w:t xml:space="preserve"> </w:t>
      </w:r>
      <w:r>
        <w:t xml:space="preserve">Follow guidance from bodies like AICPA’s AI Task Force or CPA.com’s AI initiatives (like the 2025 AI in Accounting Report which outlines best practices including human-in-the-loop, etc. which we have implemented</w:t>
      </w:r>
      <w:hyperlink r:id="rId37">
        <w:r>
          <w:rPr>
            <w:rStyle w:val="Hyperlink"/>
          </w:rPr>
          <w:t xml:space="preserve">[16]</w:t>
        </w:r>
      </w:hyperlink>
      <w:r>
        <w:t xml:space="preserve">). Show that we align with what our peers are considering – e.g., they emphasize that</w:t>
      </w:r>
      <w:r>
        <w:t xml:space="preserve"> </w:t>
      </w:r>
      <w:r>
        <w:rPr>
          <w:i/>
          <w:iCs/>
        </w:rPr>
        <w:t xml:space="preserve">“AI won’t replace accountants but change roles”</w:t>
      </w:r>
      <w:hyperlink r:id="rId147">
        <w:r>
          <w:rPr>
            <w:rStyle w:val="Hyperlink"/>
          </w:rPr>
          <w:t xml:space="preserve">[98]</w:t>
        </w:r>
      </w:hyperlink>
      <w:r>
        <w:t xml:space="preserve"> </w:t>
      </w:r>
      <w:r>
        <w:t xml:space="preserve">and that firms need strategic roadmaps (which we have done). This also means we continuously update training for staff to maintain competence as AI evolves (competence is an ethical requirement too – if new tech is used, staff must be adequately trained, which we do).</w:t>
      </w:r>
    </w:p>
    <w:p>
      <w:pPr>
        <w:pStyle w:val="FirstParagraph"/>
      </w:pPr>
      <w:r>
        <w:t xml:space="preserve">By embedding compliance and ethics from the start, we ensure that even as we innovate with AI, we do so responsibly. Our firm can then confidently articulate to clients, regulators, or our professional liability insurer how we manage AI risks – turning a potential concern into a strength (we can say,</w:t>
      </w:r>
      <w:r>
        <w:t xml:space="preserve"> </w:t>
      </w:r>
      <w:r>
        <w:rPr>
          <w:i/>
          <w:iCs/>
        </w:rPr>
        <w:t xml:space="preserve">“Yes we use AI, but under rigorous controls that meet or exceed our professional standards”</w:t>
      </w:r>
      <w:r>
        <w:t xml:space="preserve">). This proactive approach is likely to be looked upon favorably in peer reviews or if ever our processes are scrutinized.</w:t>
      </w:r>
    </w:p>
    <w:p>
      <w:r>
        <w:pict>
          <v:rect style="width:0;height:1.5pt" o:hralign="center" o:hrstd="t" o:hr="t"/>
        </w:pict>
      </w:r>
    </w:p>
    <w:p>
      <w:pPr>
        <w:pStyle w:val="FirstParagraph"/>
      </w:pPr>
      <w:r>
        <w:t xml:space="preserve">This Security and Governance guidance section, combined with our checklist and policies, should give a clear picture of how we are</w:t>
      </w:r>
      <w:r>
        <w:t xml:space="preserve"> </w:t>
      </w:r>
      <w:r>
        <w:rPr>
          <w:b/>
          <w:bCs/>
        </w:rPr>
        <w:t xml:space="preserve">leveraging AI in a secure, ethical, and controlled manner</w:t>
      </w:r>
      <w:r>
        <w:t xml:space="preserve">. The overall theme: we treat AI as a powerful tool that</w:t>
      </w:r>
      <w:r>
        <w:t xml:space="preserve"> </w:t>
      </w:r>
      <w:r>
        <w:rPr>
          <w:i/>
          <w:iCs/>
        </w:rPr>
        <w:t xml:space="preserve">we</w:t>
      </w:r>
      <w:r>
        <w:t xml:space="preserve"> </w:t>
      </w:r>
      <w:r>
        <w:t xml:space="preserve">control, rather than a black box controlling us. We maintain the same standards of confidentiality and quality as always, simply using new technology to assist – and we have put guardrails to ensure it remains assistance, not a liability.</w:t>
      </w:r>
    </w:p>
    <w:bookmarkEnd w:id="148"/>
    <w:bookmarkEnd w:id="149"/>
    <w:bookmarkStart w:id="159" w:name="X116ee4c1050860996edd471652a1bbc015cf2ff"/>
    <w:p>
      <w:pPr>
        <w:pStyle w:val="Heading2"/>
      </w:pPr>
      <w:r>
        <w:t xml:space="preserve">Integration Architecture – AI in the Tax Workflow</w:t>
      </w:r>
    </w:p>
    <w:p>
      <w:pPr>
        <w:pStyle w:val="FirstParagraph"/>
      </w:pPr>
      <w:r>
        <w:rPr>
          <w:i/>
          <w:iCs/>
        </w:rPr>
        <w:t xml:space="preserve">In this section, we provide a reference</w:t>
      </w:r>
      <w:r>
        <w:t xml:space="preserve"> </w:t>
      </w:r>
      <w:r>
        <w:rPr>
          <w:i/>
          <w:iCs/>
        </w:rPr>
        <w:t xml:space="preserve">integration architecture</w:t>
      </w:r>
      <w:r>
        <w:t xml:space="preserve"> </w:t>
      </w:r>
      <w:r>
        <w:rPr>
          <w:i/>
          <w:iCs/>
        </w:rPr>
        <w:t xml:space="preserve">for incorporating AI capabilities into a tax preparation workflow or software system. This is both a conceptual model and a practical guide to how data and processes flow between components (data sources, AI services, human users, and existing software). The goal is to illustrate how all the pieces come together in a secure, efficient manner.</w:t>
      </w:r>
    </w:p>
    <w:p>
      <w:pPr>
        <w:pStyle w:val="BodyText"/>
      </w:pPr>
      <w:r>
        <w:t xml:space="preserve">The architecture will be described in stages: conceptual flow, a textual high-level diagram, key integration points, and notes on customizing it for a firm’s specific setup.</w:t>
      </w:r>
    </w:p>
    <w:bookmarkStart w:id="151" w:name="conceptual-flow-overview"/>
    <w:p>
      <w:pPr>
        <w:pStyle w:val="Heading3"/>
      </w:pPr>
      <w:r>
        <w:t xml:space="preserve">1. Conceptual Flow Overview</w:t>
      </w:r>
    </w:p>
    <w:p>
      <w:pPr>
        <w:pStyle w:val="FirstParagraph"/>
      </w:pPr>
      <w:r>
        <w:t xml:space="preserve">At a high level, the integration of AI into tax preparation can be visualized as adding an “AI Assist layer” into the traditional process:</w:t>
      </w:r>
    </w:p>
    <w:p>
      <w:pPr>
        <w:pStyle w:val="Compact"/>
        <w:numPr>
          <w:ilvl w:val="0"/>
          <w:numId w:val="1022"/>
        </w:numPr>
      </w:pPr>
      <w:r>
        <w:rPr>
          <w:b/>
          <w:bCs/>
        </w:rPr>
        <w:t xml:space="preserve">Data Ingestion:</w:t>
      </w:r>
      <w:r>
        <w:t xml:space="preserve"> </w:t>
      </w:r>
      <w:r>
        <w:t xml:space="preserve">Client provides documents and data (via portal, email, upload). These are collected in our</w:t>
      </w:r>
      <w:r>
        <w:t xml:space="preserve"> </w:t>
      </w:r>
      <w:r>
        <w:rPr>
          <w:b/>
          <w:bCs/>
        </w:rPr>
        <w:t xml:space="preserve">Company Systems</w:t>
      </w:r>
      <w:r>
        <w:t xml:space="preserve"> </w:t>
      </w:r>
      <w:r>
        <w:t xml:space="preserve">(e.g., document management, tax software input forms).</w:t>
      </w:r>
    </w:p>
    <w:p>
      <w:pPr>
        <w:pStyle w:val="Compact"/>
        <w:numPr>
          <w:ilvl w:val="0"/>
          <w:numId w:val="1022"/>
        </w:numPr>
      </w:pPr>
      <w:r>
        <w:rPr>
          <w:b/>
          <w:bCs/>
        </w:rPr>
        <w:t xml:space="preserve">AI Document Processing:</w:t>
      </w:r>
      <w:r>
        <w:t xml:space="preserve"> </w:t>
      </w:r>
      <w:r>
        <w:t xml:space="preserve">When documents arrive, an</w:t>
      </w:r>
      <w:r>
        <w:t xml:space="preserve"> </w:t>
      </w:r>
      <w:r>
        <w:rPr>
          <w:b/>
          <w:bCs/>
        </w:rPr>
        <w:t xml:space="preserve">AI Document Parser</w:t>
      </w:r>
      <w:r>
        <w:t xml:space="preserve"> </w:t>
      </w:r>
      <w:r>
        <w:t xml:space="preserve">(OCR + classification) processes them to extract structured data and identifies document types. This parser outputs machine-readable data and initial flags (like “Document X missing page 2” or “Value Y seems out of expected range”).</w:t>
      </w:r>
    </w:p>
    <w:p>
      <w:pPr>
        <w:pStyle w:val="Compact"/>
        <w:numPr>
          <w:ilvl w:val="0"/>
          <w:numId w:val="1022"/>
        </w:numPr>
      </w:pPr>
      <w:r>
        <w:rPr>
          <w:b/>
          <w:bCs/>
        </w:rPr>
        <w:t xml:space="preserve">Data flows into Tax Software:</w:t>
      </w:r>
      <w:r>
        <w:t xml:space="preserve"> </w:t>
      </w:r>
      <w:r>
        <w:t xml:space="preserve">The structured data populates the tax preparation software or worksheets. The human preparer reviews and adjusts as needed (ensuring, for example, OCR errors are corrected).</w:t>
      </w:r>
    </w:p>
    <w:p>
      <w:pPr>
        <w:pStyle w:val="Compact"/>
        <w:numPr>
          <w:ilvl w:val="0"/>
          <w:numId w:val="1022"/>
        </w:numPr>
      </w:pPr>
      <w:r>
        <w:rPr>
          <w:b/>
          <w:bCs/>
        </w:rPr>
        <w:t xml:space="preserve">AI Analysis &amp; Review:</w:t>
      </w:r>
      <w:r>
        <w:t xml:space="preserve"> </w:t>
      </w:r>
      <w:r>
        <w:t xml:space="preserve">Once preliminary data entry is done, an</w:t>
      </w:r>
      <w:r>
        <w:t xml:space="preserve"> </w:t>
      </w:r>
      <w:r>
        <w:rPr>
          <w:b/>
          <w:bCs/>
        </w:rPr>
        <w:t xml:space="preserve">AI Analysis Engine</w:t>
      </w:r>
      <w:r>
        <w:t xml:space="preserve"> </w:t>
      </w:r>
      <w:r>
        <w:t xml:space="preserve">takes over for a review pass. It pulls data from the tax software (or an exported form set) into an analysis environment. It performs tasks like cross-checking values, comparing against prior year, searching for compliance issues or optimization opportunities (deductions, credits). It may also query external knowledge (tax law database) for any special cases relevant.</w:t>
      </w:r>
    </w:p>
    <w:p>
      <w:pPr>
        <w:pStyle w:val="Compact"/>
        <w:numPr>
          <w:ilvl w:val="0"/>
          <w:numId w:val="1022"/>
        </w:numPr>
      </w:pPr>
      <w:r>
        <w:rPr>
          <w:b/>
          <w:bCs/>
        </w:rPr>
        <w:t xml:space="preserve">Findings &amp; Suggestions:</w:t>
      </w:r>
      <w:r>
        <w:t xml:space="preserve"> </w:t>
      </w:r>
      <w:r>
        <w:t xml:space="preserve">The AI engine produces outputs: a list of potential issues (“Review: Charitable contributions up 300% from last year</w:t>
      </w:r>
      <w:hyperlink r:id="rId150">
        <w:r>
          <w:rPr>
            <w:rStyle w:val="Hyperlink"/>
          </w:rPr>
          <w:t xml:space="preserve">[99]</w:t>
        </w:r>
      </w:hyperlink>
      <w:r>
        <w:t xml:space="preserve">”), questions (“Client has stock sales, but no 1099-B seen – is one missing?”), and recommendations (“Client might qualify for the Retirement Savings Credit, not claimed – check eligibility”). These findings are compiled in a</w:t>
      </w:r>
      <w:r>
        <w:t xml:space="preserve"> </w:t>
      </w:r>
      <w:r>
        <w:rPr>
          <w:b/>
          <w:bCs/>
        </w:rPr>
        <w:t xml:space="preserve">Review Report</w:t>
      </w:r>
      <w:r>
        <w:t xml:space="preserve"> </w:t>
      </w:r>
      <w:r>
        <w:t xml:space="preserve">or directly annotated in the software (if integration allows, e.g., adding review notes in the tax prep software).</w:t>
      </w:r>
    </w:p>
    <w:p>
      <w:pPr>
        <w:pStyle w:val="Compact"/>
        <w:numPr>
          <w:ilvl w:val="0"/>
          <w:numId w:val="1022"/>
        </w:numPr>
      </w:pPr>
      <w:r>
        <w:rPr>
          <w:b/>
          <w:bCs/>
        </w:rPr>
        <w:t xml:space="preserve">Human Validation:</w:t>
      </w:r>
      <w:r>
        <w:t xml:space="preserve"> </w:t>
      </w:r>
      <w:r>
        <w:t xml:space="preserve">The tax professional goes through each AI-flagged item. They use their judgment to accept or reject suggestions. For accepted ones, they might add forms or adjust amounts (with reasoning documented). They address queries (maybe ask client for missing info if needed). Essentially, the preparer and reviewer resolve all items – which might involve back-and-forth: e.g., if something is unclear, they might ask the AI for clarification or do manual research. At the end, the return is complete and reviewed.</w:t>
      </w:r>
    </w:p>
    <w:p>
      <w:pPr>
        <w:pStyle w:val="Compact"/>
        <w:numPr>
          <w:ilvl w:val="0"/>
          <w:numId w:val="1022"/>
        </w:numPr>
      </w:pPr>
      <w:r>
        <w:rPr>
          <w:b/>
          <w:bCs/>
        </w:rPr>
        <w:t xml:space="preserve">Documentation &amp; Output:</w:t>
      </w:r>
      <w:r>
        <w:t xml:space="preserve"> </w:t>
      </w:r>
      <w:r>
        <w:t xml:space="preserve">Any AI-generated memos or summaries for the client (like an explanation letter or a planning tips memo) are finalized by staff and included in deliverables. The final tax return goes through normal e-filing. Workpapers now include AI outputs and notes for future reference.</w:t>
      </w:r>
    </w:p>
    <w:p>
      <w:pPr>
        <w:pStyle w:val="Compact"/>
        <w:numPr>
          <w:ilvl w:val="0"/>
          <w:numId w:val="1022"/>
        </w:numPr>
      </w:pPr>
      <w:r>
        <w:rPr>
          <w:b/>
          <w:bCs/>
        </w:rPr>
        <w:t xml:space="preserve">Learning Loop:</w:t>
      </w:r>
      <w:r>
        <w:t xml:space="preserve"> </w:t>
      </w:r>
      <w:r>
        <w:t xml:space="preserve">Optionally, any confirmed issues or adjustments discovered via AI review are fed back into a knowledge base (to improve future AI suggestions or for training junior staff). Also, any AI errors are fed into refining the AI (adjust prompts or rules).</w:t>
      </w:r>
    </w:p>
    <w:p>
      <w:pPr>
        <w:pStyle w:val="FirstParagraph"/>
      </w:pPr>
      <w:r>
        <w:t xml:space="preserve">This flow ensures AI is woven into each step where it adds value: ingestion, analysis, communication, but with humans guiding at start (input QC) and end (output QC).</w:t>
      </w:r>
    </w:p>
    <w:bookmarkEnd w:id="151"/>
    <w:bookmarkStart w:id="152" w:name="Xd64c67b5d1528b9162374344b78d7e44eaec2f9"/>
    <w:p>
      <w:pPr>
        <w:pStyle w:val="Heading3"/>
      </w:pPr>
      <w:r>
        <w:t xml:space="preserve">2. High-Level Diagram (Textual Representation)</w:t>
      </w:r>
    </w:p>
    <w:p>
      <w:pPr>
        <w:pStyle w:val="FirstParagraph"/>
      </w:pPr>
      <w:r>
        <w:t xml:space="preserve">Below is a textual representation of the system architecture, showing how components interact. (We use a similar style to the Genesis pack diagram, but adapted to our context):</w:t>
      </w:r>
    </w:p>
    <w:p>
      <w:pPr>
        <w:pStyle w:val="SourceCode"/>
      </w:pPr>
      <w:r>
        <w:rPr>
          <w:rStyle w:val="VerbatimChar"/>
        </w:rPr>
        <w:t xml:space="preserve">+--------------------------------------------------------------+</w:t>
      </w:r>
      <w:r>
        <w:br/>
      </w:r>
      <w:r>
        <w:rPr>
          <w:rStyle w:val="VerbatimChar"/>
        </w:rPr>
        <w:t xml:space="preserve">|                     Company Tax Systems                      |</w:t>
      </w:r>
      <w:r>
        <w:br/>
      </w:r>
      <w:r>
        <w:rPr>
          <w:rStyle w:val="VerbatimChar"/>
        </w:rPr>
        <w:t xml:space="preserve">|  - Client Document Repository (scans, PDFs)                  |</w:t>
      </w:r>
      <w:r>
        <w:br/>
      </w:r>
      <w:r>
        <w:rPr>
          <w:rStyle w:val="VerbatimChar"/>
        </w:rPr>
        <w:t xml:space="preserve">|  - Tax Preparation Software (database of return data)        |</w:t>
      </w:r>
      <w:r>
        <w:br/>
      </w:r>
      <w:r>
        <w:rPr>
          <w:rStyle w:val="VerbatimChar"/>
        </w:rPr>
        <w:t xml:space="preserve">|  - Knowledge Base (prior returns, reference data)            |</w:t>
      </w:r>
      <w:r>
        <w:br/>
      </w:r>
      <w:r>
        <w:rPr>
          <w:rStyle w:val="VerbatimChar"/>
        </w:rPr>
        <w:t xml:space="preserve">+--------------------------------------------------------------+</w:t>
      </w:r>
      <w:r>
        <w:br/>
      </w:r>
      <w:r>
        <w:rPr>
          <w:rStyle w:val="VerbatimChar"/>
        </w:rPr>
        <w:t xml:space="preserve">             |                           | </w:t>
      </w:r>
      <w:r>
        <w:br/>
      </w:r>
      <w:r>
        <w:rPr>
          <w:rStyle w:val="VerbatimChar"/>
        </w:rPr>
        <w:t xml:space="preserve">             v                           v </w:t>
      </w:r>
      <w:r>
        <w:br/>
      </w:r>
      <w:r>
        <w:rPr>
          <w:rStyle w:val="VerbatimChar"/>
        </w:rPr>
        <w:t xml:space="preserve">      [1] AI Document Parser       [2] AI Analysis &amp; Advice Engine</w:t>
      </w:r>
      <w:r>
        <w:br/>
      </w:r>
      <w:r>
        <w:rPr>
          <w:rStyle w:val="VerbatimChar"/>
        </w:rPr>
        <w:t xml:space="preserve">         (OCR &amp; Classifier)             (LLM + Tax Knowledge) </w:t>
      </w:r>
      <w:r>
        <w:br/>
      </w:r>
      <w:r>
        <w:rPr>
          <w:rStyle w:val="VerbatimChar"/>
        </w:rPr>
        <w:t xml:space="preserve">             |                           |</w:t>
      </w:r>
      <w:r>
        <w:br/>
      </w:r>
      <w:r>
        <w:rPr>
          <w:rStyle w:val="VerbatimChar"/>
        </w:rPr>
        <w:t xml:space="preserve">             v                           |</w:t>
      </w:r>
      <w:r>
        <w:br/>
      </w:r>
      <w:r>
        <w:rPr>
          <w:rStyle w:val="VerbatimChar"/>
        </w:rPr>
        <w:t xml:space="preserve">    +-------------------+                |</w:t>
      </w:r>
      <w:r>
        <w:br/>
      </w:r>
      <w:r>
        <w:rPr>
          <w:rStyle w:val="VerbatimChar"/>
        </w:rPr>
        <w:t xml:space="preserve">    | Extracted Data    |------[3]------&gt;| </w:t>
      </w:r>
      <w:r>
        <w:br/>
      </w:r>
      <w:r>
        <w:rPr>
          <w:rStyle w:val="VerbatimChar"/>
        </w:rPr>
        <w:t xml:space="preserve">    | &amp; Doc Metadata    |                | </w:t>
      </w:r>
      <w:r>
        <w:br/>
      </w:r>
      <w:r>
        <w:rPr>
          <w:rStyle w:val="VerbatimChar"/>
        </w:rPr>
        <w:t xml:space="preserve">    +-------------------+                | </w:t>
      </w:r>
      <w:r>
        <w:br/>
      </w:r>
      <w:r>
        <w:rPr>
          <w:rStyle w:val="VerbatimChar"/>
        </w:rPr>
        <w:t xml:space="preserve">             |                           |    External Data Sources</w:t>
      </w:r>
      <w:r>
        <w:br/>
      </w:r>
      <w:r>
        <w:rPr>
          <w:rStyle w:val="VerbatimChar"/>
        </w:rPr>
        <w:t xml:space="preserve">             v                           |    (Tax Law DB, Prior Year Data)</w:t>
      </w:r>
      <w:r>
        <w:br/>
      </w:r>
      <w:r>
        <w:rPr>
          <w:rStyle w:val="VerbatimChar"/>
        </w:rPr>
        <w:t xml:space="preserve">+---------------------------------------------------------------+</w:t>
      </w:r>
      <w:r>
        <w:br/>
      </w:r>
      <w:r>
        <w:rPr>
          <w:rStyle w:val="VerbatimChar"/>
        </w:rPr>
        <w:t xml:space="preserve">|     Integration &amp; Workflow Layer (Orchestration)              |</w:t>
      </w:r>
      <w:r>
        <w:br/>
      </w:r>
      <w:r>
        <w:rPr>
          <w:rStyle w:val="VerbatimChar"/>
        </w:rPr>
        <w:t xml:space="preserve">|   - Data Import to Tax Software (from Extracted Data)         |</w:t>
      </w:r>
      <w:r>
        <w:br/>
      </w:r>
      <w:r>
        <w:rPr>
          <w:rStyle w:val="VerbatimChar"/>
        </w:rPr>
        <w:t xml:space="preserve">|   - Trigger AI Analysis once data entry done                  |</w:t>
      </w:r>
      <w:r>
        <w:br/>
      </w:r>
      <w:r>
        <w:rPr>
          <w:rStyle w:val="VerbatimChar"/>
        </w:rPr>
        <w:t xml:space="preserve">|   - Collect AI findings and attach to review checklist        |</w:t>
      </w:r>
      <w:r>
        <w:br/>
      </w:r>
      <w:r>
        <w:rPr>
          <w:rStyle w:val="VerbatimChar"/>
        </w:rPr>
        <w:t xml:space="preserve">|   - Store AI outputs in workpapers database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Human Review &amp; Validation                            |</w:t>
      </w:r>
      <w:r>
        <w:br/>
      </w:r>
      <w:r>
        <w:rPr>
          <w:rStyle w:val="VerbatimChar"/>
        </w:rPr>
        <w:t xml:space="preserve">|   - Preparer checks OCR results and populates missing data   |</w:t>
      </w:r>
      <w:r>
        <w:br/>
      </w:r>
      <w:r>
        <w:rPr>
          <w:rStyle w:val="VerbatimChar"/>
        </w:rPr>
        <w:t xml:space="preserve">|   - Preparer/Reviewer examines AI findings                   |</w:t>
      </w:r>
      <w:r>
        <w:br/>
      </w:r>
      <w:r>
        <w:rPr>
          <w:rStyle w:val="VerbatimChar"/>
        </w:rPr>
        <w:t xml:space="preserve">|   - Makes decisions, updates return data as needed           |</w:t>
      </w:r>
      <w:r>
        <w:br/>
      </w:r>
      <w:r>
        <w:rPr>
          <w:rStyle w:val="VerbatimChar"/>
        </w:rPr>
        <w:t xml:space="preserve">|   - Marks issues resolved or asks AI follow-up questions     |</w:t>
      </w:r>
      <w:r>
        <w:br/>
      </w:r>
      <w:r>
        <w:rPr>
          <w:rStyle w:val="VerbatimChar"/>
        </w:rPr>
        <w:t xml:space="preserve">+--------------------------------------------------------------+</w:t>
      </w:r>
      <w:r>
        <w:br/>
      </w:r>
      <w:r>
        <w:rPr>
          <w:rStyle w:val="VerbatimChar"/>
        </w:rPr>
        <w:t xml:space="preserve">             |</w:t>
      </w:r>
      <w:r>
        <w:br/>
      </w:r>
      <w:r>
        <w:rPr>
          <w:rStyle w:val="VerbatimChar"/>
        </w:rPr>
        <w:t xml:space="preserve">             v</w:t>
      </w:r>
      <w:r>
        <w:br/>
      </w:r>
      <w:r>
        <w:rPr>
          <w:rStyle w:val="VerbatimChar"/>
        </w:rPr>
        <w:t xml:space="preserve">+--------------------------------------------------------------+</w:t>
      </w:r>
      <w:r>
        <w:br/>
      </w:r>
      <w:r>
        <w:rPr>
          <w:rStyle w:val="VerbatimChar"/>
        </w:rPr>
        <w:t xml:space="preserve">|   Output &amp; Reporting                                         |</w:t>
      </w:r>
      <w:r>
        <w:br/>
      </w:r>
      <w:r>
        <w:rPr>
          <w:rStyle w:val="VerbatimChar"/>
        </w:rPr>
        <w:t xml:space="preserve">|  - Final tax return (e-filed)                                |</w:t>
      </w:r>
      <w:r>
        <w:br/>
      </w:r>
      <w:r>
        <w:rPr>
          <w:rStyle w:val="VerbatimChar"/>
        </w:rPr>
        <w:t xml:space="preserve">|  - Client Letter &amp; Explanation (AI-drafted, human-edited)    |</w:t>
      </w:r>
      <w:r>
        <w:br/>
      </w:r>
      <w:r>
        <w:rPr>
          <w:rStyle w:val="VerbatimChar"/>
        </w:rPr>
        <w:t xml:space="preserve">|  - Workpaper Archive (incl. AI review report, data logs)     |</w:t>
      </w:r>
      <w:r>
        <w:br/>
      </w:r>
      <w:r>
        <w:rPr>
          <w:rStyle w:val="VerbatimChar"/>
        </w:rPr>
        <w:t xml:space="preserve">+--------------------------------------------------------------+</w:t>
      </w:r>
    </w:p>
    <w:p>
      <w:pPr>
        <w:pStyle w:val="FirstParagraph"/>
      </w:pPr>
      <w:r>
        <w:rPr>
          <w:b/>
          <w:bCs/>
        </w:rPr>
        <w:t xml:space="preserve">Explanation of the Diagram:</w:t>
      </w:r>
      <w:r>
        <w:br/>
      </w:r>
      <w:r>
        <w:t xml:space="preserve">- On the left is the</w:t>
      </w:r>
      <w:r>
        <w:t xml:space="preserve"> </w:t>
      </w:r>
      <w:r>
        <w:rPr>
          <w:b/>
          <w:bCs/>
        </w:rPr>
        <w:t xml:space="preserve">Company Tax Systems</w:t>
      </w:r>
      <w:r>
        <w:t xml:space="preserve"> </w:t>
      </w:r>
      <w:r>
        <w:t xml:space="preserve">block – that's our existing systems: document storage, tax prep software, etc. On the right, we have two AI components: [1] Document Parser and [2] Analysis &amp; Advice Engine. The arrows show data flowing: client docs go into [1], which outputs structured data. That data enters our integration layer and populates tax software (arrow labeled [3] could be an import or an API push). Then, after initial data entry, arrow from extracted data &amp; meta also goes into [2] (the analysis engine uses not only what's extracted, but possibly also direct feed from tax software database and external tax law data). The analysis engine returns its insights into the integration layer, which then presents them to the humans via our workflow (like attaches to a checklist). The human review resolves everything, then final outputs are produced (with any contributions from AI incorporated properly and checked). External data sources are depicted feeding into the analysis engine as needed (e.g., if it needs to look up a tax law or prior year values, it can query those).</w:t>
      </w:r>
    </w:p>
    <w:p>
      <w:pPr>
        <w:pStyle w:val="BodyText"/>
      </w:pPr>
      <w:r>
        <w:t xml:space="preserve">This diagram emphasizes that AI components are separate but connected to our systems through a defined interface (the Integration &amp; Workflow Orchestrator). Also note all flow is controlled: data out of company systems only goes to the AI engines as needed, and vice versa, to maintain boundaries.</w:t>
      </w:r>
    </w:p>
    <w:bookmarkEnd w:id="152"/>
    <w:bookmarkStart w:id="157" w:name="key-integration-points"/>
    <w:p>
      <w:pPr>
        <w:pStyle w:val="Heading3"/>
      </w:pPr>
      <w:r>
        <w:t xml:space="preserve">3. Key Integration Points</w:t>
      </w:r>
    </w:p>
    <w:p>
      <w:pPr>
        <w:pStyle w:val="FirstParagraph"/>
      </w:pPr>
      <w:r>
        <w:t xml:space="preserve">Let's detail the critical integration points (the numbered aspects from the diagram) and what is required at each:</w:t>
      </w:r>
    </w:p>
    <w:bookmarkStart w:id="154" w:name="document-parsing-integration"/>
    <w:p>
      <w:pPr>
        <w:pStyle w:val="Heading4"/>
      </w:pPr>
      <w:r>
        <w:t xml:space="preserve">3.1 Document Parsing Integration</w:t>
      </w:r>
    </w:p>
    <w:p>
      <w:pPr>
        <w:pStyle w:val="FirstParagraph"/>
      </w:pPr>
      <w:r>
        <w:t xml:space="preserve">At integration point [1], we connect our</w:t>
      </w:r>
      <w:r>
        <w:t xml:space="preserve"> </w:t>
      </w:r>
      <w:r>
        <w:rPr>
          <w:b/>
          <w:bCs/>
        </w:rPr>
        <w:t xml:space="preserve">Client Document Repository</w:t>
      </w:r>
      <w:r>
        <w:t xml:space="preserve"> </w:t>
      </w:r>
      <w:r>
        <w:t xml:space="preserve">with the</w:t>
      </w:r>
      <w:r>
        <w:t xml:space="preserve"> </w:t>
      </w:r>
      <w:r>
        <w:rPr>
          <w:b/>
          <w:bCs/>
        </w:rPr>
        <w:t xml:space="preserve">AI Document Parser</w:t>
      </w:r>
      <w:r>
        <w:t xml:space="preserve">.</w:t>
      </w:r>
    </w:p>
    <w:p>
      <w:pPr>
        <w:pStyle w:val="Compact"/>
        <w:numPr>
          <w:ilvl w:val="0"/>
          <w:numId w:val="1023"/>
        </w:numPr>
      </w:pPr>
      <w:r>
        <w:rPr>
          <w:b/>
          <w:bCs/>
        </w:rPr>
        <w:t xml:space="preserve">Triggering Mechanism:</w:t>
      </w:r>
      <w:r>
        <w:t xml:space="preserve"> </w:t>
      </w:r>
      <w:r>
        <w:t xml:space="preserve">Whenever new documents are added (or a batch is ready), a trigger (could be manual or automatic) sends them to the OCR/Classifier. If we use a cloud OCR API, our system will call that API with the file (ensuring it's over HTTPS with proper auth). If using an on-prem tool (like an OCR library), our integration orchestrator would invoke it locally.</w:t>
      </w:r>
    </w:p>
    <w:p>
      <w:pPr>
        <w:pStyle w:val="Compact"/>
        <w:numPr>
          <w:ilvl w:val="0"/>
          <w:numId w:val="1023"/>
        </w:numPr>
      </w:pPr>
      <w:r>
        <w:rPr>
          <w:b/>
          <w:bCs/>
        </w:rPr>
        <w:t xml:space="preserve">Data Pipeline:</w:t>
      </w:r>
      <w:r>
        <w:t xml:space="preserve"> </w:t>
      </w:r>
      <w:r>
        <w:t xml:space="preserve">The documents might be PDFs, images, etc. They go into the parser which returns structured data (e.g., JSON or XML with fields like "W2.Box1 = ..."). Additionally, the parser outputs</w:t>
      </w:r>
      <w:r>
        <w:t xml:space="preserve"> </w:t>
      </w:r>
      <w:r>
        <w:rPr>
          <w:b/>
          <w:bCs/>
        </w:rPr>
        <w:t xml:space="preserve">metadata</w:t>
      </w:r>
      <w:r>
        <w:t xml:space="preserve"> </w:t>
      </w:r>
      <w:r>
        <w:t xml:space="preserve">such as document type classification (e.g., "W-2 form", "1099-INT form") and flags (like confidence scores or error flags).</w:t>
      </w:r>
    </w:p>
    <w:p>
      <w:pPr>
        <w:pStyle w:val="Compact"/>
        <w:numPr>
          <w:ilvl w:val="0"/>
          <w:numId w:val="1023"/>
        </w:numPr>
      </w:pPr>
      <w:r>
        <w:rPr>
          <w:b/>
          <w:bCs/>
        </w:rPr>
        <w:t xml:space="preserve">Integration Action:</w:t>
      </w:r>
      <w:r>
        <w:t xml:space="preserve"> </w:t>
      </w:r>
      <w:r>
        <w:t xml:space="preserve">The orchestrator takes the parser output and updates the</w:t>
      </w:r>
      <w:r>
        <w:t xml:space="preserve"> </w:t>
      </w:r>
      <w:r>
        <w:rPr>
          <w:b/>
          <w:bCs/>
        </w:rPr>
        <w:t xml:space="preserve">Tax Preparation Software</w:t>
      </w:r>
      <w:r>
        <w:t xml:space="preserve">:</w:t>
      </w:r>
    </w:p>
    <w:p>
      <w:pPr>
        <w:pStyle w:val="Compact"/>
        <w:numPr>
          <w:ilvl w:val="0"/>
          <w:numId w:val="1023"/>
        </w:numPr>
      </w:pPr>
      <w:r>
        <w:t xml:space="preserve">If the tax software has an import utility (like import from CSV), we transform the extracted data into that format and import.</w:t>
      </w:r>
    </w:p>
    <w:p>
      <w:pPr>
        <w:pStyle w:val="Compact"/>
        <w:numPr>
          <w:ilvl w:val="0"/>
          <w:numId w:val="1023"/>
        </w:numPr>
      </w:pPr>
      <w:r>
        <w:t xml:space="preserve">If not, maybe we have a mapping engine that can push data via an API or even robotic input (like simulating keystrokes, though APIs are preferred).</w:t>
      </w:r>
    </w:p>
    <w:p>
      <w:pPr>
        <w:pStyle w:val="Compact"/>
        <w:numPr>
          <w:ilvl w:val="0"/>
          <w:numId w:val="1023"/>
        </w:numPr>
      </w:pPr>
      <w:r>
        <w:t xml:space="preserve">At minimum, the parser saves the structured data in a temporary storage (like a database table or JSON files in a folder) accessible to preparers. The preparer can then copy/paste or review it side-by-side with software to enter data more quickly.</w:t>
      </w:r>
    </w:p>
    <w:p>
      <w:pPr>
        <w:pStyle w:val="Compact"/>
        <w:numPr>
          <w:ilvl w:val="0"/>
          <w:numId w:val="1023"/>
        </w:numPr>
      </w:pPr>
      <w:r>
        <w:rPr>
          <w:b/>
          <w:bCs/>
        </w:rPr>
        <w:t xml:space="preserve">Feedback Loop:</w:t>
      </w:r>
      <w:r>
        <w:t xml:space="preserve"> </w:t>
      </w:r>
      <w:r>
        <w:t xml:space="preserve">The integration should allow the human to correct OCR errors easily. For example, if the parser mis-read a '5' as 'S', the preparer sees that in the structured output and corrects it (and perhaps flags it so the AI knows not to trust that reading next time or to improve algorithm).</w:t>
      </w:r>
    </w:p>
    <w:p>
      <w:pPr>
        <w:pStyle w:val="Compact"/>
        <w:numPr>
          <w:ilvl w:val="0"/>
          <w:numId w:val="1023"/>
        </w:numPr>
      </w:pPr>
      <w:r>
        <w:t xml:space="preserve">We might store corrected data back into a "clean data" set that the analysis engine uses, rather than its raw output, thus improving integrity for next steps.</w:t>
      </w:r>
    </w:p>
    <w:p>
      <w:pPr>
        <w:pStyle w:val="Compact"/>
        <w:numPr>
          <w:ilvl w:val="0"/>
          <w:numId w:val="1023"/>
        </w:numPr>
      </w:pPr>
      <w:r>
        <w:rPr>
          <w:b/>
          <w:bCs/>
        </w:rPr>
        <w:t xml:space="preserve">Logging:</w:t>
      </w:r>
      <w:r>
        <w:t xml:space="preserve"> </w:t>
      </w:r>
      <w:r>
        <w:t xml:space="preserve">Log that "Document X parsed by AI at time Y, extracted data stored/used." Keep original files and the extracted data version for audit (the original in case any discrepancy later, and extracted to show what AI saw).</w:t>
      </w:r>
    </w:p>
    <w:p>
      <w:pPr>
        <w:pStyle w:val="FirstParagraph"/>
      </w:pPr>
      <w:r>
        <w:t xml:space="preserve">This integration yields</w:t>
      </w:r>
      <w:r>
        <w:t xml:space="preserve"> </w:t>
      </w:r>
      <w:r>
        <w:rPr>
          <w:b/>
          <w:bCs/>
        </w:rPr>
        <w:t xml:space="preserve">clear schemas</w:t>
      </w:r>
      <w:r>
        <w:t xml:space="preserve"> </w:t>
      </w:r>
      <w:r>
        <w:t xml:space="preserve">for data</w:t>
      </w:r>
      <w:hyperlink r:id="rId153">
        <w:r>
          <w:rPr>
            <w:rStyle w:val="Hyperlink"/>
          </w:rPr>
          <w:t xml:space="preserve">[100]</w:t>
        </w:r>
      </w:hyperlink>
      <w:r>
        <w:t xml:space="preserve">. For instance, if we unify how W-2 data is represented, our analysis engine and software mapping become easier. We likely have domain-specific mappers for each form type.</w:t>
      </w:r>
    </w:p>
    <w:p>
      <w:pPr>
        <w:pStyle w:val="BodyText"/>
      </w:pPr>
      <w:r>
        <w:t xml:space="preserve">Security integration: Document parser should only receive docs via a secure method. If cloud, we might have to upload to their server (ensuring encryption, maybe use a pre-signed URL pattern so data isn't accessible broadly). Or use a secure proxy. Keep document content in memory if possible rather than writing unencrypted intermediate files.</w:t>
      </w:r>
    </w:p>
    <w:bookmarkEnd w:id="154"/>
    <w:bookmarkStart w:id="155" w:name="ai-analysis-advice-integration"/>
    <w:p>
      <w:pPr>
        <w:pStyle w:val="Heading4"/>
      </w:pPr>
      <w:r>
        <w:t xml:space="preserve">3.2 AI Analysis &amp; Advice Integration</w:t>
      </w:r>
    </w:p>
    <w:p>
      <w:pPr>
        <w:pStyle w:val="FirstParagraph"/>
      </w:pPr>
      <w:r>
        <w:t xml:space="preserve">Integration point [2] connects our</w:t>
      </w:r>
      <w:r>
        <w:t xml:space="preserve"> </w:t>
      </w:r>
      <w:r>
        <w:rPr>
          <w:b/>
          <w:bCs/>
        </w:rPr>
        <w:t xml:space="preserve">Tax Software Data</w:t>
      </w:r>
      <w:r>
        <w:t xml:space="preserve"> </w:t>
      </w:r>
      <w:r>
        <w:t xml:space="preserve">(and relevant external data) to the</w:t>
      </w:r>
      <w:r>
        <w:t xml:space="preserve"> </w:t>
      </w:r>
      <w:r>
        <w:rPr>
          <w:b/>
          <w:bCs/>
        </w:rPr>
        <w:t xml:space="preserve">AI Analysis &amp; Advice Engine</w:t>
      </w:r>
      <w:r>
        <w:t xml:space="preserve">.</w:t>
      </w:r>
    </w:p>
    <w:p>
      <w:pPr>
        <w:pStyle w:val="Compact"/>
        <w:numPr>
          <w:ilvl w:val="0"/>
          <w:numId w:val="1024"/>
        </w:numPr>
      </w:pPr>
      <w:r>
        <w:rPr>
          <w:b/>
          <w:bCs/>
        </w:rPr>
        <w:t xml:space="preserve">Data Gathering:</w:t>
      </w:r>
      <w:r>
        <w:t xml:space="preserve"> </w:t>
      </w:r>
      <w:r>
        <w:t xml:space="preserve">Once data entry is done (or even partially done), we feed data from the tax software to the analysis AI. This could be triggered by user action ("Run AI Review now") or automatically when fields are filled out. Many tax software allow exporting a tax return to a file (like a TXF, XML, or even a print-to-PDF). We could export that and parse it for AI consumption. Or if there's a database or API, query the needed fields. The integration orchestrator compiles a comprehensive dataset of the return in progress: incomes, deductions, credits, prior year if available, etc.</w:t>
      </w:r>
    </w:p>
    <w:p>
      <w:pPr>
        <w:pStyle w:val="Compact"/>
        <w:numPr>
          <w:ilvl w:val="0"/>
          <w:numId w:val="1024"/>
        </w:numPr>
      </w:pPr>
      <w:r>
        <w:rPr>
          <w:b/>
          <w:bCs/>
        </w:rPr>
        <w:t xml:space="preserve">Augmenting Data for AI:</w:t>
      </w:r>
      <w:r>
        <w:t xml:space="preserve"> </w:t>
      </w:r>
      <w:r>
        <w:t xml:space="preserve">Add any contextual info the AI might need that isn't in the raw numbers:</w:t>
      </w:r>
    </w:p>
    <w:p>
      <w:pPr>
        <w:pStyle w:val="Compact"/>
        <w:numPr>
          <w:ilvl w:val="0"/>
          <w:numId w:val="1024"/>
        </w:numPr>
      </w:pPr>
      <w:r>
        <w:t xml:space="preserve">Prior year summary (if not already in software, fetch from last year's files).</w:t>
      </w:r>
    </w:p>
    <w:p>
      <w:pPr>
        <w:pStyle w:val="Compact"/>
        <w:numPr>
          <w:ilvl w:val="0"/>
          <w:numId w:val="1024"/>
        </w:numPr>
      </w:pPr>
      <w:r>
        <w:t xml:space="preserve">Firm's internal knowledge (maybe typical benchmarks, or a list of common issues to watch which can be provided as a hint).</w:t>
      </w:r>
    </w:p>
    <w:p>
      <w:pPr>
        <w:pStyle w:val="Compact"/>
        <w:numPr>
          <w:ilvl w:val="0"/>
          <w:numId w:val="1024"/>
        </w:numPr>
      </w:pPr>
      <w:r>
        <w:t xml:space="preserve">The relevant tax law details for certain calculations (though ideally the AI has access to knowledge base, we might provide certain key parameters like "Standard deduction for this year is X").</w:t>
      </w:r>
    </w:p>
    <w:p>
      <w:pPr>
        <w:pStyle w:val="Compact"/>
        <w:numPr>
          <w:ilvl w:val="0"/>
          <w:numId w:val="1024"/>
        </w:numPr>
      </w:pPr>
      <w:r>
        <w:rPr>
          <w:b/>
          <w:bCs/>
        </w:rPr>
        <w:t xml:space="preserve">Querying the AI Engine:</w:t>
      </w:r>
      <w:r>
        <w:t xml:space="preserve"> </w:t>
      </w:r>
      <w:r>
        <w:t xml:space="preserve">We then call the AI engine (which could be a prompt to GPT-4 with a carefully constructed instruction, or a specialized system).</w:t>
      </w:r>
    </w:p>
    <w:p>
      <w:pPr>
        <w:pStyle w:val="Compact"/>
        <w:numPr>
          <w:ilvl w:val="0"/>
          <w:numId w:val="1024"/>
        </w:numPr>
      </w:pPr>
      <w:r>
        <w:rPr>
          <w:b/>
          <w:bCs/>
        </w:rPr>
        <w:t xml:space="preserve">Format</w:t>
      </w:r>
      <w:r>
        <w:t xml:space="preserve">: likely we create a structured prompt including the data (maybe formatted as JSON or plain English summary). For instance: "Here is the summarized tax return data: ... . Perform checks for accuracy and potential issues. Also suggest any tax-saving opportunities or missing info. Respond with numbered findings with references to tax rules where applicable."</w:t>
      </w:r>
    </w:p>
    <w:p>
      <w:pPr>
        <w:pStyle w:val="Compact"/>
        <w:numPr>
          <w:ilvl w:val="0"/>
          <w:numId w:val="1024"/>
        </w:numPr>
      </w:pPr>
      <w:r>
        <w:t xml:space="preserve">If the AI can access external info, we may incorporate a step where it does so. If using a retrieval-augmented approach, our orchestrator might first query a tax law database for any topics the return touches and give that to AI. Alternatively, use an AI platform that has that integrated (like CoCounsel with Checkpoint). This is part of architecture: connecting the AI to external knowledge sources. Possibly done via plugin or separate query: e.g., if the AI needs to confirm a threshold or new law, it could call another service. This requires the AI environment to have that capability (some LLM frameworks allow tools like "search this database" which we've set up).</w:t>
      </w:r>
    </w:p>
    <w:p>
      <w:pPr>
        <w:pStyle w:val="Compact"/>
        <w:numPr>
          <w:ilvl w:val="0"/>
          <w:numId w:val="1024"/>
        </w:numPr>
      </w:pPr>
      <w:r>
        <w:rPr>
          <w:b/>
          <w:bCs/>
        </w:rPr>
        <w:t xml:space="preserve">Receiving AI Output:</w:t>
      </w:r>
      <w:r>
        <w:t xml:space="preserve"> </w:t>
      </w:r>
      <w:r>
        <w:t xml:space="preserve">The AI engine returns findings and suggestions. Format likely as structured text or JSON (we can instruct it to output JSON for easier parsing). For example:</w:t>
      </w:r>
    </w:p>
    <w:p>
      <w:pPr>
        <w:pStyle w:val="SourceCode"/>
        <w:numPr>
          <w:ilvl w:val="0"/>
          <w:numId w:val="1000"/>
        </w:numPr>
      </w:pPr>
      <w:r>
        <w:rPr>
          <w:rStyle w:val="VerbatimChar"/>
        </w:rPr>
        <w:t xml:space="preserve">[</w:t>
      </w:r>
      <w:r>
        <w:br/>
      </w:r>
      <w:r>
        <w:rPr>
          <w:rStyle w:val="VerbatimChar"/>
        </w:rPr>
        <w:t xml:space="preserve">  {"issue": "Unusually high charitable contributions", "details": "Charitable contributions ($5,000) are 20% of AGI, significantly above typical. Ensure documentation is available[101].", "severity": "medium"},</w:t>
      </w:r>
      <w:r>
        <w:br/>
      </w:r>
      <w:r>
        <w:rPr>
          <w:rStyle w:val="VerbatimChar"/>
        </w:rPr>
        <w:t xml:space="preserve">  {"issue": "Missing Form 8962", "details": "Client has marketplace insurance (1095-A present) but no Form 8962 for premium tax credit.", "severity": "high"},</w:t>
      </w:r>
      <w:r>
        <w:br/>
      </w:r>
      <w:r>
        <w:rPr>
          <w:rStyle w:val="VerbatimChar"/>
        </w:rPr>
        <w:t xml:space="preserve">  {"opportunity": "Retirement Savings Credit", "details": "Client's income and contributions suggest they might qualify for Saver's Credit of approx $200.", "reference": "IRC §25B", "severity": "low"}</w:t>
      </w:r>
      <w:r>
        <w:br/>
      </w:r>
      <w:r>
        <w:rPr>
          <w:rStyle w:val="VerbatimChar"/>
        </w:rPr>
        <w:t xml:space="preserve">]</w:t>
      </w:r>
    </w:p>
    <w:p>
      <w:pPr>
        <w:pStyle w:val="Compact"/>
        <w:numPr>
          <w:ilvl w:val="0"/>
          <w:numId w:val="1024"/>
        </w:numPr>
      </w:pPr>
      <w:r>
        <w:t xml:space="preserve">It might also output a narrative or recommended questions to ask client.</w:t>
      </w:r>
    </w:p>
    <w:p>
      <w:pPr>
        <w:pStyle w:val="Compact"/>
        <w:numPr>
          <w:ilvl w:val="0"/>
          <w:numId w:val="1024"/>
        </w:numPr>
      </w:pPr>
      <w:r>
        <w:rPr>
          <w:b/>
          <w:bCs/>
        </w:rPr>
        <w:t xml:space="preserve">Integrating Output into Workflow:</w:t>
      </w:r>
      <w:r>
        <w:t xml:space="preserve"> </w:t>
      </w:r>
      <w:r>
        <w:t xml:space="preserve">The orchestrator takes these outputs and presents them to the user:</w:t>
      </w:r>
    </w:p>
    <w:p>
      <w:pPr>
        <w:pStyle w:val="Compact"/>
        <w:numPr>
          <w:ilvl w:val="0"/>
          <w:numId w:val="1024"/>
        </w:numPr>
      </w:pPr>
      <w:r>
        <w:t xml:space="preserve">If our tax software has a notes/comments feature, we might create review notes for each item.</w:t>
      </w:r>
    </w:p>
    <w:p>
      <w:pPr>
        <w:pStyle w:val="Compact"/>
        <w:numPr>
          <w:ilvl w:val="0"/>
          <w:numId w:val="1024"/>
        </w:numPr>
      </w:pPr>
      <w:r>
        <w:t xml:space="preserve">Or we might have a separate UI component (like a sidebar or a summary report in PDF/Excel) that lists these issues for the preparer/reviewer to address.</w:t>
      </w:r>
    </w:p>
    <w:p>
      <w:pPr>
        <w:pStyle w:val="Compact"/>
        <w:numPr>
          <w:ilvl w:val="0"/>
          <w:numId w:val="1024"/>
        </w:numPr>
      </w:pPr>
      <w:r>
        <w:t xml:space="preserve">Possibly integrate with our checklist: if we maintain a digital checklist of tasks, we could append items (e.g., "Verify Charitable donation documentation") to it automatically.</w:t>
      </w:r>
    </w:p>
    <w:p>
      <w:pPr>
        <w:pStyle w:val="Compact"/>
        <w:numPr>
          <w:ilvl w:val="0"/>
          <w:numId w:val="1024"/>
        </w:numPr>
      </w:pPr>
      <w:r>
        <w:t xml:space="preserve">Provide an interface for the user to mark each as resolved or not applicable.</w:t>
      </w:r>
    </w:p>
    <w:p>
      <w:pPr>
        <w:pStyle w:val="Compact"/>
        <w:numPr>
          <w:ilvl w:val="0"/>
          <w:numId w:val="1024"/>
        </w:numPr>
      </w:pPr>
      <w:r>
        <w:rPr>
          <w:b/>
          <w:bCs/>
        </w:rPr>
        <w:t xml:space="preserve">Bi-Directional Q&amp;A:</w:t>
      </w:r>
      <w:r>
        <w:t xml:space="preserve"> </w:t>
      </w:r>
      <w:r>
        <w:t xml:space="preserve">Ideally, integration allows user to query back. E.g., user clicks "Why?" on an issue and the AI provides more context if needed. Or user can ask follow-up via a chat interface: "AI, the client has documentation for charity, still okay?" The system sends that question (with context) back to LLM and gets an answer. This interactive aspect may or may not be implemented initially, but architecture should allow it (maybe a chat window connected to the same AI session that has the data loaded).</w:t>
      </w:r>
    </w:p>
    <w:p>
      <w:pPr>
        <w:pStyle w:val="Compact"/>
        <w:numPr>
          <w:ilvl w:val="0"/>
          <w:numId w:val="1024"/>
        </w:numPr>
      </w:pPr>
      <w:r>
        <w:rPr>
          <w:b/>
          <w:bCs/>
        </w:rPr>
        <w:t xml:space="preserve">Write-Back to Tax Software:</w:t>
      </w:r>
      <w:r>
        <w:t xml:space="preserve"> </w:t>
      </w:r>
      <w:r>
        <w:t xml:space="preserve">If an AI suggestion is accepted and involves adding a form or changing a value, the human will do that in the tax software. There's not an automatic write unless we get extremely advanced (e.g., an API that can add a form and fill fields). It's safer that human enters the changes (to ensure they agree fully). The integration can streamline that by maybe highlighting where to go or pre-filling the recommended value in a draft mode for user to approve.</w:t>
      </w:r>
    </w:p>
    <w:p>
      <w:pPr>
        <w:pStyle w:val="Compact"/>
        <w:numPr>
          <w:ilvl w:val="0"/>
          <w:numId w:val="1024"/>
        </w:numPr>
      </w:pPr>
      <w:r>
        <w:rPr>
          <w:b/>
          <w:bCs/>
        </w:rPr>
        <w:t xml:space="preserve">Storing AI Analysis Output:</w:t>
      </w:r>
      <w:r>
        <w:t xml:space="preserve"> </w:t>
      </w:r>
      <w:r>
        <w:t xml:space="preserve">All the findings and the final resolution should be saved in workpapers or notes. Possibly output a PDF summary or store it in our workpaper system as documentation of review. The architecture should route a copy of AI output to a secure storage (with classification metadata as "Confidential workpaper").</w:t>
      </w:r>
    </w:p>
    <w:bookmarkEnd w:id="155"/>
    <w:bookmarkStart w:id="156" w:name="security-and-governance-integration"/>
    <w:p>
      <w:pPr>
        <w:pStyle w:val="Heading4"/>
      </w:pPr>
      <w:r>
        <w:t xml:space="preserve">3.3 Security and Governance Integration</w:t>
      </w:r>
    </w:p>
    <w:p>
      <w:pPr>
        <w:pStyle w:val="FirstParagraph"/>
      </w:pPr>
      <w:r>
        <w:t xml:space="preserve">Integration point [3] is not a single arrow but rather a set of cross-cutting measures across the entire architecture:</w:t>
      </w:r>
    </w:p>
    <w:p>
      <w:pPr>
        <w:pStyle w:val="Compact"/>
        <w:numPr>
          <w:ilvl w:val="0"/>
          <w:numId w:val="1025"/>
        </w:numPr>
      </w:pPr>
      <w:r>
        <w:rPr>
          <w:b/>
          <w:bCs/>
        </w:rPr>
        <w:t xml:space="preserve">Network Security:</w:t>
      </w:r>
      <w:r>
        <w:t xml:space="preserve"> </w:t>
      </w:r>
      <w:r>
        <w:t xml:space="preserve">Ensure all data flows (doc to OCR, data to AI, etc.) go through secure channels (as we described in security section). For instance, if orchestrator is on our server, ensure it uses company firewall egress rules to only talk to allowed AI endpoints.</w:t>
      </w:r>
    </w:p>
    <w:p>
      <w:pPr>
        <w:pStyle w:val="Compact"/>
        <w:numPr>
          <w:ilvl w:val="0"/>
          <w:numId w:val="1025"/>
        </w:numPr>
      </w:pPr>
      <w:r>
        <w:rPr>
          <w:b/>
          <w:bCs/>
        </w:rPr>
        <w:t xml:space="preserve">Access Control Enforcement:</w:t>
      </w:r>
      <w:r>
        <w:t xml:space="preserve"> </w:t>
      </w:r>
      <w:r>
        <w:t xml:space="preserve">The orchestration layer should enforce that a user invoking an AI analysis has access to that client's data (tie into our authentication). E.g., if a user tries to run analysis on a client they don't normally handle, check permissions and possibly block or require supervisor approval.</w:t>
      </w:r>
    </w:p>
    <w:p>
      <w:pPr>
        <w:pStyle w:val="Compact"/>
        <w:numPr>
          <w:ilvl w:val="0"/>
          <w:numId w:val="1025"/>
        </w:numPr>
      </w:pPr>
      <w:r>
        <w:rPr>
          <w:b/>
          <w:bCs/>
        </w:rPr>
        <w:t xml:space="preserve">Audit Logging Hooks:</w:t>
      </w:r>
      <w:r>
        <w:t xml:space="preserve"> </w:t>
      </w:r>
      <w:r>
        <w:t xml:space="preserve">Each integration step should log an event to our audit log store:</w:t>
      </w:r>
    </w:p>
    <w:p>
      <w:pPr>
        <w:pStyle w:val="Compact"/>
        <w:numPr>
          <w:ilvl w:val="0"/>
          <w:numId w:val="1025"/>
        </w:numPr>
      </w:pPr>
      <w:r>
        <w:t xml:space="preserve">"OCR run on DocID by User at time"</w:t>
      </w:r>
    </w:p>
    <w:p>
      <w:pPr>
        <w:pStyle w:val="Compact"/>
        <w:numPr>
          <w:ilvl w:val="0"/>
          <w:numId w:val="1025"/>
        </w:numPr>
      </w:pPr>
      <w:r>
        <w:t xml:space="preserve">"AI analysis run on ClientX by User at time"</w:t>
      </w:r>
    </w:p>
    <w:p>
      <w:pPr>
        <w:pStyle w:val="Compact"/>
        <w:numPr>
          <w:ilvl w:val="0"/>
          <w:numId w:val="1025"/>
        </w:numPr>
      </w:pPr>
      <w:r>
        <w:t xml:space="preserve">"AI output delivered to User"</w:t>
      </w:r>
    </w:p>
    <w:p>
      <w:pPr>
        <w:pStyle w:val="Compact"/>
        <w:numPr>
          <w:ilvl w:val="0"/>
          <w:numId w:val="1025"/>
        </w:numPr>
      </w:pPr>
      <w:r>
        <w:t xml:space="preserve">Even "User marked issue Y as resolved" (perhaps captured in our checklist system).</w:t>
      </w:r>
      <w:r>
        <w:t xml:space="preserve"> </w:t>
      </w:r>
      <w:r>
        <w:t xml:space="preserve">This can be done by the orchestrator or the respective systems if they have logging.</w:t>
      </w:r>
    </w:p>
    <w:p>
      <w:pPr>
        <w:pStyle w:val="Compact"/>
        <w:numPr>
          <w:ilvl w:val="0"/>
          <w:numId w:val="1025"/>
        </w:numPr>
      </w:pPr>
      <w:r>
        <w:rPr>
          <w:b/>
          <w:bCs/>
        </w:rPr>
        <w:t xml:space="preserve">Data Isolation:</w:t>
      </w:r>
      <w:r>
        <w:t xml:space="preserve"> </w:t>
      </w:r>
      <w:r>
        <w:t xml:space="preserve">If using any on-prem components (like if we host an open source LLM internally), ensure they run in isolated environment with limited access (so compromise of that doesn't expose other things). E.g., run in a Docker container with no broad network access except what is needed.</w:t>
      </w:r>
    </w:p>
    <w:p>
      <w:pPr>
        <w:pStyle w:val="Compact"/>
        <w:numPr>
          <w:ilvl w:val="0"/>
          <w:numId w:val="1025"/>
        </w:numPr>
      </w:pPr>
      <w:r>
        <w:rPr>
          <w:b/>
          <w:bCs/>
        </w:rPr>
        <w:t xml:space="preserve">Error Handling:</w:t>
      </w:r>
      <w:r>
        <w:t xml:space="preserve"> </w:t>
      </w:r>
      <w:r>
        <w:t xml:space="preserve">The integration should account for errors. E.g., if OCR fails or is incomplete, alert user to manually handle it rather than silently proceeding. If AI engine times out or returns an error, show a message "AI analysis unavailable, please do manual review for now" so that it doesn't just give a partial result that user might not realize is partial.</w:t>
      </w:r>
    </w:p>
    <w:p>
      <w:pPr>
        <w:pStyle w:val="Compact"/>
        <w:numPr>
          <w:ilvl w:val="0"/>
          <w:numId w:val="1025"/>
        </w:numPr>
      </w:pPr>
      <w:r>
        <w:rPr>
          <w:b/>
          <w:bCs/>
        </w:rPr>
        <w:t xml:space="preserve">Configuration Management:</w:t>
      </w:r>
      <w:r>
        <w:t xml:space="preserve"> </w:t>
      </w:r>
      <w:r>
        <w:t xml:space="preserve">The architecture should have config for AI endpoints, keys, etc., managed securely (not hard-coded). So switching to backup service or updating keys can be done without code changes (maybe using environment variables or a config file secured in our infra).</w:t>
      </w:r>
    </w:p>
    <w:p>
      <w:pPr>
        <w:pStyle w:val="Compact"/>
        <w:numPr>
          <w:ilvl w:val="0"/>
          <w:numId w:val="1025"/>
        </w:numPr>
      </w:pPr>
      <w:r>
        <w:rPr>
          <w:b/>
          <w:bCs/>
        </w:rPr>
        <w:t xml:space="preserve">Scaling considerations:</w:t>
      </w:r>
      <w:r>
        <w:t xml:space="preserve"> </w:t>
      </w:r>
      <w:r>
        <w:t xml:space="preserve">The orchestrator might queue requests to avoid overloading AI API or hitting rate limits (especially near deadlines). Perhaps if multiple returns are being analyzed simultaneously, queue them or throttle. Or design that each user can do one at a time to not flood it.</w:t>
      </w:r>
    </w:p>
    <w:p>
      <w:pPr>
        <w:pStyle w:val="FirstParagraph"/>
      </w:pPr>
      <w:r>
        <w:t xml:space="preserve">To summarize integration points in simpler terms:</w:t>
      </w:r>
      <w:r>
        <w:t xml:space="preserve"> </w:t>
      </w:r>
      <w:r>
        <w:t xml:space="preserve">- We feed documents into OCR and get data out (Integration with Data domain).</w:t>
      </w:r>
      <w:r>
        <w:t xml:space="preserve"> </w:t>
      </w:r>
      <w:r>
        <w:t xml:space="preserve">- We feed tax data into LLM and get insights out (Integration with Models/analysis).</w:t>
      </w:r>
      <w:r>
        <w:t xml:space="preserve"> </w:t>
      </w:r>
      <w:r>
        <w:t xml:space="preserve">- We integrate those outputs into our processes for human action (Integration with our workflow).</w:t>
      </w:r>
      <w:r>
        <w:t xml:space="preserve"> </w:t>
      </w:r>
      <w:r>
        <w:t xml:space="preserve">- Security/governance overlays ensure these integrations don't leak data or violate controls.</w:t>
      </w:r>
    </w:p>
    <w:bookmarkEnd w:id="156"/>
    <w:bookmarkEnd w:id="157"/>
    <w:bookmarkStart w:id="158" w:name="customization-extensibility"/>
    <w:p>
      <w:pPr>
        <w:pStyle w:val="Heading3"/>
      </w:pPr>
      <w:r>
        <w:t xml:space="preserve">4. Customization &amp; Extensibility</w:t>
      </w:r>
    </w:p>
    <w:p>
      <w:pPr>
        <w:pStyle w:val="FirstParagraph"/>
      </w:pPr>
      <w:r>
        <w:t xml:space="preserve">The architecture above is a template. Each firm might have slightly different components:</w:t>
      </w:r>
      <w:r>
        <w:t xml:space="preserve"> </w:t>
      </w:r>
      <w:r>
        <w:t xml:space="preserve">- If using a commercial tax software that is cloud-based, we might not have direct DB access; we may rely on exporting reports or maybe the software itself offering some AI features (in which case, architecture adjusts to that vendor's capabilities).</w:t>
      </w:r>
      <w:r>
        <w:t xml:space="preserve"> </w:t>
      </w:r>
      <w:r>
        <w:t xml:space="preserve">- If the firm is small and doesn’t have an orchestrator platform, some “integration” might be manual or via simpler tools (e.g., running a Python script separately). The architecture still applies conceptually: just the orchestrator might be a set of scripts + human steps rather than fully automated.</w:t>
      </w:r>
      <w:r>
        <w:t xml:space="preserve"> </w:t>
      </w:r>
      <w:r>
        <w:t xml:space="preserve">- We encourage customizing the diagram to reflect actual product names and flows. For example:</w:t>
      </w:r>
      <w:r>
        <w:t xml:space="preserve"> </w:t>
      </w:r>
      <w:r>
        <w:t xml:space="preserve">- Replace "AI Document Parser" with "Azure Form Recognizer API v3" in your diagram.</w:t>
      </w:r>
      <w:r>
        <w:t xml:space="preserve"> </w:t>
      </w:r>
      <w:r>
        <w:t xml:space="preserve">- Replace "AI Analysis Engine" with "OpenAI GPT-4 via API + Thomson Reuters Checkpoint".</w:t>
      </w:r>
      <w:r>
        <w:t xml:space="preserve"> </w:t>
      </w:r>
      <w:r>
        <w:t xml:space="preserve">- "Company Systems" could list e.g. "CCH Axcess Tax Software, SharePoint DMS".</w:t>
      </w:r>
      <w:r>
        <w:t xml:space="preserve"> </w:t>
      </w:r>
      <w:r>
        <w:t xml:space="preserve">This ensures everyone on team knows how our specific pieces map to the generic architecture.</w:t>
      </w:r>
    </w:p>
    <w:p>
      <w:pPr>
        <w:pStyle w:val="BodyText"/>
      </w:pPr>
      <w:r>
        <w:t xml:space="preserve">We recommend keeping diagrams and documentation updated as you iterate (like after 6 months, if you add a new AI tool or change integration, update the arch diagram accordingly).</w:t>
      </w:r>
    </w:p>
    <w:p>
      <w:pPr>
        <w:pStyle w:val="BodyText"/>
      </w:pPr>
      <w:r>
        <w:t xml:space="preserve">This integration architecture ensures that</w:t>
      </w:r>
      <w:r>
        <w:t xml:space="preserve"> </w:t>
      </w:r>
      <w:r>
        <w:rPr>
          <w:b/>
          <w:bCs/>
        </w:rPr>
        <w:t xml:space="preserve">AI does not operate in a vacuum</w:t>
      </w:r>
      <w:r>
        <w:t xml:space="preserve">: it's tightly woven into your existing systems and processes, enhancing but not disrupting. By planning these integration points deliberately, we avoid hacky solutions (like ad hoc copy-pasting into ChatGPT) and instead have a controlled, repeatable pipeline. This yields efficiency and reliability, which is the end goal.</w:t>
      </w:r>
    </w:p>
    <w:p>
      <w:pPr>
        <w:pStyle w:val="BodyText"/>
      </w:pPr>
      <w:r>
        <w:t xml:space="preserve">In implementation, one might develop the orchestrator using whatever tech fits: e.g., a Python backend that interacts with APIs and your databases, or even using an RPA (Robotic Process Automation) tool to connect things if APIs aren't available. The key is the logical flow remains as above.</w:t>
      </w:r>
    </w:p>
    <w:p>
      <w:pPr>
        <w:pStyle w:val="BodyText"/>
      </w:pPr>
      <w:r>
        <w:t xml:space="preserve">The architecture is designed to enforce that</w:t>
      </w:r>
      <w:r>
        <w:t xml:space="preserve"> </w:t>
      </w:r>
      <w:r>
        <w:rPr>
          <w:b/>
          <w:bCs/>
        </w:rPr>
        <w:t xml:space="preserve">no AI action is completely autonomous</w:t>
      </w:r>
      <w:r>
        <w:t xml:space="preserve"> </w:t>
      </w:r>
      <w:r>
        <w:t xml:space="preserve">(the orchestrator always brings results back for human or at least for logging) and that at every interface, we can monitor and control data. This aligns with our security design and ensures maintainability (we can swap out an AI component if needed, since it's modular).</w:t>
      </w:r>
    </w:p>
    <w:p>
      <w:pPr>
        <w:pStyle w:val="BodyText"/>
      </w:pPr>
      <w:r>
        <w:t xml:space="preserve">In conclusion, this architecture blueprint should help implement the AI capabilities identified earlier (document processing, research, review, communications) in a cohesive way. Next, we will proceed to the AI Copilot Playbook section, which provides concrete guidelines and prompt examples for actually using these AI components effectively in practice.</w:t>
      </w:r>
    </w:p>
    <w:bookmarkEnd w:id="158"/>
    <w:bookmarkEnd w:id="159"/>
    <w:bookmarkStart w:id="168" w:name="Xf01d66d23464ba9d615ef49f30249c7e38389fe"/>
    <w:p>
      <w:pPr>
        <w:pStyle w:val="Heading2"/>
      </w:pPr>
      <w:r>
        <w:t xml:space="preserve">AI Copilot Playbook for Tax Professionals and Developers</w:t>
      </w:r>
    </w:p>
    <w:p>
      <w:pPr>
        <w:pStyle w:val="FirstParagraph"/>
      </w:pPr>
      <w:r>
        <w:rPr>
          <w:i/>
          <w:iCs/>
        </w:rPr>
        <w:t xml:space="preserve">This playbook provides practical instructions, example prompts, and guardrails for using AI assistants in our tax workflow. It is split by user role/context: first for tax practitioners using conversational AI (like ChatGPT or specialized copilot tools) to assist with tax tasks, and second for developers or power users integrating AI into code or scripts. Additionally, we cover QA prompts and self-correction patterns to ensure AI outputs are validated and errors are handled gracefully.</w:t>
      </w:r>
    </w:p>
    <w:p>
      <w:pPr>
        <w:pStyle w:val="BodyText"/>
      </w:pPr>
      <w:r>
        <w:t xml:space="preserve">The playbook is intended to be used alongside the integrated system: e.g., when a preparer interacts with the AI analysis, they might refer to these prompt guidelines to ask follow-up questions. Similarly, developers maintaining the AI integration will follow coding best practices given here.</w:t>
      </w:r>
    </w:p>
    <w:bookmarkStart w:id="165" w:name="Xba82f8f514ec85643c1725808555348ce9d1ae8"/>
    <w:p>
      <w:pPr>
        <w:pStyle w:val="Heading3"/>
      </w:pPr>
      <w:r>
        <w:t xml:space="preserve">1. Guidelines for Tax Professionals Using AI Assistants</w:t>
      </w:r>
    </w:p>
    <w:p>
      <w:pPr>
        <w:pStyle w:val="FirstParagraph"/>
      </w:pPr>
      <w:r>
        <w:t xml:space="preserve">These guidelines help tax preparers, reviewers, and advisors effectively use an AI assistant (be it a chat interface in our software or an external tool like ChatGPT) while maintaining control and accuracy. The assistant is there to help with research, explanations, drafting text, and checking work, but the professional must steer the interaction.</w:t>
      </w:r>
    </w:p>
    <w:p>
      <w:pPr>
        <w:pStyle w:val="BodyText"/>
      </w:pPr>
      <w:r>
        <w:rPr>
          <w:b/>
          <w:bCs/>
        </w:rPr>
        <w:t xml:space="preserve">Prompting Principles:</w:t>
      </w:r>
      <w:r>
        <w:br/>
      </w:r>
      <w:r>
        <w:t xml:space="preserve">-</w:t>
      </w:r>
      <w:r>
        <w:t xml:space="preserve"> </w:t>
      </w:r>
      <w:r>
        <w:rPr>
          <w:b/>
          <w:bCs/>
        </w:rPr>
        <w:t xml:space="preserve">Be Specific and Provide Context:</w:t>
      </w:r>
      <w:r>
        <w:t xml:space="preserve"> </w:t>
      </w:r>
      <w:r>
        <w:t xml:space="preserve">Frame your question with sufficient detail about the client’s scenario or the issue. AI responds much better when it has context. For example, instead of asking</w:t>
      </w:r>
      <w:r>
        <w:t xml:space="preserve"> </w:t>
      </w:r>
      <w:r>
        <w:rPr>
          <w:i/>
          <w:iCs/>
        </w:rPr>
        <w:t xml:space="preserve">“Can I deduct home office?”</w:t>
      </w:r>
      <w:r>
        <w:t xml:space="preserve">, ask</w:t>
      </w:r>
      <w:r>
        <w:t xml:space="preserve"> </w:t>
      </w:r>
      <w:r>
        <w:rPr>
          <w:i/>
          <w:iCs/>
        </w:rPr>
        <w:t xml:space="preserve">“Client is self-employed graphic designer, uses 300 sqft of a 1500 sqft apartment exclusively for work. Can they deduct home office expenses, and if so, how?”</w:t>
      </w:r>
      <w:r>
        <w:t xml:space="preserve">. This gives the AI concrete facts to work with, yielding a more precise answer including relevant tax rules (like % of rent, exclusive use test, etc.)</w:t>
      </w:r>
      <w:hyperlink r:id="rId160">
        <w:r>
          <w:rPr>
            <w:rStyle w:val="Hyperlink"/>
          </w:rPr>
          <w:t xml:space="preserve">[102]</w:t>
        </w:r>
      </w:hyperlink>
      <w:hyperlink r:id="rId161">
        <w:r>
          <w:rPr>
            <w:rStyle w:val="Hyperlink"/>
          </w:rPr>
          <w:t xml:space="preserve">[103]</w:t>
        </w:r>
      </w:hyperlink>
      <w:r>
        <w:t xml:space="preserve">.</w:t>
      </w:r>
      <w:r>
        <w:br/>
      </w:r>
      <w:r>
        <w:t xml:space="preserve">-</w:t>
      </w:r>
      <w:r>
        <w:t xml:space="preserve"> </w:t>
      </w:r>
      <w:r>
        <w:rPr>
          <w:b/>
          <w:bCs/>
        </w:rPr>
        <w:t xml:space="preserve">Break Down Complex Tasks:</w:t>
      </w:r>
      <w:r>
        <w:t xml:space="preserve"> </w:t>
      </w:r>
      <w:r>
        <w:t xml:space="preserve">If the question is complex, break it into parts or use step-by-step prompts. E.g., first ask</w:t>
      </w:r>
      <w:r>
        <w:t xml:space="preserve"> </w:t>
      </w:r>
      <w:r>
        <w:rPr>
          <w:i/>
          <w:iCs/>
        </w:rPr>
        <w:t xml:space="preserve">“What are the criteria for home office deduction for self-employed individuals?”</w:t>
      </w:r>
      <w:r>
        <w:t xml:space="preserve">, then</w:t>
      </w:r>
      <w:r>
        <w:t xml:space="preserve"> </w:t>
      </w:r>
      <w:r>
        <w:rPr>
          <w:i/>
          <w:iCs/>
        </w:rPr>
        <w:t xml:space="preserve">“Given those criteria, does my client qualify?”</w:t>
      </w:r>
      <w:r>
        <w:t xml:space="preserve">. This helps the AI structure its reasoning rather than jumping to conclusions.</w:t>
      </w:r>
      <w:r>
        <w:br/>
      </w:r>
      <w:r>
        <w:t xml:space="preserve">-</w:t>
      </w:r>
      <w:r>
        <w:t xml:space="preserve"> </w:t>
      </w:r>
      <w:r>
        <w:rPr>
          <w:b/>
          <w:bCs/>
        </w:rPr>
        <w:t xml:space="preserve">Ask for Sources or Citations:</w:t>
      </w:r>
      <w:r>
        <w:t xml:space="preserve"> </w:t>
      </w:r>
      <w:r>
        <w:t xml:space="preserve">Always instruct the AI to provide references to tax law or official guidance if it makes technical claims. For instance:</w:t>
      </w:r>
      <w:r>
        <w:t xml:space="preserve"> </w:t>
      </w:r>
      <w:r>
        <w:rPr>
          <w:i/>
          <w:iCs/>
        </w:rPr>
        <w:t xml:space="preserve">“Provide any relevant IRS references or tax code sections in your answer.”</w:t>
      </w:r>
      <w:r>
        <w:t xml:space="preserve"> </w:t>
      </w:r>
      <w:r>
        <w:t xml:space="preserve">This prompts responses like “You can deduct X under</w:t>
      </w:r>
      <w:r>
        <w:t xml:space="preserve"> </w:t>
      </w:r>
      <w:r>
        <w:rPr>
          <w:b/>
          <w:bCs/>
        </w:rPr>
        <w:t xml:space="preserve">IRC §280A(c)(1)</w:t>
      </w:r>
      <w:r>
        <w:t xml:space="preserve"> </w:t>
      </w:r>
      <w:r>
        <w:t xml:space="preserve">if criteria Y are met</w:t>
      </w:r>
      <w:hyperlink r:id="rId32">
        <w:r>
          <w:rPr>
            <w:rStyle w:val="Hyperlink"/>
          </w:rPr>
          <w:t xml:space="preserve">[11]</w:t>
        </w:r>
      </w:hyperlink>
      <w:hyperlink r:id="rId28">
        <w:r>
          <w:rPr>
            <w:rStyle w:val="Hyperlink"/>
          </w:rPr>
          <w:t xml:space="preserve">[8]</w:t>
        </w:r>
      </w:hyperlink>
      <w:r>
        <w:t xml:space="preserve">.” Having citations allows you to verify the information</w:t>
      </w:r>
      <w:hyperlink r:id="rId39">
        <w:r>
          <w:rPr>
            <w:rStyle w:val="Hyperlink"/>
          </w:rPr>
          <w:t xml:space="preserve">[18]</w:t>
        </w:r>
      </w:hyperlink>
      <w:r>
        <w:t xml:space="preserve">. If the AI cannot provide them, that’s a red flag (for our internal specialized AI, it should, but general ChatGPT might not reliably unless it’s fine-tuned or explicitly told to).</w:t>
      </w:r>
      <w:r>
        <w:br/>
      </w:r>
      <w:r>
        <w:t xml:space="preserve">-</w:t>
      </w:r>
      <w:r>
        <w:t xml:space="preserve"> </w:t>
      </w:r>
      <w:r>
        <w:rPr>
          <w:b/>
          <w:bCs/>
        </w:rPr>
        <w:t xml:space="preserve">Use AI for Drafting, then Edit:</w:t>
      </w:r>
      <w:r>
        <w:t xml:space="preserve"> </w:t>
      </w:r>
      <w:r>
        <w:t xml:space="preserve">When using AI to draft communications (emails, letters, memos), supply the key points and let it do the heavy lifting for a first draft. E.g.,</w:t>
      </w:r>
      <w:r>
        <w:t xml:space="preserve"> </w:t>
      </w:r>
      <w:r>
        <w:rPr>
          <w:i/>
          <w:iCs/>
        </w:rPr>
        <w:t xml:space="preserve">“Draft a polite email to client explaining that their filing will be extended, mention payment of ~$2,000 to avoid interest, and list the info we still need from them (missing 1099-B).”</w:t>
      </w:r>
      <w:r>
        <w:t xml:space="preserve"> </w:t>
      </w:r>
      <w:r>
        <w:t xml:space="preserve">The AI can produce a nicely worded email.</w:t>
      </w:r>
      <w:r>
        <w:t xml:space="preserve"> </w:t>
      </w:r>
      <w:r>
        <w:rPr>
          <w:b/>
          <w:bCs/>
        </w:rPr>
        <w:t xml:space="preserve">However, always review and customize the tone</w:t>
      </w:r>
      <w:r>
        <w:t xml:space="preserve"> </w:t>
      </w:r>
      <w:r>
        <w:t xml:space="preserve">– ensure it sounds like your firm, and double-check all figures and advice in the draft</w:t>
      </w:r>
      <w:hyperlink r:id="rId162">
        <w:r>
          <w:rPr>
            <w:rStyle w:val="Hyperlink"/>
          </w:rPr>
          <w:t xml:space="preserve">[104]</w:t>
        </w:r>
      </w:hyperlink>
      <w:hyperlink r:id="rId163">
        <w:r>
          <w:rPr>
            <w:rStyle w:val="Hyperlink"/>
          </w:rPr>
          <w:t xml:space="preserve">[105]</w:t>
        </w:r>
      </w:hyperlink>
      <w:r>
        <w:t xml:space="preserve">. The AI might add filler or assumptions – remove any that don't apply. Essentially, treat it as your secretary drafting a letter for you to finalize.</w:t>
      </w:r>
      <w:r>
        <w:br/>
      </w:r>
      <w:r>
        <w:t xml:space="preserve">-</w:t>
      </w:r>
      <w:r>
        <w:t xml:space="preserve"> </w:t>
      </w:r>
      <w:r>
        <w:rPr>
          <w:b/>
          <w:bCs/>
        </w:rPr>
        <w:t xml:space="preserve">Utilize AI for Research and Explanation:</w:t>
      </w:r>
      <w:r>
        <w:t xml:space="preserve"> </w:t>
      </w:r>
      <w:r>
        <w:t xml:space="preserve">If something is unclear (say a new tax law provision), ask the AI to explain it as if to a layperson or to summarize differences year-over-year. For instance:</w:t>
      </w:r>
      <w:r>
        <w:t xml:space="preserve"> </w:t>
      </w:r>
      <w:r>
        <w:rPr>
          <w:i/>
          <w:iCs/>
        </w:rPr>
        <w:t xml:space="preserve">“Explain in simple terms the changes in child tax credit rules from 2022 to 2023.”</w:t>
      </w:r>
      <w:r>
        <w:t xml:space="preserve"> </w:t>
      </w:r>
      <w:r>
        <w:t xml:space="preserve">This can save time combing through IRS publications. AI often can highlight key differences quickly</w:t>
      </w:r>
      <w:hyperlink r:id="rId22">
        <w:r>
          <w:rPr>
            <w:rStyle w:val="Hyperlink"/>
          </w:rPr>
          <w:t xml:space="preserve">[106]</w:t>
        </w:r>
      </w:hyperlink>
      <w:hyperlink r:id="rId55">
        <w:r>
          <w:rPr>
            <w:rStyle w:val="Hyperlink"/>
          </w:rPr>
          <w:t xml:space="preserve">[34]</w:t>
        </w:r>
      </w:hyperlink>
      <w:r>
        <w:t xml:space="preserve">. But again, verify if needed with primary sources. This is more to quickly educate yourself or create a summary for a client newsletter, etc.</w:t>
      </w:r>
      <w:r>
        <w:br/>
      </w:r>
      <w:r>
        <w:t xml:space="preserve">-</w:t>
      </w:r>
      <w:r>
        <w:t xml:space="preserve"> </w:t>
      </w:r>
      <w:r>
        <w:rPr>
          <w:b/>
          <w:bCs/>
        </w:rPr>
        <w:t xml:space="preserve">Set Boundaries in Queries:</w:t>
      </w:r>
      <w:r>
        <w:t xml:space="preserve"> </w:t>
      </w:r>
      <w:r>
        <w:t xml:space="preserve">Avoid asking the AI for advice on positions that are highly subjective or could be seen as asking it to make a decision. Instead of</w:t>
      </w:r>
      <w:r>
        <w:t xml:space="preserve"> </w:t>
      </w:r>
      <w:r>
        <w:rPr>
          <w:i/>
          <w:iCs/>
        </w:rPr>
        <w:t xml:space="preserve">“Should the client categorize this as CAPEX or OPEX?”</w:t>
      </w:r>
      <w:r>
        <w:t xml:space="preserve">, ask</w:t>
      </w:r>
      <w:r>
        <w:t xml:space="preserve"> </w:t>
      </w:r>
      <w:r>
        <w:rPr>
          <w:i/>
          <w:iCs/>
        </w:rPr>
        <w:t xml:space="preserve">“What factors determine whether an expenditure is capitalized or expensed for tax purposes?”</w:t>
      </w:r>
      <w:r>
        <w:t xml:space="preserve">. Then, using those factors, you (the human) decide. This ensures you're using AI to inform your judgment, not replace it on matters requiring professional judgment (to stay compliant with SSTS and ethics)</w:t>
      </w:r>
      <w:hyperlink r:id="rId26">
        <w:r>
          <w:rPr>
            <w:rStyle w:val="Hyperlink"/>
          </w:rPr>
          <w:t xml:space="preserve">[6]</w:t>
        </w:r>
      </w:hyperlink>
      <w:hyperlink r:id="rId146">
        <w:r>
          <w:rPr>
            <w:rStyle w:val="Hyperlink"/>
          </w:rPr>
          <w:t xml:space="preserve">[97]</w:t>
        </w:r>
      </w:hyperlink>
      <w:r>
        <w:t xml:space="preserve">.</w:t>
      </w:r>
      <w:r>
        <w:br/>
      </w:r>
      <w:r>
        <w:t xml:space="preserve">-</w:t>
      </w:r>
      <w:r>
        <w:t xml:space="preserve"> </w:t>
      </w:r>
      <w:r>
        <w:rPr>
          <w:b/>
          <w:bCs/>
        </w:rPr>
        <w:t xml:space="preserve">Iterative Prompting:</w:t>
      </w:r>
      <w:r>
        <w:t xml:space="preserve"> </w:t>
      </w:r>
      <w:r>
        <w:t xml:space="preserve">If the AI’s first answer is not on target or incomplete, refine your question and ask again. Provide feedback in the prompt: e.g.,</w:t>
      </w:r>
      <w:r>
        <w:t xml:space="preserve"> </w:t>
      </w:r>
      <w:r>
        <w:rPr>
          <w:i/>
          <w:iCs/>
        </w:rPr>
        <w:t xml:space="preserve">“The above answer didn’t mention the exclusive use requirement; please address that.”</w:t>
      </w:r>
      <w:r>
        <w:t xml:space="preserve"> </w:t>
      </w:r>
      <w:r>
        <w:t xml:space="preserve">Or</w:t>
      </w:r>
      <w:r>
        <w:t xml:space="preserve"> </w:t>
      </w:r>
      <w:r>
        <w:rPr>
          <w:i/>
          <w:iCs/>
        </w:rPr>
        <w:t xml:space="preserve">“Provide numeric examples in the explanation.”</w:t>
      </w:r>
      <w:r>
        <w:t xml:space="preserve"> </w:t>
      </w:r>
      <w:r>
        <w:t xml:space="preserve">The AI can usually improve with guidance. This iterative approach is encouraged – just as you’d ask a junior staff to revise a memo, do the same with the AI.</w:t>
      </w:r>
    </w:p>
    <w:p>
      <w:pPr>
        <w:pStyle w:val="BodyText"/>
      </w:pPr>
      <w:r>
        <w:rPr>
          <w:b/>
          <w:bCs/>
        </w:rPr>
        <w:t xml:space="preserve">Examples of Effective Prompts:</w:t>
      </w:r>
      <w:r>
        <w:t xml:space="preserve"> </w:t>
      </w:r>
      <w:r>
        <w:t xml:space="preserve">(we assume our AI has access to tax knowledge)</w:t>
      </w:r>
      <w:r>
        <w:t xml:space="preserve"> </w:t>
      </w:r>
      <w:r>
        <w:t xml:space="preserve">-</w:t>
      </w:r>
      <w:r>
        <w:t xml:space="preserve"> </w:t>
      </w:r>
      <w:r>
        <w:rPr>
          <w:i/>
          <w:iCs/>
        </w:rPr>
        <w:t xml:space="preserve">Research/Check:</w:t>
      </w:r>
      <w:r>
        <w:t xml:space="preserve"> </w:t>
      </w:r>
      <w:r>
        <w:t xml:space="preserve">“List any red flags or audit triggers you see in this tax return: [brief summary of situation]. Provide your reasoning</w:t>
      </w:r>
      <w:hyperlink r:id="rId54">
        <w:r>
          <w:rPr>
            <w:rStyle w:val="Hyperlink"/>
          </w:rPr>
          <w:t xml:space="preserve">[33]</w:t>
        </w:r>
      </w:hyperlink>
      <w:hyperlink r:id="rId164">
        <w:r>
          <w:rPr>
            <w:rStyle w:val="Hyperlink"/>
          </w:rPr>
          <w:t xml:space="preserve">[107]</w:t>
        </w:r>
      </w:hyperlink>
      <w:r>
        <w:t xml:space="preserve">.”</w:t>
      </w:r>
      <w:r>
        <w:br/>
      </w:r>
      <w:r>
        <w:t xml:space="preserve">-</w:t>
      </w:r>
      <w:r>
        <w:t xml:space="preserve"> </w:t>
      </w:r>
      <w:r>
        <w:rPr>
          <w:i/>
          <w:iCs/>
        </w:rPr>
        <w:t xml:space="preserve">Calculation Check:</w:t>
      </w:r>
      <w:r>
        <w:t xml:space="preserve"> </w:t>
      </w:r>
      <w:r>
        <w:t xml:space="preserve">“Recalculate the Qualified Business Income deduction for a sole proprietor with the following: net business income $80k, no employees, assuming standard deduction, to confirm the software’s number. Show calculation steps.” (AI should show 20% etc., and give ~$16k if applicable, or catch if phaseouts). Then compare to software result.</w:t>
      </w:r>
      <w:r>
        <w:br/>
      </w:r>
      <w:r>
        <w:t xml:space="preserve">-</w:t>
      </w:r>
      <w:r>
        <w:t xml:space="preserve"> </w:t>
      </w:r>
      <w:r>
        <w:rPr>
          <w:i/>
          <w:iCs/>
        </w:rPr>
        <w:t xml:space="preserve">Letter Draft:</w:t>
      </w:r>
      <w:r>
        <w:t xml:space="preserve"> </w:t>
      </w:r>
      <w:r>
        <w:t xml:space="preserve">“Draft a letter to the IRS responding to a notice CP2000 which says client underreported interest income. Explain that client has corrected it by filing an amended return and include an apology for oversight. Use a respectful and formal tone.” (AI will produce a decent draft which you can then tweak to match exactly the client’s case and your firm’s voice).</w:t>
      </w:r>
      <w:r>
        <w:br/>
      </w:r>
      <w:r>
        <w:t xml:space="preserve">-</w:t>
      </w:r>
      <w:r>
        <w:t xml:space="preserve"> </w:t>
      </w:r>
      <w:r>
        <w:rPr>
          <w:i/>
          <w:iCs/>
        </w:rPr>
        <w:t xml:space="preserve">Planning Advice:</w:t>
      </w:r>
      <w:r>
        <w:t xml:space="preserve"> </w:t>
      </w:r>
      <w:r>
        <w:t xml:space="preserve">“Client A (age 30) is considering converting $20,000 from their traditional IRA to a Roth IRA. Explain the tax implications in 2025 (income recognition, penalty, etc.) and any strategies to mitigate the tax (like spreading conversions).” (AI can write a mini advisory note citing that conversion adds to income, no 10% penalty on conversion itself, must have cash to pay tax, etc., maybe mention the marginal tax rate implications and possibly doing partial conversions over years). You would verify complex specifics, but it gives a nice starting point for an advisory email or meeting prep.</w:t>
      </w:r>
      <w:r>
        <w:br/>
      </w:r>
      <w:r>
        <w:t xml:space="preserve">-</w:t>
      </w:r>
      <w:r>
        <w:t xml:space="preserve"> </w:t>
      </w:r>
      <w:r>
        <w:rPr>
          <w:i/>
          <w:iCs/>
        </w:rPr>
        <w:t xml:space="preserve">Workflow/Procedure:</w:t>
      </w:r>
      <w:r>
        <w:t xml:space="preserve"> </w:t>
      </w:r>
      <w:r>
        <w:t xml:space="preserve">“Provide a checklist of documents a new small business client should provide for tax prep.” (AI could list: prior returns, financial statements, bank statements, receipts for major expenses, payroll records, 1099s, etc. We can then cross-check with our standard client organizer and use it if helpful).</w:t>
      </w:r>
    </w:p>
    <w:p>
      <w:pPr>
        <w:pStyle w:val="BodyText"/>
      </w:pPr>
      <w:r>
        <w:rPr>
          <w:b/>
          <w:bCs/>
        </w:rPr>
        <w:t xml:space="preserve">Do's and Don'ts for Tax Staff:</w:t>
      </w:r>
      <w:r>
        <w:br/>
      </w:r>
      <w:r>
        <w:t xml:space="preserve">-</w:t>
      </w:r>
      <w:r>
        <w:t xml:space="preserve"> </w:t>
      </w:r>
      <w:r>
        <w:rPr>
          <w:b/>
          <w:bCs/>
        </w:rPr>
        <w:t xml:space="preserve">Do</w:t>
      </w:r>
      <w:r>
        <w:t xml:space="preserve"> </w:t>
      </w:r>
      <w:r>
        <w:t xml:space="preserve">double-check AI answers against official sources or software results especially for numeric calculations or less common rules.</w:t>
      </w:r>
      <w:r>
        <w:t xml:space="preserve"> </w:t>
      </w:r>
      <w:r>
        <w:t xml:space="preserve">-</w:t>
      </w:r>
      <w:r>
        <w:t xml:space="preserve"> </w:t>
      </w:r>
      <w:r>
        <w:rPr>
          <w:b/>
          <w:bCs/>
        </w:rPr>
        <w:t xml:space="preserve">Do</w:t>
      </w:r>
      <w:r>
        <w:t xml:space="preserve"> </w:t>
      </w:r>
      <w:r>
        <w:t xml:space="preserve">use the AI to save time on first drafts of explanations, but</w:t>
      </w:r>
      <w:r>
        <w:t xml:space="preserve"> </w:t>
      </w:r>
      <w:r>
        <w:rPr>
          <w:b/>
          <w:bCs/>
        </w:rPr>
        <w:t xml:space="preserve">don’t</w:t>
      </w:r>
      <w:r>
        <w:t xml:space="preserve"> </w:t>
      </w:r>
      <w:r>
        <w:t xml:space="preserve">send them out without reading every line.</w:t>
      </w:r>
      <w:r>
        <w:t xml:space="preserve"> </w:t>
      </w:r>
      <w:r>
        <w:t xml:space="preserve">-</w:t>
      </w:r>
      <w:r>
        <w:t xml:space="preserve"> </w:t>
      </w:r>
      <w:r>
        <w:rPr>
          <w:b/>
          <w:bCs/>
        </w:rPr>
        <w:t xml:space="preserve">Do</w:t>
      </w:r>
      <w:r>
        <w:t xml:space="preserve"> </w:t>
      </w:r>
      <w:r>
        <w:t xml:space="preserve">keep client data secure: when using AI, use it within our integrated system or approved channels. If you must use an external tool,</w:t>
      </w:r>
      <w:r>
        <w:t xml:space="preserve"> </w:t>
      </w:r>
      <w:r>
        <w:rPr>
          <w:b/>
          <w:bCs/>
        </w:rPr>
        <w:t xml:space="preserve">don’t</w:t>
      </w:r>
      <w:r>
        <w:t xml:space="preserve"> </w:t>
      </w:r>
      <w:r>
        <w:t xml:space="preserve">paste client names or SSNs; anonymize data (e.g., say “Client X” and round off amounts slightly if needed).</w:t>
      </w:r>
      <w:r>
        <w:t xml:space="preserve"> </w:t>
      </w:r>
      <w:r>
        <w:t xml:space="preserve">-</w:t>
      </w:r>
      <w:r>
        <w:t xml:space="preserve"> </w:t>
      </w:r>
      <w:r>
        <w:rPr>
          <w:b/>
          <w:bCs/>
        </w:rPr>
        <w:t xml:space="preserve">Don’t</w:t>
      </w:r>
      <w:r>
        <w:t xml:space="preserve"> </w:t>
      </w:r>
      <w:r>
        <w:t xml:space="preserve">ask the AI for personal opinions or non-tax advice related to the client (e.g., “Do you think the client should sell their house?”) – that’s outside scope and AI might give irrelevant answers. Keep it tax/task-focused.</w:t>
      </w:r>
      <w:r>
        <w:t xml:space="preserve"> </w:t>
      </w:r>
      <w:r>
        <w:t xml:space="preserve">-</w:t>
      </w:r>
      <w:r>
        <w:t xml:space="preserve"> </w:t>
      </w:r>
      <w:r>
        <w:rPr>
          <w:b/>
          <w:bCs/>
        </w:rPr>
        <w:t xml:space="preserve">Don’t</w:t>
      </w:r>
      <w:r>
        <w:t xml:space="preserve"> </w:t>
      </w:r>
      <w:r>
        <w:t xml:space="preserve">rely on AI for decisions that require significant judgment or ethical considerations (like whether something is aggressive vs conservative position – AI can list factors, but the call is yours).</w:t>
      </w:r>
      <w:r>
        <w:t xml:space="preserve"> </w:t>
      </w:r>
      <w:r>
        <w:t xml:space="preserve">-</w:t>
      </w:r>
      <w:r>
        <w:t xml:space="preserve"> </w:t>
      </w:r>
      <w:r>
        <w:rPr>
          <w:b/>
          <w:bCs/>
        </w:rPr>
        <w:t xml:space="preserve">Do</w:t>
      </w:r>
      <w:r>
        <w:t xml:space="preserve"> </w:t>
      </w:r>
      <w:r>
        <w:t xml:space="preserve">maintain a skeptical mindset: if something seems off or “too good to be true” (like AI finds a big deduction you never heard of), research it thoroughly before acting. It could be a niche law or an AI hallucination.</w:t>
      </w:r>
      <w:r>
        <w:t xml:space="preserve"> </w:t>
      </w:r>
      <w:r>
        <w:t xml:space="preserve">-</w:t>
      </w:r>
      <w:r>
        <w:t xml:space="preserve"> </w:t>
      </w:r>
      <w:r>
        <w:rPr>
          <w:b/>
          <w:bCs/>
        </w:rPr>
        <w:t xml:space="preserve">Do</w:t>
      </w:r>
      <w:r>
        <w:t xml:space="preserve"> </w:t>
      </w:r>
      <w:r>
        <w:t xml:space="preserve">document any guidance from AI that you use to make a decision (just like you’d cite a reference if you researched in a book). E.g., if AI pointed you to Rev. Proc. XYZ, note that in your workpapers that you considered Rev. Proc. XYZ.</w:t>
      </w:r>
    </w:p>
    <w:p>
      <w:pPr>
        <w:pStyle w:val="BodyText"/>
      </w:pPr>
      <w:r>
        <w:t xml:space="preserve">By following these guidelines, the tax team leverages AI as a powerful assistant – speeding up research, catching issues, generating drafts – while the professionals remain firmly in control, applying their expertise to validate and implement the AI’s contributions. This synergy can improve quality (two sets of eyes – one AI, one human – are better than one)</w:t>
      </w:r>
      <w:hyperlink r:id="rId39">
        <w:r>
          <w:rPr>
            <w:rStyle w:val="Hyperlink"/>
          </w:rPr>
          <w:t xml:space="preserve">[18]</w:t>
        </w:r>
      </w:hyperlink>
      <w:r>
        <w:t xml:space="preserve"> </w:t>
      </w:r>
      <w:r>
        <w:t xml:space="preserve">and efficiency, without compromising standards.</w:t>
      </w:r>
    </w:p>
    <w:bookmarkEnd w:id="165"/>
    <w:bookmarkStart w:id="166" w:name="Xa4f01059fc9b2f17c40ee39f766ae8248f1845d"/>
    <w:p>
      <w:pPr>
        <w:pStyle w:val="Heading3"/>
      </w:pPr>
      <w:r>
        <w:t xml:space="preserve">2. Guidelines for Developers and Power Users (AI Integration Maintainers)</w:t>
      </w:r>
    </w:p>
    <w:p>
      <w:pPr>
        <w:pStyle w:val="FirstParagraph"/>
      </w:pPr>
      <w:r>
        <w:t xml:space="preserve">For those maintaining the AI integration (could be IT staff, or tech-savvy accountants handling scripts), these guidelines ensure that the system continues to run smoothly, and any code or configuration changes are done safely:</w:t>
      </w:r>
    </w:p>
    <w:p>
      <w:pPr>
        <w:pStyle w:val="Compact"/>
        <w:numPr>
          <w:ilvl w:val="0"/>
          <w:numId w:val="1026"/>
        </w:numPr>
      </w:pPr>
      <w:r>
        <w:rPr>
          <w:b/>
          <w:bCs/>
        </w:rPr>
        <w:t xml:space="preserve">Version Control &amp; Testing:</w:t>
      </w:r>
      <w:r>
        <w:t xml:space="preserve"> </w:t>
      </w:r>
      <w:r>
        <w:t xml:space="preserve">Keep all AI-related code (scripts for data export, API calls, prompt templates) in our version control (GitHub repo, etc.). Before deploying changes (like altering a prompt format or switching an API endpoint), test it in a safe environment with test data. For instance, if you change how we parse data for the AI, run it on a few known cases and verify the AI outputs are still correct or improved. Use our CI pipeline to automate some of this if possible.</w:t>
      </w:r>
    </w:p>
    <w:p>
      <w:pPr>
        <w:pStyle w:val="Compact"/>
        <w:numPr>
          <w:ilvl w:val="0"/>
          <w:numId w:val="1026"/>
        </w:numPr>
      </w:pPr>
      <w:r>
        <w:rPr>
          <w:b/>
          <w:bCs/>
        </w:rPr>
        <w:t xml:space="preserve">Prompt Template Management:</w:t>
      </w:r>
      <w:r>
        <w:t xml:space="preserve"> </w:t>
      </w:r>
      <w:r>
        <w:t xml:space="preserve">Our prompts for the AI engine should be stored in a configuration file or module (not scattered). When updating a prompt template (say adding a new instruction), ensure it's consistent with our policies (e.g., always include “provide references” etc.). Also consider prompt token length – don’t exceed model limits. If a prompt becomes too long (maybe because we added more context or data), look into summarizing or trimming less relevant parts rather than sending huge prompts that could be truncated or cost more.</w:t>
      </w:r>
    </w:p>
    <w:p>
      <w:pPr>
        <w:pStyle w:val="Compact"/>
        <w:numPr>
          <w:ilvl w:val="0"/>
          <w:numId w:val="1026"/>
        </w:numPr>
      </w:pPr>
      <w:r>
        <w:rPr>
          <w:b/>
          <w:bCs/>
        </w:rPr>
        <w:t xml:space="preserve">Error Handling &amp; Logging in Code:</w:t>
      </w:r>
      <w:r>
        <w:t xml:space="preserve"> </w:t>
      </w:r>
      <w:r>
        <w:t xml:space="preserve">As you implement, handle exceptions from the AI API. E.g., if the API returns an error or times out, your code should catch that and maybe retry once or notify the user gracefully. Logging is crucial: log errors with enough detail to debug (e.g., which function, maybe the first part of prompt to identify context, but not full sensitive data). Continuously monitor logs for any anomalies or frequent errors. If you see errors like “API quota exceeded” in logs, that’s a sign to perhaps increase quota or optimize calls.</w:t>
      </w:r>
    </w:p>
    <w:p>
      <w:pPr>
        <w:pStyle w:val="Compact"/>
        <w:numPr>
          <w:ilvl w:val="0"/>
          <w:numId w:val="1026"/>
        </w:numPr>
      </w:pPr>
      <w:r>
        <w:rPr>
          <w:b/>
          <w:bCs/>
        </w:rPr>
        <w:t xml:space="preserve">Maintain Security in Code:</w:t>
      </w:r>
      <w:r>
        <w:t xml:space="preserve"> </w:t>
      </w:r>
      <w:r>
        <w:t xml:space="preserve">Ensure no sensitive info gets hard-coded or logged in plain text. E.g., do not log the full client data payload you're sending to AI, just log an ID or hash. Use environment variables for API keys (our code should fetch keys from env or a secrets store). If developing custom AI components, adhere to secure coding practices (validate inputs, sanitizing if needed though our inputs are internal, but e.g., be mindful of injection if the AI can output something that later becomes code or query – currently not likely, but keep the architecture closed in that sense).</w:t>
      </w:r>
    </w:p>
    <w:p>
      <w:pPr>
        <w:pStyle w:val="Compact"/>
        <w:numPr>
          <w:ilvl w:val="0"/>
          <w:numId w:val="1026"/>
        </w:numPr>
      </w:pPr>
      <w:r>
        <w:rPr>
          <w:b/>
          <w:bCs/>
        </w:rPr>
        <w:t xml:space="preserve">Rate Limiting and Efficiency:</w:t>
      </w:r>
      <w:r>
        <w:t xml:space="preserve"> </w:t>
      </w:r>
      <w:r>
        <w:t xml:space="preserve">Monitor how often AI is called. If we find the integration calling too often (maybe in a loop or re-calling on small changes repeatedly), adjust logic to throttle or batch requests. We pay per request for most APIs, so ensure our code doesn't call more than necessary. E.g., maybe don't automatically re-run full analysis on every single field change, instead trigger it when a batch of changes is done or on demand.</w:t>
      </w:r>
    </w:p>
    <w:p>
      <w:pPr>
        <w:pStyle w:val="Compact"/>
        <w:numPr>
          <w:ilvl w:val="0"/>
          <w:numId w:val="1026"/>
        </w:numPr>
      </w:pPr>
      <w:r>
        <w:rPr>
          <w:b/>
          <w:bCs/>
        </w:rPr>
        <w:t xml:space="preserve">Fail-safe Defaults:</w:t>
      </w:r>
      <w:r>
        <w:t xml:space="preserve"> </w:t>
      </w:r>
      <w:r>
        <w:t xml:space="preserve">If the AI integration is unavailable for some reason, the system should still allow normal work. For instance, if our "AI Review" button fails, ensure the user can still manually review and mark complete. So keep toggles – maybe a config flag to disable AI globally if needed (with a message “AI features are temporarily offline”) so that it fails open (work can continue).</w:t>
      </w:r>
    </w:p>
    <w:p>
      <w:pPr>
        <w:pStyle w:val="Compact"/>
        <w:numPr>
          <w:ilvl w:val="0"/>
          <w:numId w:val="1026"/>
        </w:numPr>
      </w:pPr>
      <w:r>
        <w:rPr>
          <w:b/>
          <w:bCs/>
        </w:rPr>
        <w:t xml:space="preserve">Upgrading AI Models:</w:t>
      </w:r>
      <w:r>
        <w:t xml:space="preserve"> </w:t>
      </w:r>
      <w:r>
        <w:t xml:space="preserve">If the underlying AI model or service offers a new version (say GPT-5 or our vendor upgrades their engine), test it thoroughly on a sample of tasks before switching production to it. Models can have different behaviors – ensure it still follows instructions like giving citations, etc. Possibly run both in parallel on some test returns and compare outputs. Only upgrade when confident. Document these changes (like “Upgraded to model vX on date Y – observed [differences].”).</w:t>
      </w:r>
    </w:p>
    <w:p>
      <w:pPr>
        <w:pStyle w:val="Compact"/>
        <w:numPr>
          <w:ilvl w:val="0"/>
          <w:numId w:val="1026"/>
        </w:numPr>
      </w:pPr>
      <w:r>
        <w:rPr>
          <w:b/>
          <w:bCs/>
        </w:rPr>
        <w:t xml:space="preserve">Tool Utilization in AI (for advanced devs):</w:t>
      </w:r>
      <w:r>
        <w:t xml:space="preserve"> </w:t>
      </w:r>
      <w:r>
        <w:t xml:space="preserve">If using a framework that allows custom tools (like some LLM frameworks allow defining a “tax research tool” the AI can call), ensure those are well-defined and restricted. For example, if we let AI query a database, restrict it to read-only, and to certain tables. Monitor its usage of the tool via logs (to ensure it’s not doing something weird like a query that’s too broad).</w:t>
      </w:r>
    </w:p>
    <w:p>
      <w:pPr>
        <w:pStyle w:val="Compact"/>
        <w:numPr>
          <w:ilvl w:val="0"/>
          <w:numId w:val="1026"/>
        </w:numPr>
      </w:pPr>
      <w:r>
        <w:rPr>
          <w:b/>
          <w:bCs/>
        </w:rPr>
        <w:t xml:space="preserve">Self-healing Patterns:</w:t>
      </w:r>
      <w:r>
        <w:t xml:space="preserve"> </w:t>
      </w:r>
      <w:r>
        <w:t xml:space="preserve">Code can implement some self-healing: e.g., if AI output format is unexpectedly wrong or incomplete, the code could detect that and automatically re-prompt with clarification. For example, if expecting JSON but got text, maybe the code tries a second time saying “Please answer in JSON format as previously instructed.” This kind of logic can reduce manual intervention. But also set a limit (maybe try at most twice, then give up and alert user). We'll cover self-healing ideas below too.</w:t>
      </w:r>
    </w:p>
    <w:p>
      <w:pPr>
        <w:pStyle w:val="Compact"/>
        <w:numPr>
          <w:ilvl w:val="0"/>
          <w:numId w:val="1026"/>
        </w:numPr>
      </w:pPr>
      <w:r>
        <w:rPr>
          <w:b/>
          <w:bCs/>
        </w:rPr>
        <w:t xml:space="preserve">Documentation and Knowledge Transfer:</w:t>
      </w:r>
      <w:r>
        <w:t xml:space="preserve"> </w:t>
      </w:r>
      <w:r>
        <w:t xml:space="preserve">Maintain documentation of the integration – how data flows, what each module does, what the prompts are supposed to do. This is important if another developer or future you needs to troubleshoot or update it. Also document any workarounds or quirks (“Note: the AI tends to do X, so we did Y to compensate.”). If an AI output is problematic and you adjusted code to handle it, log that in a README or comment.</w:t>
      </w:r>
    </w:p>
    <w:p>
      <w:pPr>
        <w:pStyle w:val="Compact"/>
        <w:numPr>
          <w:ilvl w:val="0"/>
          <w:numId w:val="1026"/>
        </w:numPr>
      </w:pPr>
      <w:r>
        <w:rPr>
          <w:b/>
          <w:bCs/>
        </w:rPr>
        <w:t xml:space="preserve">Monitoring and Metrics:</w:t>
      </w:r>
      <w:r>
        <w:t xml:space="preserve"> </w:t>
      </w:r>
      <w:r>
        <w:t xml:space="preserve">Create some metrics: e.g., count of issues AI found vs how many were acted on (if possible to track via the system). Or a metric of average turnaround time with AI vs without (to measure efficiency gains). These can help demonstrate value to stakeholders (like show that AI flagged 5 errors we would have missed, etc., or that it saved Y hours). If such instrumentation is added, just ensure it’s privacy-safe and aggregated.</w:t>
      </w:r>
    </w:p>
    <w:p>
      <w:pPr>
        <w:pStyle w:val="Compact"/>
        <w:numPr>
          <w:ilvl w:val="0"/>
          <w:numId w:val="1026"/>
        </w:numPr>
      </w:pPr>
      <w:r>
        <w:rPr>
          <w:b/>
          <w:bCs/>
        </w:rPr>
        <w:t xml:space="preserve">Stay Updated:</w:t>
      </w:r>
      <w:r>
        <w:t xml:space="preserve"> </w:t>
      </w:r>
      <w:r>
        <w:t xml:space="preserve">Keep an eye on AI service updates. Sometimes API changes or deprecations happen (like an endpoint moves). Subscribing to the API’s status/announcements is wise. Also, new features (like OpenAI might add function calling, or new models that are more fine-tuned for finance) – evaluate if beneficial. But do so in sandbox first.</w:t>
      </w:r>
    </w:p>
    <w:p>
      <w:pPr>
        <w:pStyle w:val="Compact"/>
        <w:numPr>
          <w:ilvl w:val="0"/>
          <w:numId w:val="1026"/>
        </w:numPr>
      </w:pPr>
      <w:r>
        <w:rPr>
          <w:b/>
          <w:bCs/>
        </w:rPr>
        <w:t xml:space="preserve">Testing New Scenarios:</w:t>
      </w:r>
      <w:r>
        <w:t xml:space="preserve"> </w:t>
      </w:r>
      <w:r>
        <w:t xml:space="preserve">As new tax law changes come out or new client scenarios (maybe someone with a really unusual situation) appear, test how the AI handles it. If you find gaps (maybe AI doesn’t know about a 2025 law change), you might need to feed that info via prompt or fine-tune if possible. So treat the integration as evolving – update prompt knowledge base year to year (like update standard deduction amounts in the system's knowledge each year manually if AI doesn’t automatically get it).</w:t>
      </w:r>
    </w:p>
    <w:p>
      <w:pPr>
        <w:pStyle w:val="FirstParagraph"/>
      </w:pPr>
      <w:r>
        <w:t xml:space="preserve">By following these dev guidelines, we ensure the AI integration remains robust, secure, and effective. It’s essentially applying good software engineering and ops to this new component of our workflow.</w:t>
      </w:r>
    </w:p>
    <w:bookmarkEnd w:id="166"/>
    <w:bookmarkStart w:id="167" w:name="qa-prompts-and-verification-techniques"/>
    <w:p>
      <w:pPr>
        <w:pStyle w:val="Heading3"/>
      </w:pPr>
      <w:r>
        <w:t xml:space="preserve">3. QA Prompts and Verification Techniques</w:t>
      </w:r>
    </w:p>
    <w:p>
      <w:pPr>
        <w:pStyle w:val="FirstParagraph"/>
      </w:pPr>
      <w:r>
        <w:t xml:space="preserve">Even with guidelines, we want a systematic approach to Quality Assurance for AI outputs. Here are some</w:t>
      </w:r>
      <w:r>
        <w:t xml:space="preserve"> </w:t>
      </w:r>
      <w:r>
        <w:rPr>
          <w:b/>
          <w:bCs/>
        </w:rPr>
        <w:t xml:space="preserve">QA prompt patterns</w:t>
      </w:r>
      <w:r>
        <w:t xml:space="preserve"> </w:t>
      </w:r>
      <w:r>
        <w:t xml:space="preserve">and verification methods our team can use:</w:t>
      </w:r>
    </w:p>
    <w:p>
      <w:pPr>
        <w:pStyle w:val="Compact"/>
        <w:numPr>
          <w:ilvl w:val="0"/>
          <w:numId w:val="1027"/>
        </w:numPr>
      </w:pPr>
      <w:r>
        <w:rPr>
          <w:b/>
          <w:bCs/>
        </w:rPr>
        <w:t xml:space="preserve">Cross-Verification Prompt:</w:t>
      </w:r>
      <w:r>
        <w:t xml:space="preserve"> </w:t>
      </w:r>
      <w:r>
        <w:t xml:space="preserve">After getting an answer, ask the AI to verify its result or look for errors in it. Example: you have an AI-drafted memo with calculations. You can prompt:</w:t>
      </w:r>
      <w:r>
        <w:t xml:space="preserve"> </w:t>
      </w:r>
      <w:r>
        <w:rPr>
          <w:i/>
          <w:iCs/>
        </w:rPr>
        <w:t xml:space="preserve">“Double-check the above calculations and statements for any errors or omissions.”</w:t>
      </w:r>
      <w:r>
        <w:t xml:space="preserve"> </w:t>
      </w:r>
      <w:r>
        <w:t xml:space="preserve">This meta-prompt may cause the AI to review its work and catch inconsistencies (effectively using the AI as its own reviewer)</w:t>
      </w:r>
      <w:hyperlink r:id="rId39">
        <w:r>
          <w:rPr>
            <w:rStyle w:val="Hyperlink"/>
          </w:rPr>
          <w:t xml:space="preserve">[18]</w:t>
        </w:r>
      </w:hyperlink>
      <w:r>
        <w:t xml:space="preserve">. It might respond,</w:t>
      </w:r>
      <w:r>
        <w:t xml:space="preserve"> </w:t>
      </w:r>
      <w:r>
        <w:rPr>
          <w:i/>
          <w:iCs/>
        </w:rPr>
        <w:t xml:space="preserve">“Upon double-checking, I noticed I didn’t account for X in the calculation, the correct figure should be Y.”</w:t>
      </w:r>
      <w:r>
        <w:t xml:space="preserve"> </w:t>
      </w:r>
      <w:r>
        <w:t xml:space="preserve">This is especially useful in interactive chat – it's like a second pass. But still, treat it as advisory; if it says “looks good,” still use your own judgment or another method to be sure.</w:t>
      </w:r>
    </w:p>
    <w:p>
      <w:pPr>
        <w:pStyle w:val="Compact"/>
        <w:numPr>
          <w:ilvl w:val="0"/>
          <w:numId w:val="1027"/>
        </w:numPr>
      </w:pPr>
      <w:r>
        <w:rPr>
          <w:b/>
          <w:bCs/>
        </w:rPr>
        <w:t xml:space="preserve">Alternate Path Prompt:</w:t>
      </w:r>
      <w:r>
        <w:t xml:space="preserve"> </w:t>
      </w:r>
      <w:r>
        <w:t xml:space="preserve">Use a different phrasing or method to ask the same question and compare answers. For instance, first ask a direct question, then maybe ask the AI to create a step-by-step solution. Or even use another AI model (if available) to answer the same question and compare. Differences in answers highlight areas to examine. If Model A and Model B disagree, that’s a clue to investigate further.</w:t>
      </w:r>
    </w:p>
    <w:p>
      <w:pPr>
        <w:pStyle w:val="Compact"/>
        <w:numPr>
          <w:ilvl w:val="0"/>
          <w:numId w:val="1027"/>
        </w:numPr>
      </w:pPr>
      <w:r>
        <w:rPr>
          <w:b/>
          <w:bCs/>
        </w:rPr>
        <w:t xml:space="preserve">Edge Case Challenge:</w:t>
      </w:r>
      <w:r>
        <w:t xml:space="preserve"> </w:t>
      </w:r>
      <w:r>
        <w:t xml:space="preserve">We can incorporate QA by asking the AI about edge cases or counter-examples. E.g., after it gives advice, ask:</w:t>
      </w:r>
      <w:r>
        <w:t xml:space="preserve"> </w:t>
      </w:r>
      <w:r>
        <w:rPr>
          <w:i/>
          <w:iCs/>
        </w:rPr>
        <w:t xml:space="preserve">“In what scenario would this advice not hold true?”</w:t>
      </w:r>
      <w:r>
        <w:t xml:space="preserve"> </w:t>
      </w:r>
      <w:r>
        <w:t xml:space="preserve">or</w:t>
      </w:r>
      <w:r>
        <w:t xml:space="preserve"> </w:t>
      </w:r>
      <w:r>
        <w:rPr>
          <w:i/>
          <w:iCs/>
        </w:rPr>
        <w:t xml:space="preserve">“Identify any assumptions you made that might not be correct.”</w:t>
      </w:r>
      <w:r>
        <w:t xml:space="preserve"> </w:t>
      </w:r>
      <w:r>
        <w:t xml:space="preserve">A good AI will list conditions or exceptions (like</w:t>
      </w:r>
      <w:r>
        <w:t xml:space="preserve"> </w:t>
      </w:r>
      <w:r>
        <w:rPr>
          <w:i/>
          <w:iCs/>
        </w:rPr>
        <w:t xml:space="preserve">“this assumes client’s income stays below X; if above, phaseouts apply”</w:t>
      </w:r>
      <w:hyperlink r:id="rId36">
        <w:r>
          <w:rPr>
            <w:rStyle w:val="Hyperlink"/>
          </w:rPr>
          <w:t xml:space="preserve">[15]</w:t>
        </w:r>
      </w:hyperlink>
      <w:r>
        <w:t xml:space="preserve">). If it doesn’t, it may have missed something, which you then manually think through.</w:t>
      </w:r>
    </w:p>
    <w:p>
      <w:pPr>
        <w:pStyle w:val="Compact"/>
        <w:numPr>
          <w:ilvl w:val="0"/>
          <w:numId w:val="1027"/>
        </w:numPr>
      </w:pPr>
      <w:r>
        <w:rPr>
          <w:b/>
          <w:bCs/>
        </w:rPr>
        <w:t xml:space="preserve">Reasoning Trace:</w:t>
      </w:r>
      <w:r>
        <w:t xml:space="preserve"> </w:t>
      </w:r>
      <w:r>
        <w:t xml:space="preserve">Ask the AI to show its work.</w:t>
      </w:r>
      <w:r>
        <w:t xml:space="preserve"> </w:t>
      </w:r>
      <w:r>
        <w:rPr>
          <w:i/>
          <w:iCs/>
        </w:rPr>
        <w:t xml:space="preserve">“Show the step-by-step thought process for determining the client’s eligibility for the QBI deduction.”</w:t>
      </w:r>
      <w:r>
        <w:t xml:space="preserve"> </w:t>
      </w:r>
      <w:r>
        <w:t xml:space="preserve">If it just gives the answer normally, you can nudge:</w:t>
      </w:r>
      <w:r>
        <w:t xml:space="preserve"> </w:t>
      </w:r>
      <w:r>
        <w:rPr>
          <w:i/>
          <w:iCs/>
        </w:rPr>
        <w:t xml:space="preserve">“Please break down how you arrived at that conclusion.”</w:t>
      </w:r>
      <w:r>
        <w:t xml:space="preserve"> </w:t>
      </w:r>
      <w:r>
        <w:t xml:space="preserve">Some advanced prompting frameworks allow forcing it to reveal reasoning. This can help you follow the logic and pinpoint if it made a leap based on a wrong assumption.</w:t>
      </w:r>
    </w:p>
    <w:p>
      <w:pPr>
        <w:pStyle w:val="Compact"/>
        <w:numPr>
          <w:ilvl w:val="0"/>
          <w:numId w:val="1027"/>
        </w:numPr>
      </w:pPr>
      <w:r>
        <w:rPr>
          <w:b/>
          <w:bCs/>
        </w:rPr>
        <w:t xml:space="preserve">Comparative Prompt:</w:t>
      </w:r>
      <w:r>
        <w:t xml:space="preserve"> </w:t>
      </w:r>
      <w:r>
        <w:t xml:space="preserve">If checking data consistency, you can use a comparative approach:</w:t>
      </w:r>
      <w:r>
        <w:t xml:space="preserve"> </w:t>
      </w:r>
      <w:r>
        <w:rPr>
          <w:i/>
          <w:iCs/>
        </w:rPr>
        <w:t xml:space="preserve">“Compare the 2024 and 2025 returns for major discrepancies and explain any found.”</w:t>
      </w:r>
      <w:r>
        <w:t xml:space="preserve"> </w:t>
      </w:r>
      <w:r>
        <w:t xml:space="preserve">The AI might highlight differences (like</w:t>
      </w:r>
      <w:r>
        <w:t xml:space="preserve"> </w:t>
      </w:r>
      <w:r>
        <w:rPr>
          <w:i/>
          <w:iCs/>
        </w:rPr>
        <w:t xml:space="preserve">“Charity contributions are much higher in 2025”</w:t>
      </w:r>
      <w:r>
        <w:t xml:space="preserve">). This acts as a second set of eyes in QA. The preparer likely knows them, but if something was missed, it’ll come up.</w:t>
      </w:r>
    </w:p>
    <w:p>
      <w:pPr>
        <w:pStyle w:val="Compact"/>
        <w:numPr>
          <w:ilvl w:val="0"/>
          <w:numId w:val="1027"/>
        </w:numPr>
      </w:pPr>
      <w:r>
        <w:rPr>
          <w:b/>
          <w:bCs/>
        </w:rPr>
        <w:t xml:space="preserve">Error Simulation:</w:t>
      </w:r>
      <w:r>
        <w:t xml:space="preserve"> </w:t>
      </w:r>
      <w:r>
        <w:t xml:space="preserve">Sometimes, to test the AI’s reliability, you can deliberately give it a slightly wrong fact to see if it catches it. For example,</w:t>
      </w:r>
      <w:r>
        <w:t xml:space="preserve"> </w:t>
      </w:r>
      <w:r>
        <w:rPr>
          <w:i/>
          <w:iCs/>
        </w:rPr>
        <w:t xml:space="preserve">“Client has 2 children under 17, but no child tax credit is claimed – the software didn’t give one. Is that correct?”</w:t>
      </w:r>
      <w:r>
        <w:t xml:space="preserve"> </w:t>
      </w:r>
      <w:r>
        <w:t xml:space="preserve">(Simulate a scenario where maybe someone forgot to tick a box). The AI should respond</w:t>
      </w:r>
      <w:r>
        <w:t xml:space="preserve"> </w:t>
      </w:r>
      <w:r>
        <w:rPr>
          <w:i/>
          <w:iCs/>
        </w:rPr>
        <w:t xml:space="preserve">“No, typically they would get a CTC of $X... ensure the children have SSNs and the income isn’t too high...”</w:t>
      </w:r>
      <w:r>
        <w:t xml:space="preserve">. If it does, great – it’s doing QA. If it just says “Yes it’s correct” without analysis, that’s a fail. (This might be more for testing AI’s thoroughness than daily use, though a skeptical preparer might genuinely pose such questions when confused by software output).</w:t>
      </w:r>
    </w:p>
    <w:p>
      <w:pPr>
        <w:pStyle w:val="Compact"/>
        <w:numPr>
          <w:ilvl w:val="0"/>
          <w:numId w:val="1027"/>
        </w:numPr>
      </w:pPr>
      <w:r>
        <w:rPr>
          <w:b/>
          <w:bCs/>
        </w:rPr>
        <w:t xml:space="preserve">Use of Checklists:</w:t>
      </w:r>
      <w:r>
        <w:t xml:space="preserve"> </w:t>
      </w:r>
      <w:r>
        <w:t xml:space="preserve">Provide the AI a checklist to follow. For instance, feed it a checklist of common issues and ask it to go through item by item for a given return.</w:t>
      </w:r>
      <w:r>
        <w:t xml:space="preserve"> </w:t>
      </w:r>
      <w:r>
        <w:rPr>
          <w:i/>
          <w:iCs/>
        </w:rPr>
        <w:t xml:space="preserve">“Check for each of these common errors: [list]. Indicate if any might apply.”</w:t>
      </w:r>
      <w:r>
        <w:t xml:space="preserve"> </w:t>
      </w:r>
      <w:r>
        <w:t xml:space="preserve">This leverages structured QA. We have our domain checklist, we can make AI apply it. It might say e.g., “1. Missing 1099s – Yes, interest income present but no 1099-INT attached. 2. Math errors – None found, etc.”. Then human verifies those points. Essentially, AI helps do a first pass on our standard QA checklist.</w:t>
      </w:r>
    </w:p>
    <w:p>
      <w:pPr>
        <w:pStyle w:val="Compact"/>
        <w:numPr>
          <w:ilvl w:val="0"/>
          <w:numId w:val="1027"/>
        </w:numPr>
      </w:pPr>
      <w:r>
        <w:rPr>
          <w:b/>
          <w:bCs/>
        </w:rPr>
        <w:t xml:space="preserve">Self-Consistency Check:</w:t>
      </w:r>
      <w:r>
        <w:t xml:space="preserve"> </w:t>
      </w:r>
      <w:r>
        <w:t xml:space="preserve">Ask the AI the same question in different ways within the same conversation to see if it’s consistent. If it changes answer, then dig why. E.g.,</w:t>
      </w:r>
      <w:r>
        <w:t xml:space="preserve"> </w:t>
      </w:r>
      <w:r>
        <w:rPr>
          <w:i/>
          <w:iCs/>
        </w:rPr>
        <w:t xml:space="preserve">“Earlier you concluded X. Can you confirm that conclusion again with more detail?”</w:t>
      </w:r>
      <w:r>
        <w:t xml:space="preserve"> </w:t>
      </w:r>
      <w:r>
        <w:t xml:space="preserve">If it reverses without new info, it might have been unsure. This signals to us to rely on independent confirmation.</w:t>
      </w:r>
    </w:p>
    <w:p>
      <w:pPr>
        <w:pStyle w:val="Compact"/>
        <w:numPr>
          <w:ilvl w:val="0"/>
          <w:numId w:val="1027"/>
        </w:numPr>
      </w:pPr>
      <w:r>
        <w:rPr>
          <w:b/>
          <w:bCs/>
        </w:rPr>
        <w:t xml:space="preserve">Confidence Estimation (if available):</w:t>
      </w:r>
      <w:r>
        <w:t xml:space="preserve"> </w:t>
      </w:r>
      <w:r>
        <w:t xml:space="preserve">Some AI systems might provide a confidence or likelihood on answers (not user-facing normally, but e.g., if we built a classifier confidence). If we had such info, we’d treat low confidence results as needing high scrutiny. Since we likely don't have an explicit metric from GPT, we infer from its language: if it uses a lot of hedge words or sounds unsure, treat that as low confidence and double-check those areas intensely</w:t>
      </w:r>
      <w:hyperlink r:id="rId28">
        <w:r>
          <w:rPr>
            <w:rStyle w:val="Hyperlink"/>
          </w:rPr>
          <w:t xml:space="preserve">[8]</w:t>
        </w:r>
      </w:hyperlink>
      <w:hyperlink r:id="rId29">
        <w:r>
          <w:rPr>
            <w:rStyle w:val="Hyperlink"/>
          </w:rPr>
          <w:t xml:space="preserve">[9]</w:t>
        </w:r>
      </w:hyperlink>
      <w:r>
        <w:t xml:space="preserve">.</w:t>
      </w:r>
    </w:p>
    <w:p>
      <w:pPr>
        <w:pStyle w:val="FirstParagraph"/>
      </w:pPr>
      <w:r>
        <w:rPr>
          <w:b/>
          <w:bCs/>
        </w:rPr>
        <w:t xml:space="preserve">Self-Healing Patterns:</w:t>
      </w:r>
      <w:r>
        <w:t xml:space="preserve"> </w:t>
      </w:r>
      <w:r>
        <w:t xml:space="preserve">(What to do when AI output has errors or is not in expected format)</w:t>
      </w:r>
    </w:p>
    <w:p>
      <w:pPr>
        <w:pStyle w:val="Compact"/>
        <w:numPr>
          <w:ilvl w:val="0"/>
          <w:numId w:val="1028"/>
        </w:numPr>
      </w:pPr>
      <w:r>
        <w:rPr>
          <w:b/>
          <w:bCs/>
        </w:rPr>
        <w:t xml:space="preserve">Re-prompt with Corrections:</w:t>
      </w:r>
      <w:r>
        <w:t xml:space="preserve"> </w:t>
      </w:r>
      <w:r>
        <w:t xml:space="preserve">If the AI’s answer has a mistake (like it misapplied a rule), correct it in your next prompt and ask it to continue.</w:t>
      </w:r>
      <w:r>
        <w:t xml:space="preserve"> </w:t>
      </w:r>
      <w:r>
        <w:rPr>
          <w:i/>
          <w:iCs/>
        </w:rPr>
        <w:t xml:space="preserve">“Correction: The income limit for that credit is $50k, not $40k. Given that, what’s the revised answer?”</w:t>
      </w:r>
      <w:r>
        <w:t xml:space="preserve"> </w:t>
      </w:r>
      <w:r>
        <w:t xml:space="preserve">The AI will recalc or adjust narrative. This ensures the final output incorporates accurate info, and saves you calculating from scratch. Always validate the new output again.</w:t>
      </w:r>
    </w:p>
    <w:p>
      <w:pPr>
        <w:pStyle w:val="Compact"/>
        <w:numPr>
          <w:ilvl w:val="0"/>
          <w:numId w:val="1028"/>
        </w:numPr>
      </w:pPr>
      <w:r>
        <w:rPr>
          <w:b/>
          <w:bCs/>
        </w:rPr>
        <w:t xml:space="preserve">Format Fix:</w:t>
      </w:r>
      <w:r>
        <w:t xml:space="preserve"> </w:t>
      </w:r>
      <w:r>
        <w:t xml:space="preserve">If the AI didn’t follow format instructions (say we wanted a bullet list but it gave a paragraph), just prompt:</w:t>
      </w:r>
      <w:r>
        <w:t xml:space="preserve"> </w:t>
      </w:r>
      <w:r>
        <w:rPr>
          <w:i/>
          <w:iCs/>
        </w:rPr>
        <w:t xml:space="preserve">“Please reformat the answer as bullet points.”</w:t>
      </w:r>
      <w:r>
        <w:t xml:space="preserve"> </w:t>
      </w:r>
      <w:r>
        <w:t xml:space="preserve">It’ll usually comply exactly, making the content easier to read or ready to copy into a report in desired format. If JSON was expected but not given, you can say</w:t>
      </w:r>
      <w:r>
        <w:t xml:space="preserve"> </w:t>
      </w:r>
      <w:r>
        <w:rPr>
          <w:i/>
          <w:iCs/>
        </w:rPr>
        <w:t xml:space="preserve">“Output JSON only.”</w:t>
      </w:r>
      <w:r>
        <w:t xml:space="preserve"> </w:t>
      </w:r>
      <w:r>
        <w:t xml:space="preserve">(We can even design our integration to automatically do this if first attempt is not JSON – see earlier dev note).</w:t>
      </w:r>
    </w:p>
    <w:p>
      <w:pPr>
        <w:pStyle w:val="Compact"/>
        <w:numPr>
          <w:ilvl w:val="0"/>
          <w:numId w:val="1028"/>
        </w:numPr>
      </w:pPr>
      <w:r>
        <w:rPr>
          <w:b/>
          <w:bCs/>
        </w:rPr>
        <w:t xml:space="preserve">Split Queries:</w:t>
      </w:r>
      <w:r>
        <w:t xml:space="preserve"> </w:t>
      </w:r>
      <w:r>
        <w:t xml:space="preserve">If the AI seems to mix topics or get confused, break the problem down (as earlier prompt guidance). Solve sub-parts then combine. This is a way we “heal” confusion by giving AI smaller bites. E.g., it gives a garbled explanation mixing two concepts – then ask separately about each concept, get clarity, then piece together yourself.</w:t>
      </w:r>
    </w:p>
    <w:p>
      <w:pPr>
        <w:pStyle w:val="Compact"/>
        <w:numPr>
          <w:ilvl w:val="0"/>
          <w:numId w:val="1028"/>
        </w:numPr>
      </w:pPr>
      <w:r>
        <w:rPr>
          <w:b/>
          <w:bCs/>
        </w:rPr>
        <w:t xml:space="preserve">Summarize to Simplify:</w:t>
      </w:r>
      <w:r>
        <w:t xml:space="preserve"> </w:t>
      </w:r>
      <w:r>
        <w:t xml:space="preserve">If an AI answer is too verbose or complex, ask it to summarize or simplify.</w:t>
      </w:r>
      <w:r>
        <w:t xml:space="preserve"> </w:t>
      </w:r>
      <w:r>
        <w:rPr>
          <w:i/>
          <w:iCs/>
        </w:rPr>
        <w:t xml:space="preserve">“Summarize the above in one paragraph focusing on key figures.”</w:t>
      </w:r>
      <w:r>
        <w:t xml:space="preserve"> </w:t>
      </w:r>
      <w:r>
        <w:t xml:space="preserve">This can remove fluff or errors sometimes. Or</w:t>
      </w:r>
      <w:r>
        <w:t xml:space="preserve"> </w:t>
      </w:r>
      <w:r>
        <w:rPr>
          <w:i/>
          <w:iCs/>
        </w:rPr>
        <w:t xml:space="preserve">“Explain that again, but simpler.”</w:t>
      </w:r>
      <w:r>
        <w:t xml:space="preserve"> </w:t>
      </w:r>
      <w:r>
        <w:t xml:space="preserve">A correct but convoluted answer might become clearer (and easier to spot any errors in simplified form).</w:t>
      </w:r>
    </w:p>
    <w:p>
      <w:pPr>
        <w:pStyle w:val="Compact"/>
        <w:numPr>
          <w:ilvl w:val="0"/>
          <w:numId w:val="1028"/>
        </w:numPr>
      </w:pPr>
      <w:r>
        <w:rPr>
          <w:b/>
          <w:bCs/>
        </w:rPr>
        <w:t xml:space="preserve">Alternative Approach:</w:t>
      </w:r>
      <w:r>
        <w:t xml:space="preserve"> </w:t>
      </w:r>
      <w:r>
        <w:t xml:space="preserve">If we suspect the AI might have a bias or knowledge gap (like knowledge cutoff), an approach is to ask a more general question to see if it triggers updated info. E.g., if we think it might not know 2025 law, ask specifically</w:t>
      </w:r>
      <w:r>
        <w:t xml:space="preserve"> </w:t>
      </w:r>
      <w:r>
        <w:rPr>
          <w:i/>
          <w:iCs/>
        </w:rPr>
        <w:t xml:space="preserve">“Include any changes for 2025 in the analysis.”</w:t>
      </w:r>
      <w:r>
        <w:t xml:space="preserve"> </w:t>
      </w:r>
      <w:r>
        <w:t xml:space="preserve">Sometimes it forces it to address it (though if it truly doesn’t know, it may guess – hence caution; best is to provide the new info in prompt if possible).</w:t>
      </w:r>
    </w:p>
    <w:p>
      <w:pPr>
        <w:pStyle w:val="Compact"/>
        <w:numPr>
          <w:ilvl w:val="0"/>
          <w:numId w:val="1028"/>
        </w:numPr>
      </w:pPr>
      <w:r>
        <w:rPr>
          <w:b/>
          <w:bCs/>
        </w:rPr>
        <w:t xml:space="preserve">Manual Override:</w:t>
      </w:r>
      <w:r>
        <w:t xml:space="preserve"> </w:t>
      </w:r>
      <w:r>
        <w:t xml:space="preserve">Sometimes the best “self-healing” is just to manually correct the AI’s output. E.g., AI drafted a letter perfectly except one sentence is wrong – just edit that sentence yourself. You can then optionally tell the AI</w:t>
      </w:r>
      <w:r>
        <w:t xml:space="preserve"> </w:t>
      </w:r>
      <w:r>
        <w:rPr>
          <w:i/>
          <w:iCs/>
        </w:rPr>
        <w:t xml:space="preserve">“I changed X to Y because... please use that correction going forward.”</w:t>
      </w:r>
      <w:r>
        <w:t xml:space="preserve"> </w:t>
      </w:r>
      <w:r>
        <w:t xml:space="preserve">This might be more for fine-tuning memory in a long session. But generally, after one or two attempts, if AI isn’t getting a detail right, it’s faster to just fix it manually. Use AI for the heavy lifting, not absolute perfection – humans provide the final polish.</w:t>
      </w:r>
    </w:p>
    <w:p>
      <w:pPr>
        <w:pStyle w:val="Compact"/>
        <w:numPr>
          <w:ilvl w:val="0"/>
          <w:numId w:val="1028"/>
        </w:numPr>
      </w:pPr>
      <w:r>
        <w:rPr>
          <w:b/>
          <w:bCs/>
        </w:rPr>
        <w:t xml:space="preserve">Stop and Reassess:</w:t>
      </w:r>
      <w:r>
        <w:t xml:space="preserve"> </w:t>
      </w:r>
      <w:r>
        <w:t xml:space="preserve">If the AI is consistently giving wrong or weird answers on a subject, it might not have good training on it. At that point, rely on human research and perhaps inform the team that this topic might be off-limits for AI until it improves. For example, if a new niche credit was introduced and AI keeps hallucinating details about it because it wasn’t in its data, better to note “don’t use AI for Credit X details this year, reference manual guidance from IRS instead.” Later we can update data or fine-tune the model to include that.</w:t>
      </w:r>
    </w:p>
    <w:p>
      <w:pPr>
        <w:pStyle w:val="FirstParagraph"/>
      </w:pPr>
      <w:r>
        <w:t xml:space="preserve">By having these QA and self-correction interactions in our playbook, we treat the AI as a cooperative assistant that can revise and improve its output under our direction. The team should feel comfortable that they can push back on the AI (“Are you sure? Check again.”) just like they would with a human staff, and that’s expected and encouraged</w:t>
      </w:r>
      <w:hyperlink r:id="rId39">
        <w:r>
          <w:rPr>
            <w:rStyle w:val="Hyperlink"/>
          </w:rPr>
          <w:t xml:space="preserve">[18]</w:t>
        </w:r>
      </w:hyperlink>
      <w:r>
        <w:t xml:space="preserve">.</w:t>
      </w:r>
    </w:p>
    <w:p>
      <w:pPr>
        <w:pStyle w:val="BodyText"/>
      </w:pPr>
      <w:r>
        <w:t xml:space="preserve">We will also provide training to staff on recognizing when AI is likely wrong (e.g., blatant signs like it gives an outdated tax year reference, or it’s very vague where specifics are needed), at which point these QA techniques must be applied.</w:t>
      </w:r>
    </w:p>
    <w:p>
      <w:pPr>
        <w:pStyle w:val="BodyText"/>
      </w:pPr>
      <w:r>
        <w:rPr>
          <w:b/>
          <w:bCs/>
        </w:rPr>
        <w:t xml:space="preserve">Conclusion of Playbook:</w:t>
      </w:r>
      <w:r>
        <w:t xml:space="preserve"> </w:t>
      </w:r>
      <w:r>
        <w:t xml:space="preserve">The AI Copilot, armed with this playbook, becomes a real asset:</w:t>
      </w:r>
      <w:r>
        <w:t xml:space="preserve"> </w:t>
      </w:r>
      <w:r>
        <w:t xml:space="preserve">- For routine tasks, it follows our checklists and templates.</w:t>
      </w:r>
      <w:r>
        <w:t xml:space="preserve"> </w:t>
      </w:r>
      <w:r>
        <w:t xml:space="preserve">- For creative tasks (like drafting a memo), it provides a strong starting point that we then refine.</w:t>
      </w:r>
      <w:r>
        <w:t xml:space="preserve"> </w:t>
      </w:r>
      <w:r>
        <w:t xml:space="preserve">- It always remains under our guidance, with multiple layers of checks.</w:t>
      </w:r>
    </w:p>
    <w:p>
      <w:pPr>
        <w:pStyle w:val="BodyText"/>
      </w:pPr>
      <w:r>
        <w:t xml:space="preserve">With comprehensive research, established checklists, a phased roadmap, security enforcement, architectural integration, and now a practical playbook, our team is fully equipped to implement AI into our tax practice effectively in a professional, secure, and client-serving manner.</w:t>
      </w:r>
    </w:p>
    <w:p>
      <w:r>
        <w:pict>
          <v:rect style="width:0;height:1.5pt" o:hralign="center" o:hrstd="t" o:hr="t"/>
        </w:pict>
      </w:r>
    </w:p>
    <w:p>
      <w:pPr>
        <w:pStyle w:val="FirstParagraph"/>
      </w:pPr>
      <w:r>
        <w:rPr>
          <w:b/>
          <w:bCs/>
        </w:rPr>
        <w:t xml:space="preserve">Sources:</w:t>
      </w:r>
    </w:p>
    <w:p>
      <w:pPr>
        <w:pStyle w:val="BodyText"/>
      </w:pPr>
      <w:r>
        <w:rPr>
          <w:i/>
          <w:iCs/>
        </w:rPr>
        <w:t xml:space="preserve">(Citations have been interwoven above to support key points, referencing industry research and guidelines to validate our approach.)</w:t>
      </w:r>
    </w:p>
    <w:bookmarkEnd w:id="167"/>
    <w:bookmarkEnd w:id="168"/>
    <w:bookmarkEnd w:id="169"/>
    <w:bookmarkEnd w:id="170"/>
    <w:p>
      <w:r>
        <w:pict>
          <v:rect style="width:0;height:1.5pt" o:hralign="center" o:hrstd="t" o:hr="t"/>
        </w:pict>
      </w:r>
    </w:p>
    <w:bookmarkStart w:id="183" w:name="citations"/>
    <w:p>
      <w:pPr>
        <w:pStyle w:val="FirstParagraph"/>
      </w:pPr>
      <w:hyperlink r:id="rId22">
        <w:r>
          <w:rPr>
            <w:rStyle w:val="Hyperlink"/>
          </w:rPr>
          <w:t xml:space="preserve">[1]</w:t>
        </w:r>
      </w:hyperlink>
      <w:r>
        <w:t xml:space="preserve"> </w:t>
      </w:r>
      <w:hyperlink r:id="rId25">
        <w:r>
          <w:rPr>
            <w:rStyle w:val="Hyperlink"/>
          </w:rPr>
          <w:t xml:space="preserve">[4]</w:t>
        </w:r>
      </w:hyperlink>
      <w:r>
        <w:t xml:space="preserve"> </w:t>
      </w:r>
      <w:hyperlink r:id="rId25">
        <w:r>
          <w:rPr>
            <w:rStyle w:val="Hyperlink"/>
          </w:rPr>
          <w:t xml:space="preserve">[5]</w:t>
        </w:r>
      </w:hyperlink>
      <w:r>
        <w:t xml:space="preserve"> </w:t>
      </w:r>
      <w:hyperlink r:id="rId27">
        <w:r>
          <w:rPr>
            <w:rStyle w:val="Hyperlink"/>
          </w:rPr>
          <w:t xml:space="preserve">[7]</w:t>
        </w:r>
      </w:hyperlink>
      <w:r>
        <w:t xml:space="preserve"> </w:t>
      </w:r>
      <w:hyperlink r:id="rId28">
        <w:r>
          <w:rPr>
            <w:rStyle w:val="Hyperlink"/>
          </w:rPr>
          <w:t xml:space="preserve">[8]</w:t>
        </w:r>
      </w:hyperlink>
      <w:r>
        <w:t xml:space="preserve"> </w:t>
      </w:r>
      <w:hyperlink r:id="rId29">
        <w:r>
          <w:rPr>
            <w:rStyle w:val="Hyperlink"/>
          </w:rPr>
          <w:t xml:space="preserve">[9]</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6">
        <w:r>
          <w:rPr>
            <w:rStyle w:val="Hyperlink"/>
          </w:rPr>
          <w:t xml:space="preserve">[15]</w:t>
        </w:r>
      </w:hyperlink>
      <w:r>
        <w:t xml:space="preserve"> </w:t>
      </w:r>
      <w:hyperlink r:id="rId39">
        <w:r>
          <w:rPr>
            <w:rStyle w:val="Hyperlink"/>
          </w:rPr>
          <w:t xml:space="preserve">[18]</w:t>
        </w:r>
      </w:hyperlink>
      <w:r>
        <w:t xml:space="preserve"> </w:t>
      </w:r>
      <w:hyperlink r:id="rId47">
        <w:r>
          <w:rPr>
            <w:rStyle w:val="Hyperlink"/>
          </w:rPr>
          <w:t xml:space="preserve">[25]</w:t>
        </w:r>
      </w:hyperlink>
      <w:r>
        <w:t xml:space="preserve"> </w:t>
      </w:r>
      <w:hyperlink r:id="rId55">
        <w:r>
          <w:rPr>
            <w:rStyle w:val="Hyperlink"/>
          </w:rPr>
          <w:t xml:space="preserve">[34]</w:t>
        </w:r>
      </w:hyperlink>
      <w:r>
        <w:t xml:space="preserve"> </w:t>
      </w:r>
      <w:hyperlink r:id="rId56">
        <w:r>
          <w:rPr>
            <w:rStyle w:val="Hyperlink"/>
          </w:rPr>
          <w:t xml:space="preserve">[35]</w:t>
        </w:r>
      </w:hyperlink>
      <w:r>
        <w:t xml:space="preserve"> </w:t>
      </w:r>
      <w:hyperlink r:id="rId121">
        <w:r>
          <w:rPr>
            <w:rStyle w:val="Hyperlink"/>
          </w:rPr>
          <w:t xml:space="preserve">[81]</w:t>
        </w:r>
      </w:hyperlink>
      <w:r>
        <w:t xml:space="preserve"> </w:t>
      </w:r>
      <w:hyperlink r:id="rId124">
        <w:r>
          <w:rPr>
            <w:rStyle w:val="Hyperlink"/>
          </w:rPr>
          <w:t xml:space="preserve">[82]</w:t>
        </w:r>
      </w:hyperlink>
      <w:r>
        <w:t xml:space="preserve"> </w:t>
      </w:r>
      <w:hyperlink r:id="rId28">
        <w:r>
          <w:rPr>
            <w:rStyle w:val="Hyperlink"/>
          </w:rPr>
          <w:t xml:space="preserve">[96]</w:t>
        </w:r>
      </w:hyperlink>
      <w:r>
        <w:t xml:space="preserve"> </w:t>
      </w:r>
      <w:hyperlink r:id="rId22">
        <w:r>
          <w:rPr>
            <w:rStyle w:val="Hyperlink"/>
          </w:rPr>
          <w:t xml:space="preserve">[106]</w:t>
        </w:r>
      </w:hyperlink>
      <w:r>
        <w:t xml:space="preserve"> </w:t>
      </w:r>
      <w:r>
        <w:t xml:space="preserve">AI for tax professionals: A guide</w:t>
      </w:r>
    </w:p>
    <w:p>
      <w:pPr>
        <w:pStyle w:val="BodyText"/>
      </w:pPr>
      <w:hyperlink r:id="rId171">
        <w:r>
          <w:rPr>
            <w:rStyle w:val="Hyperlink"/>
          </w:rPr>
          <w:t xml:space="preserve">https://tax.thomsonreuters.com/blog/ai-for-tax-professionals-a-guide/</w:t>
        </w:r>
      </w:hyperlink>
    </w:p>
    <w:p>
      <w:pPr>
        <w:pStyle w:val="BodyText"/>
      </w:pPr>
      <w:hyperlink r:id="rId23">
        <w:r>
          <w:rPr>
            <w:rStyle w:val="Hyperlink"/>
          </w:rPr>
          <w:t xml:space="preserve">[2]</w:t>
        </w:r>
      </w:hyperlink>
      <w:r>
        <w:t xml:space="preserve"> </w:t>
      </w:r>
      <w:hyperlink r:id="rId24">
        <w:r>
          <w:rPr>
            <w:rStyle w:val="Hyperlink"/>
          </w:rPr>
          <w:t xml:space="preserve">[3]</w:t>
        </w:r>
      </w:hyperlink>
      <w:r>
        <w:t xml:space="preserve"> </w:t>
      </w:r>
      <w:hyperlink r:id="rId26">
        <w:r>
          <w:rPr>
            <w:rStyle w:val="Hyperlink"/>
          </w:rPr>
          <w:t xml:space="preserve">[6]</w:t>
        </w:r>
      </w:hyperlink>
      <w:r>
        <w:t xml:space="preserve"> </w:t>
      </w:r>
      <w:hyperlink r:id="rId34">
        <w:r>
          <w:rPr>
            <w:rStyle w:val="Hyperlink"/>
          </w:rPr>
          <w:t xml:space="preserve">[13]</w:t>
        </w:r>
      </w:hyperlink>
      <w:r>
        <w:t xml:space="preserve"> </w:t>
      </w:r>
      <w:hyperlink r:id="rId61">
        <w:r>
          <w:rPr>
            <w:rStyle w:val="Hyperlink"/>
          </w:rPr>
          <w:t xml:space="preserve">[38]</w:t>
        </w:r>
      </w:hyperlink>
      <w:r>
        <w:t xml:space="preserve"> </w:t>
      </w:r>
      <w:hyperlink r:id="rId61">
        <w:r>
          <w:rPr>
            <w:rStyle w:val="Hyperlink"/>
          </w:rPr>
          <w:t xml:space="preserve">[39]</w:t>
        </w:r>
      </w:hyperlink>
      <w:r>
        <w:t xml:space="preserve"> </w:t>
      </w:r>
      <w:hyperlink r:id="rId81">
        <w:r>
          <w:rPr>
            <w:rStyle w:val="Hyperlink"/>
          </w:rPr>
          <w:t xml:space="preserve">[52]</w:t>
        </w:r>
      </w:hyperlink>
      <w:r>
        <w:t xml:space="preserve"> </w:t>
      </w:r>
      <w:hyperlink r:id="rId146">
        <w:r>
          <w:rPr>
            <w:rStyle w:val="Hyperlink"/>
          </w:rPr>
          <w:t xml:space="preserve">[97]</w:t>
        </w:r>
      </w:hyperlink>
      <w:r>
        <w:t xml:space="preserve"> </w:t>
      </w:r>
      <w:r>
        <w:t xml:space="preserve"> </w:t>
      </w:r>
      <w:r>
        <w:t xml:space="preserve">Assessing AI From a Tax Perspective, Part 2</w:t>
      </w:r>
      <w:r>
        <w:t xml:space="preserve"> </w:t>
      </w:r>
    </w:p>
    <w:p>
      <w:pPr>
        <w:pStyle w:val="BodyText"/>
      </w:pPr>
      <w:hyperlink r:id="rId172">
        <w:r>
          <w:rPr>
            <w:rStyle w:val="Hyperlink"/>
          </w:rPr>
          <w:t xml:space="preserve">https://www.tx.cpa/news-publications/todays-cpa-magazine/issues/article/march-april-2025/2025/06/09/assessing-ai-from-a-tax-perspective--part-2</w:t>
        </w:r>
      </w:hyperlink>
    </w:p>
    <w:p>
      <w:pPr>
        <w:pStyle w:val="BodyText"/>
      </w:pPr>
      <w:hyperlink r:id="rId35">
        <w:r>
          <w:rPr>
            <w:rStyle w:val="Hyperlink"/>
          </w:rPr>
          <w:t xml:space="preserve">[14]</w:t>
        </w:r>
      </w:hyperlink>
      <w:r>
        <w:t xml:space="preserve"> </w:t>
      </w:r>
      <w:hyperlink r:id="rId68">
        <w:r>
          <w:rPr>
            <w:rStyle w:val="Hyperlink"/>
          </w:rPr>
          <w:t xml:space="preserve">[44]</w:t>
        </w:r>
      </w:hyperlink>
      <w:r>
        <w:t xml:space="preserve"> </w:t>
      </w:r>
      <w:r>
        <w:t xml:space="preserve">Tax ethics and use of generative AI systems</w:t>
      </w:r>
    </w:p>
    <w:p>
      <w:pPr>
        <w:pStyle w:val="BodyText"/>
      </w:pPr>
      <w:hyperlink r:id="rId173">
        <w:r>
          <w:rPr>
            <w:rStyle w:val="Hyperlink"/>
          </w:rPr>
          <w:t xml:space="preserve">https://www.thetaxadviser.com/issues/2024/feb/tax-ethics-and-use-of-generative-ai-systems/</w:t>
        </w:r>
      </w:hyperlink>
    </w:p>
    <w:p>
      <w:pPr>
        <w:pStyle w:val="BodyText"/>
      </w:pPr>
      <w:hyperlink r:id="rId37">
        <w:r>
          <w:rPr>
            <w:rStyle w:val="Hyperlink"/>
          </w:rPr>
          <w:t xml:space="preserve">[16]</w:t>
        </w:r>
      </w:hyperlink>
      <w:r>
        <w:t xml:space="preserve"> </w:t>
      </w:r>
      <w:hyperlink r:id="rId38">
        <w:r>
          <w:rPr>
            <w:rStyle w:val="Hyperlink"/>
          </w:rPr>
          <w:t xml:space="preserve">[17]</w:t>
        </w:r>
      </w:hyperlink>
      <w:r>
        <w:t xml:space="preserve"> </w:t>
      </w:r>
      <w:hyperlink r:id="rId147">
        <w:r>
          <w:rPr>
            <w:rStyle w:val="Hyperlink"/>
          </w:rPr>
          <w:t xml:space="preserve">[98]</w:t>
        </w:r>
      </w:hyperlink>
      <w:r>
        <w:t xml:space="preserve"> </w:t>
      </w:r>
      <w:r>
        <w:t xml:space="preserve">CPA.com Issues 2025 AI in Accounting Report | News | CPA.com</w:t>
      </w:r>
    </w:p>
    <w:p>
      <w:pPr>
        <w:pStyle w:val="BodyText"/>
      </w:pPr>
      <w:hyperlink r:id="rId174">
        <w:r>
          <w:rPr>
            <w:rStyle w:val="Hyperlink"/>
          </w:rPr>
          <w:t xml:space="preserve">https://www.cpa.com/news/cpacom-issues-2025-ai-accounting-report</w:t>
        </w:r>
      </w:hyperlink>
    </w:p>
    <w:p>
      <w:pPr>
        <w:pStyle w:val="BodyText"/>
      </w:pPr>
      <w:hyperlink r:id="rId41">
        <w:r>
          <w:rPr>
            <w:rStyle w:val="Hyperlink"/>
          </w:rPr>
          <w:t xml:space="preserve">[19]</w:t>
        </w:r>
      </w:hyperlink>
      <w:r>
        <w:t xml:space="preserve"> </w:t>
      </w:r>
      <w:hyperlink r:id="rId42">
        <w:r>
          <w:rPr>
            <w:rStyle w:val="Hyperlink"/>
          </w:rPr>
          <w:t xml:space="preserve">[20]</w:t>
        </w:r>
      </w:hyperlink>
      <w:r>
        <w:t xml:space="preserve"> </w:t>
      </w:r>
      <w:hyperlink r:id="rId43">
        <w:r>
          <w:rPr>
            <w:rStyle w:val="Hyperlink"/>
          </w:rPr>
          <w:t xml:space="preserve">[21]</w:t>
        </w:r>
      </w:hyperlink>
      <w:r>
        <w:t xml:space="preserve"> </w:t>
      </w:r>
      <w:hyperlink r:id="rId44">
        <w:r>
          <w:rPr>
            <w:rStyle w:val="Hyperlink"/>
          </w:rPr>
          <w:t xml:space="preserve">[22]</w:t>
        </w:r>
      </w:hyperlink>
      <w:r>
        <w:t xml:space="preserve"> </w:t>
      </w:r>
      <w:hyperlink r:id="rId45">
        <w:r>
          <w:rPr>
            <w:rStyle w:val="Hyperlink"/>
          </w:rPr>
          <w:t xml:space="preserve">[23]</w:t>
        </w:r>
      </w:hyperlink>
      <w:r>
        <w:t xml:space="preserve"> </w:t>
      </w:r>
      <w:hyperlink r:id="rId46">
        <w:r>
          <w:rPr>
            <w:rStyle w:val="Hyperlink"/>
          </w:rPr>
          <w:t xml:space="preserve">[24]</w:t>
        </w:r>
      </w:hyperlink>
      <w:r>
        <w:t xml:space="preserve"> </w:t>
      </w:r>
      <w:hyperlink r:id="rId48">
        <w:r>
          <w:rPr>
            <w:rStyle w:val="Hyperlink"/>
          </w:rPr>
          <w:t xml:space="preserve">[26]</w:t>
        </w:r>
      </w:hyperlink>
      <w:r>
        <w:t xml:space="preserve"> </w:t>
      </w:r>
      <w:hyperlink r:id="rId49">
        <w:r>
          <w:rPr>
            <w:rStyle w:val="Hyperlink"/>
          </w:rPr>
          <w:t xml:space="preserve">[27]</w:t>
        </w:r>
      </w:hyperlink>
      <w:r>
        <w:t xml:space="preserve"> </w:t>
      </w:r>
      <w:hyperlink r:id="rId50">
        <w:r>
          <w:rPr>
            <w:rStyle w:val="Hyperlink"/>
          </w:rPr>
          <w:t xml:space="preserve">[28]</w:t>
        </w:r>
      </w:hyperlink>
      <w:r>
        <w:t xml:space="preserve"> </w:t>
      </w:r>
      <w:hyperlink r:id="rId42">
        <w:r>
          <w:rPr>
            <w:rStyle w:val="Hyperlink"/>
          </w:rPr>
          <w:t xml:space="preserve">[29]</w:t>
        </w:r>
      </w:hyperlink>
      <w:r>
        <w:t xml:space="preserve"> </w:t>
      </w:r>
      <w:hyperlink r:id="rId51">
        <w:r>
          <w:rPr>
            <w:rStyle w:val="Hyperlink"/>
          </w:rPr>
          <w:t xml:space="preserve">[30]</w:t>
        </w:r>
      </w:hyperlink>
      <w:r>
        <w:t xml:space="preserve"> </w:t>
      </w:r>
      <w:hyperlink r:id="rId52">
        <w:r>
          <w:rPr>
            <w:rStyle w:val="Hyperlink"/>
          </w:rPr>
          <w:t xml:space="preserve">[31]</w:t>
        </w:r>
      </w:hyperlink>
      <w:r>
        <w:t xml:space="preserve"> </w:t>
      </w:r>
      <w:hyperlink r:id="rId53">
        <w:r>
          <w:rPr>
            <w:rStyle w:val="Hyperlink"/>
          </w:rPr>
          <w:t xml:space="preserve">[32]</w:t>
        </w:r>
      </w:hyperlink>
      <w:r>
        <w:t xml:space="preserve"> </w:t>
      </w:r>
      <w:hyperlink r:id="rId54">
        <w:r>
          <w:rPr>
            <w:rStyle w:val="Hyperlink"/>
          </w:rPr>
          <w:t xml:space="preserve">[33]</w:t>
        </w:r>
      </w:hyperlink>
      <w:r>
        <w:t xml:space="preserve"> </w:t>
      </w:r>
      <w:hyperlink r:id="rId150">
        <w:r>
          <w:rPr>
            <w:rStyle w:val="Hyperlink"/>
          </w:rPr>
          <w:t xml:space="preserve">[99]</w:t>
        </w:r>
      </w:hyperlink>
      <w:r>
        <w:t xml:space="preserve"> </w:t>
      </w:r>
      <w:hyperlink r:id="rId175">
        <w:r>
          <w:rPr>
            <w:rStyle w:val="Hyperlink"/>
          </w:rPr>
          <w:t xml:space="preserve">[101]</w:t>
        </w:r>
      </w:hyperlink>
      <w:r>
        <w:t xml:space="preserve"> </w:t>
      </w:r>
      <w:hyperlink r:id="rId160">
        <w:r>
          <w:rPr>
            <w:rStyle w:val="Hyperlink"/>
          </w:rPr>
          <w:t xml:space="preserve">[102]</w:t>
        </w:r>
      </w:hyperlink>
      <w:r>
        <w:t xml:space="preserve"> </w:t>
      </w:r>
      <w:hyperlink r:id="rId161">
        <w:r>
          <w:rPr>
            <w:rStyle w:val="Hyperlink"/>
          </w:rPr>
          <w:t xml:space="preserve">[103]</w:t>
        </w:r>
      </w:hyperlink>
      <w:r>
        <w:t xml:space="preserve"> </w:t>
      </w:r>
      <w:hyperlink r:id="rId162">
        <w:r>
          <w:rPr>
            <w:rStyle w:val="Hyperlink"/>
          </w:rPr>
          <w:t xml:space="preserve">[104]</w:t>
        </w:r>
      </w:hyperlink>
      <w:r>
        <w:t xml:space="preserve"> </w:t>
      </w:r>
      <w:hyperlink r:id="rId163">
        <w:r>
          <w:rPr>
            <w:rStyle w:val="Hyperlink"/>
          </w:rPr>
          <w:t xml:space="preserve">[105]</w:t>
        </w:r>
      </w:hyperlink>
      <w:r>
        <w:t xml:space="preserve"> </w:t>
      </w:r>
      <w:hyperlink r:id="rId164">
        <w:r>
          <w:rPr>
            <w:rStyle w:val="Hyperlink"/>
          </w:rPr>
          <w:t xml:space="preserve">[107]</w:t>
        </w:r>
      </w:hyperlink>
      <w:r>
        <w:t xml:space="preserve"> </w:t>
      </w:r>
      <w:r>
        <w:t xml:space="preserve">The Complete Guide to Tax Practice Automation in 2025</w:t>
      </w:r>
    </w:p>
    <w:p>
      <w:pPr>
        <w:pStyle w:val="BodyText"/>
      </w:pPr>
      <w:hyperlink r:id="rId176">
        <w:r>
          <w:rPr>
            <w:rStyle w:val="Hyperlink"/>
          </w:rPr>
          <w:t xml:space="preserve">https://www.taxgpt.com/taxgpt-insights/guide-to-tax-practice-automation</w:t>
        </w:r>
      </w:hyperlink>
    </w:p>
    <w:p>
      <w:pPr>
        <w:pStyle w:val="BodyText"/>
      </w:pPr>
      <w:hyperlink r:id="rId58">
        <w:r>
          <w:rPr>
            <w:rStyle w:val="Hyperlink"/>
          </w:rPr>
          <w:t xml:space="preserve">[36]</w:t>
        </w:r>
      </w:hyperlink>
      <w:r>
        <w:t xml:space="preserve"> </w:t>
      </w:r>
      <w:hyperlink r:id="rId60">
        <w:r>
          <w:rPr>
            <w:rStyle w:val="Hyperlink"/>
          </w:rPr>
          <w:t xml:space="preserve">[37]</w:t>
        </w:r>
      </w:hyperlink>
      <w:r>
        <w:t xml:space="preserve"> </w:t>
      </w:r>
      <w:hyperlink r:id="rId63">
        <w:r>
          <w:rPr>
            <w:rStyle w:val="Hyperlink"/>
          </w:rPr>
          <w:t xml:space="preserve">[40]</w:t>
        </w:r>
      </w:hyperlink>
      <w:r>
        <w:t xml:space="preserve"> </w:t>
      </w:r>
      <w:hyperlink r:id="rId65">
        <w:r>
          <w:rPr>
            <w:rStyle w:val="Hyperlink"/>
          </w:rPr>
          <w:t xml:space="preserve">[41]</w:t>
        </w:r>
      </w:hyperlink>
      <w:r>
        <w:t xml:space="preserve"> </w:t>
      </w:r>
      <w:hyperlink r:id="rId66">
        <w:r>
          <w:rPr>
            <w:rStyle w:val="Hyperlink"/>
          </w:rPr>
          <w:t xml:space="preserve">[42]</w:t>
        </w:r>
      </w:hyperlink>
      <w:r>
        <w:t xml:space="preserve"> </w:t>
      </w:r>
      <w:hyperlink r:id="rId77">
        <w:r>
          <w:rPr>
            <w:rStyle w:val="Hyperlink"/>
          </w:rPr>
          <w:t xml:space="preserve">[49]</w:t>
        </w:r>
      </w:hyperlink>
      <w:r>
        <w:t xml:space="preserve"> </w:t>
      </w:r>
      <w:hyperlink r:id="rId85">
        <w:r>
          <w:rPr>
            <w:rStyle w:val="Hyperlink"/>
          </w:rPr>
          <w:t xml:space="preserve">[54]</w:t>
        </w:r>
      </w:hyperlink>
      <w:r>
        <w:t xml:space="preserve"> </w:t>
      </w:r>
      <w:hyperlink r:id="rId86">
        <w:r>
          <w:rPr>
            <w:rStyle w:val="Hyperlink"/>
          </w:rPr>
          <w:t xml:space="preserve">[55]</w:t>
        </w:r>
      </w:hyperlink>
      <w:r>
        <w:t xml:space="preserve"> </w:t>
      </w:r>
      <w:hyperlink r:id="rId126">
        <w:r>
          <w:rPr>
            <w:rStyle w:val="Hyperlink"/>
          </w:rPr>
          <w:t xml:space="preserve">[83]</w:t>
        </w:r>
      </w:hyperlink>
      <w:r>
        <w:t xml:space="preserve"> </w:t>
      </w:r>
      <w:hyperlink r:id="rId127">
        <w:r>
          <w:rPr>
            <w:rStyle w:val="Hyperlink"/>
          </w:rPr>
          <w:t xml:space="preserve">[84]</w:t>
        </w:r>
      </w:hyperlink>
      <w:r>
        <w:t xml:space="preserve"> </w:t>
      </w:r>
      <w:hyperlink r:id="rId128">
        <w:r>
          <w:rPr>
            <w:rStyle w:val="Hyperlink"/>
          </w:rPr>
          <w:t xml:space="preserve">[85]</w:t>
        </w:r>
      </w:hyperlink>
      <w:r>
        <w:t xml:space="preserve"> </w:t>
      </w:r>
      <w:hyperlink r:id="rId129">
        <w:r>
          <w:rPr>
            <w:rStyle w:val="Hyperlink"/>
          </w:rPr>
          <w:t xml:space="preserve">[86]</w:t>
        </w:r>
      </w:hyperlink>
      <w:r>
        <w:t xml:space="preserve"> </w:t>
      </w:r>
      <w:hyperlink r:id="rId131">
        <w:r>
          <w:rPr>
            <w:rStyle w:val="Hyperlink"/>
          </w:rPr>
          <w:t xml:space="preserve">[87]</w:t>
        </w:r>
      </w:hyperlink>
      <w:r>
        <w:t xml:space="preserve"> </w:t>
      </w:r>
      <w:hyperlink r:id="rId132">
        <w:r>
          <w:rPr>
            <w:rStyle w:val="Hyperlink"/>
          </w:rPr>
          <w:t xml:space="preserve">[88]</w:t>
        </w:r>
      </w:hyperlink>
      <w:r>
        <w:t xml:space="preserve"> </w:t>
      </w:r>
      <w:hyperlink r:id="rId133">
        <w:r>
          <w:rPr>
            <w:rStyle w:val="Hyperlink"/>
          </w:rPr>
          <w:t xml:space="preserve">[89]</w:t>
        </w:r>
      </w:hyperlink>
      <w:r>
        <w:t xml:space="preserve"> </w:t>
      </w:r>
      <w:hyperlink r:id="rId134">
        <w:r>
          <w:rPr>
            <w:rStyle w:val="Hyperlink"/>
          </w:rPr>
          <w:t xml:space="preserve">[90]</w:t>
        </w:r>
      </w:hyperlink>
      <w:r>
        <w:t xml:space="preserve"> </w:t>
      </w:r>
      <w:hyperlink r:id="rId136">
        <w:r>
          <w:rPr>
            <w:rStyle w:val="Hyperlink"/>
          </w:rPr>
          <w:t xml:space="preserve">[91]</w:t>
        </w:r>
      </w:hyperlink>
      <w:r>
        <w:t xml:space="preserve"> </w:t>
      </w:r>
      <w:hyperlink r:id="rId138">
        <w:r>
          <w:rPr>
            <w:rStyle w:val="Hyperlink"/>
          </w:rPr>
          <w:t xml:space="preserve">[92]</w:t>
        </w:r>
      </w:hyperlink>
      <w:r>
        <w:t xml:space="preserve"> </w:t>
      </w:r>
      <w:hyperlink r:id="rId139">
        <w:r>
          <w:rPr>
            <w:rStyle w:val="Hyperlink"/>
          </w:rPr>
          <w:t xml:space="preserve">[93]</w:t>
        </w:r>
      </w:hyperlink>
      <w:r>
        <w:t xml:space="preserve"> </w:t>
      </w:r>
      <w:hyperlink r:id="rId140">
        <w:r>
          <w:rPr>
            <w:rStyle w:val="Hyperlink"/>
          </w:rPr>
          <w:t xml:space="preserve">[94]</w:t>
        </w:r>
      </w:hyperlink>
      <w:r>
        <w:t xml:space="preserve"> </w:t>
      </w:r>
      <w:hyperlink r:id="rId141">
        <w:r>
          <w:rPr>
            <w:rStyle w:val="Hyperlink"/>
          </w:rPr>
          <w:t xml:space="preserve">[95]</w:t>
        </w:r>
      </w:hyperlink>
      <w:r>
        <w:t xml:space="preserve"> </w:t>
      </w:r>
      <w:r>
        <w:t xml:space="preserve">security-guidance.md</w:t>
      </w:r>
    </w:p>
    <w:p>
      <w:pPr>
        <w:pStyle w:val="BodyText"/>
      </w:pPr>
      <w:hyperlink r:id="rId177">
        <w:r>
          <w:rPr>
            <w:rStyle w:val="Hyperlink"/>
          </w:rPr>
          <w:t xml:space="preserve">https://github.com/gentlyventures/harboragent/blob/b682af1a348e7b78b7c42a06483834f569a50bfa/packs/genesis/docs/security-guidance.md</w:t>
        </w:r>
      </w:hyperlink>
    </w:p>
    <w:p>
      <w:pPr>
        <w:pStyle w:val="BodyText"/>
      </w:pPr>
      <w:hyperlink r:id="rId67">
        <w:r>
          <w:rPr>
            <w:rStyle w:val="Hyperlink"/>
          </w:rPr>
          <w:t xml:space="preserve">[43]</w:t>
        </w:r>
      </w:hyperlink>
      <w:r>
        <w:t xml:space="preserve"> </w:t>
      </w:r>
      <w:r>
        <w:t xml:space="preserve">Should I disclose my use of gen AI to clients? - Document - Gale</w:t>
      </w:r>
    </w:p>
    <w:p>
      <w:pPr>
        <w:pStyle w:val="BodyText"/>
      </w:pPr>
      <w:hyperlink r:id="rId178">
        <w:r>
          <w:rPr>
            <w:rStyle w:val="Hyperlink"/>
          </w:rPr>
          <w:t xml:space="preserve">https://go.gale.com/ps/i.do?id=GALE%7CA837171634&amp;sid=sitemap&amp;v=2.1&amp;it=r&amp;p=AONE&amp;sw=w</w:t>
        </w:r>
      </w:hyperlink>
    </w:p>
    <w:p>
      <w:pPr>
        <w:pStyle w:val="BodyText"/>
      </w:pPr>
      <w:hyperlink r:id="rId73">
        <w:r>
          <w:rPr>
            <w:rStyle w:val="Hyperlink"/>
          </w:rPr>
          <w:t xml:space="preserve">[45]</w:t>
        </w:r>
      </w:hyperlink>
      <w:r>
        <w:t xml:space="preserve"> </w:t>
      </w:r>
      <w:hyperlink r:id="rId74">
        <w:r>
          <w:rPr>
            <w:rStyle w:val="Hyperlink"/>
          </w:rPr>
          <w:t xml:space="preserve">[46]</w:t>
        </w:r>
      </w:hyperlink>
      <w:r>
        <w:t xml:space="preserve"> </w:t>
      </w:r>
      <w:hyperlink r:id="rId75">
        <w:r>
          <w:rPr>
            <w:rStyle w:val="Hyperlink"/>
          </w:rPr>
          <w:t xml:space="preserve">[47]</w:t>
        </w:r>
      </w:hyperlink>
      <w:r>
        <w:t xml:space="preserve"> </w:t>
      </w:r>
      <w:hyperlink r:id="rId76">
        <w:r>
          <w:rPr>
            <w:rStyle w:val="Hyperlink"/>
          </w:rPr>
          <w:t xml:space="preserve">[48]</w:t>
        </w:r>
      </w:hyperlink>
      <w:r>
        <w:t xml:space="preserve"> </w:t>
      </w:r>
      <w:hyperlink r:id="rId78">
        <w:r>
          <w:rPr>
            <w:rStyle w:val="Hyperlink"/>
          </w:rPr>
          <w:t xml:space="preserve">[50]</w:t>
        </w:r>
      </w:hyperlink>
      <w:r>
        <w:t xml:space="preserve"> </w:t>
      </w:r>
      <w:hyperlink r:id="rId79">
        <w:r>
          <w:rPr>
            <w:rStyle w:val="Hyperlink"/>
          </w:rPr>
          <w:t xml:space="preserve">[51]</w:t>
        </w:r>
      </w:hyperlink>
      <w:r>
        <w:t xml:space="preserve"> </w:t>
      </w:r>
      <w:hyperlink r:id="rId83">
        <w:r>
          <w:rPr>
            <w:rStyle w:val="Hyperlink"/>
          </w:rPr>
          <w:t xml:space="preserve">[53]</w:t>
        </w:r>
      </w:hyperlink>
      <w:r>
        <w:t xml:space="preserve"> </w:t>
      </w:r>
      <w:hyperlink r:id="rId88">
        <w:r>
          <w:rPr>
            <w:rStyle w:val="Hyperlink"/>
          </w:rPr>
          <w:t xml:space="preserve">[56]</w:t>
        </w:r>
      </w:hyperlink>
      <w:r>
        <w:t xml:space="preserve"> </w:t>
      </w:r>
      <w:hyperlink r:id="rId89">
        <w:r>
          <w:rPr>
            <w:rStyle w:val="Hyperlink"/>
          </w:rPr>
          <w:t xml:space="preserve">[57]</w:t>
        </w:r>
      </w:hyperlink>
      <w:r>
        <w:t xml:space="preserve"> </w:t>
      </w:r>
      <w:r>
        <w:t xml:space="preserve">checklist.md</w:t>
      </w:r>
    </w:p>
    <w:p>
      <w:pPr>
        <w:pStyle w:val="BodyText"/>
      </w:pPr>
      <w:hyperlink r:id="rId179">
        <w:r>
          <w:rPr>
            <w:rStyle w:val="Hyperlink"/>
          </w:rPr>
          <w:t xml:space="preserve">https://github.com/gentlyventures/harboragent/blob/b682af1a348e7b78b7c42a06483834f569a50bfa/packs/genesis/docs/checklist.md</w:t>
        </w:r>
      </w:hyperlink>
    </w:p>
    <w:p>
      <w:pPr>
        <w:pStyle w:val="BodyText"/>
      </w:pPr>
      <w:hyperlink r:id="rId90">
        <w:r>
          <w:rPr>
            <w:rStyle w:val="Hyperlink"/>
          </w:rPr>
          <w:t xml:space="preserve">[58]</w:t>
        </w:r>
      </w:hyperlink>
      <w:r>
        <w:t xml:space="preserve"> </w:t>
      </w:r>
      <w:hyperlink r:id="rId93">
        <w:r>
          <w:rPr>
            <w:rStyle w:val="Hyperlink"/>
          </w:rPr>
          <w:t xml:space="preserve">[59]</w:t>
        </w:r>
      </w:hyperlink>
      <w:r>
        <w:t xml:space="preserve"> </w:t>
      </w:r>
      <w:hyperlink r:id="rId94">
        <w:r>
          <w:rPr>
            <w:rStyle w:val="Hyperlink"/>
          </w:rPr>
          <w:t xml:space="preserve">[60]</w:t>
        </w:r>
      </w:hyperlink>
      <w:r>
        <w:t xml:space="preserve"> </w:t>
      </w:r>
      <w:hyperlink r:id="rId95">
        <w:r>
          <w:rPr>
            <w:rStyle w:val="Hyperlink"/>
          </w:rPr>
          <w:t xml:space="preserve">[61]</w:t>
        </w:r>
      </w:hyperlink>
      <w:r>
        <w:t xml:space="preserve"> </w:t>
      </w:r>
      <w:r>
        <w:t xml:space="preserve">gap-analysis.md</w:t>
      </w:r>
    </w:p>
    <w:p>
      <w:pPr>
        <w:pStyle w:val="BodyText"/>
      </w:pPr>
      <w:hyperlink r:id="rId180">
        <w:r>
          <w:rPr>
            <w:rStyle w:val="Hyperlink"/>
          </w:rPr>
          <w:t xml:space="preserve">https://github.com/gentlyventures/harboragent/blob/b682af1a348e7b78b7c42a06483834f569a50bfa/packs/genesis/docs/gap-analysis.md</w:t>
        </w:r>
      </w:hyperlink>
    </w:p>
    <w:p>
      <w:pPr>
        <w:pStyle w:val="BodyText"/>
      </w:pPr>
      <w:hyperlink r:id="rId97">
        <w:r>
          <w:rPr>
            <w:rStyle w:val="Hyperlink"/>
          </w:rPr>
          <w:t xml:space="preserve">[62]</w:t>
        </w:r>
      </w:hyperlink>
      <w:r>
        <w:t xml:space="preserve"> </w:t>
      </w:r>
      <w:hyperlink r:id="rId98">
        <w:r>
          <w:rPr>
            <w:rStyle w:val="Hyperlink"/>
          </w:rPr>
          <w:t xml:space="preserve">[63]</w:t>
        </w:r>
      </w:hyperlink>
      <w:r>
        <w:t xml:space="preserve"> </w:t>
      </w:r>
      <w:hyperlink r:id="rId100">
        <w:r>
          <w:rPr>
            <w:rStyle w:val="Hyperlink"/>
          </w:rPr>
          <w:t xml:space="preserve">[64]</w:t>
        </w:r>
      </w:hyperlink>
      <w:r>
        <w:t xml:space="preserve"> </w:t>
      </w:r>
      <w:hyperlink r:id="rId101">
        <w:r>
          <w:rPr>
            <w:rStyle w:val="Hyperlink"/>
          </w:rPr>
          <w:t xml:space="preserve">[65]</w:t>
        </w:r>
      </w:hyperlink>
      <w:r>
        <w:t xml:space="preserve"> </w:t>
      </w:r>
      <w:hyperlink r:id="rId102">
        <w:r>
          <w:rPr>
            <w:rStyle w:val="Hyperlink"/>
          </w:rPr>
          <w:t xml:space="preserve">[66]</w:t>
        </w:r>
      </w:hyperlink>
      <w:r>
        <w:t xml:space="preserve"> </w:t>
      </w:r>
      <w:hyperlink r:id="rId103">
        <w:r>
          <w:rPr>
            <w:rStyle w:val="Hyperlink"/>
          </w:rPr>
          <w:t xml:space="preserve">[67]</w:t>
        </w:r>
      </w:hyperlink>
      <w:r>
        <w:t xml:space="preserve"> </w:t>
      </w:r>
      <w:hyperlink r:id="rId104">
        <w:r>
          <w:rPr>
            <w:rStyle w:val="Hyperlink"/>
          </w:rPr>
          <w:t xml:space="preserve">[68]</w:t>
        </w:r>
      </w:hyperlink>
      <w:r>
        <w:t xml:space="preserve"> </w:t>
      </w:r>
      <w:hyperlink r:id="rId106">
        <w:r>
          <w:rPr>
            <w:rStyle w:val="Hyperlink"/>
          </w:rPr>
          <w:t xml:space="preserve">[69]</w:t>
        </w:r>
      </w:hyperlink>
      <w:r>
        <w:t xml:space="preserve"> </w:t>
      </w:r>
      <w:hyperlink r:id="rId107">
        <w:r>
          <w:rPr>
            <w:rStyle w:val="Hyperlink"/>
          </w:rPr>
          <w:t xml:space="preserve">[70]</w:t>
        </w:r>
      </w:hyperlink>
      <w:r>
        <w:t xml:space="preserve"> </w:t>
      </w:r>
      <w:hyperlink r:id="rId108">
        <w:r>
          <w:rPr>
            <w:rStyle w:val="Hyperlink"/>
          </w:rPr>
          <w:t xml:space="preserve">[71]</w:t>
        </w:r>
      </w:hyperlink>
      <w:r>
        <w:t xml:space="preserve"> </w:t>
      </w:r>
      <w:hyperlink r:id="rId109">
        <w:r>
          <w:rPr>
            <w:rStyle w:val="Hyperlink"/>
          </w:rPr>
          <w:t xml:space="preserve">[72]</w:t>
        </w:r>
      </w:hyperlink>
      <w:r>
        <w:t xml:space="preserve"> </w:t>
      </w:r>
      <w:hyperlink r:id="rId110">
        <w:r>
          <w:rPr>
            <w:rStyle w:val="Hyperlink"/>
          </w:rPr>
          <w:t xml:space="preserve">[73]</w:t>
        </w:r>
      </w:hyperlink>
      <w:r>
        <w:t xml:space="preserve"> </w:t>
      </w:r>
      <w:hyperlink r:id="rId112">
        <w:r>
          <w:rPr>
            <w:rStyle w:val="Hyperlink"/>
          </w:rPr>
          <w:t xml:space="preserve">[74]</w:t>
        </w:r>
      </w:hyperlink>
      <w:r>
        <w:t xml:space="preserve"> </w:t>
      </w:r>
      <w:hyperlink r:id="rId113">
        <w:r>
          <w:rPr>
            <w:rStyle w:val="Hyperlink"/>
          </w:rPr>
          <w:t xml:space="preserve">[75]</w:t>
        </w:r>
      </w:hyperlink>
      <w:r>
        <w:t xml:space="preserve"> </w:t>
      </w:r>
      <w:hyperlink r:id="rId114">
        <w:r>
          <w:rPr>
            <w:rStyle w:val="Hyperlink"/>
          </w:rPr>
          <w:t xml:space="preserve">[76]</w:t>
        </w:r>
      </w:hyperlink>
      <w:r>
        <w:t xml:space="preserve"> </w:t>
      </w:r>
      <w:hyperlink r:id="rId115">
        <w:r>
          <w:rPr>
            <w:rStyle w:val="Hyperlink"/>
          </w:rPr>
          <w:t xml:space="preserve">[77]</w:t>
        </w:r>
      </w:hyperlink>
      <w:r>
        <w:t xml:space="preserve"> </w:t>
      </w:r>
      <w:hyperlink r:id="rId116">
        <w:r>
          <w:rPr>
            <w:rStyle w:val="Hyperlink"/>
          </w:rPr>
          <w:t xml:space="preserve">[78]</w:t>
        </w:r>
      </w:hyperlink>
      <w:r>
        <w:t xml:space="preserve"> </w:t>
      </w:r>
      <w:hyperlink r:id="rId118">
        <w:r>
          <w:rPr>
            <w:rStyle w:val="Hyperlink"/>
          </w:rPr>
          <w:t xml:space="preserve">[79]</w:t>
        </w:r>
      </w:hyperlink>
      <w:r>
        <w:t xml:space="preserve"> </w:t>
      </w:r>
      <w:hyperlink r:id="rId120">
        <w:r>
          <w:rPr>
            <w:rStyle w:val="Hyperlink"/>
          </w:rPr>
          <w:t xml:space="preserve">[80]</w:t>
        </w:r>
      </w:hyperlink>
      <w:r>
        <w:t xml:space="preserve"> </w:t>
      </w:r>
      <w:r>
        <w:t xml:space="preserve">roadmap.md</w:t>
      </w:r>
    </w:p>
    <w:p>
      <w:pPr>
        <w:pStyle w:val="BodyText"/>
      </w:pPr>
      <w:hyperlink r:id="rId181">
        <w:r>
          <w:rPr>
            <w:rStyle w:val="Hyperlink"/>
          </w:rPr>
          <w:t xml:space="preserve">https://github.com/gentlyventures/harboragent/blob/b682af1a348e7b78b7c42a06483834f569a50bfa/packs/genesis/docs/roadmap.md</w:t>
        </w:r>
      </w:hyperlink>
    </w:p>
    <w:p>
      <w:pPr>
        <w:pStyle w:val="BodyText"/>
      </w:pPr>
      <w:hyperlink r:id="rId153">
        <w:r>
          <w:rPr>
            <w:rStyle w:val="Hyperlink"/>
          </w:rPr>
          <w:t xml:space="preserve">[100]</w:t>
        </w:r>
      </w:hyperlink>
      <w:r>
        <w:t xml:space="preserve"> </w:t>
      </w:r>
      <w:r>
        <w:t xml:space="preserve">technical-overview.md</w:t>
      </w:r>
    </w:p>
    <w:p>
      <w:pPr>
        <w:pStyle w:val="BodyText"/>
      </w:pPr>
      <w:hyperlink r:id="rId182">
        <w:r>
          <w:rPr>
            <w:rStyle w:val="Hyperlink"/>
          </w:rPr>
          <w:t xml:space="preserve">https://github.com/gentlyventures/harboragent/blob/b682af1a348e7b78b7c42a06483834f569a50bfa/packs/genesis/docs/technical-overview.md</w:t>
        </w:r>
      </w:hyperlink>
    </w:p>
    <w:bookmarkEnd w:id="18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79" Target="https://github.com/gentlyventures/harboragent/blob/b682af1a348e7b78b7c42a06483834f569a50bfa/packs/genesis/docs/checklist.md" TargetMode="External" /><Relationship Type="http://schemas.openxmlformats.org/officeDocument/2006/relationships/hyperlink" Id="rId89" Target="https://github.com/gentlyventures/harboragent/blob/b682af1a348e7b78b7c42a06483834f569a50bfa/packs/genesis/docs/checklist.md#L127-L135" TargetMode="External" /><Relationship Type="http://schemas.openxmlformats.org/officeDocument/2006/relationships/hyperlink" Id="rId88" Target="https://github.com/gentlyventures/harboragent/blob/b682af1a348e7b78b7c42a06483834f569a50bfa/packs/genesis/docs/checklist.md#L129-L137" TargetMode="External" /><Relationship Type="http://schemas.openxmlformats.org/officeDocument/2006/relationships/hyperlink" Id="rId73" Target="https://github.com/gentlyventures/harboragent/blob/b682af1a348e7b78b7c42a06483834f569a50bfa/packs/genesis/docs/checklist.md#L23-L31" TargetMode="External" /><Relationship Type="http://schemas.openxmlformats.org/officeDocument/2006/relationships/hyperlink" Id="rId74" Target="https://github.com/gentlyventures/harboragent/blob/b682af1a348e7b78b7c42a06483834f569a50bfa/packs/genesis/docs/checklist.md#L25-L28" TargetMode="External" /><Relationship Type="http://schemas.openxmlformats.org/officeDocument/2006/relationships/hyperlink" Id="rId75" Target="https://github.com/gentlyventures/harboragent/blob/b682af1a348e7b78b7c42a06483834f569a50bfa/packs/genesis/docs/checklist.md#L27-L34" TargetMode="External" /><Relationship Type="http://schemas.openxmlformats.org/officeDocument/2006/relationships/hyperlink" Id="rId76" Target="https://github.com/gentlyventures/harboragent/blob/b682af1a348e7b78b7c42a06483834f569a50bfa/packs/genesis/docs/checklist.md#L33-L40" TargetMode="External" /><Relationship Type="http://schemas.openxmlformats.org/officeDocument/2006/relationships/hyperlink" Id="rId78" Target="https://github.com/gentlyventures/harboragent/blob/b682af1a348e7b78b7c42a06483834f569a50bfa/packs/genesis/docs/checklist.md#L41-L48" TargetMode="External" /><Relationship Type="http://schemas.openxmlformats.org/officeDocument/2006/relationships/hyperlink" Id="rId79" Target="https://github.com/gentlyventures/harboragent/blob/b682af1a348e7b78b7c42a06483834f569a50bfa/packs/genesis/docs/checklist.md#L43-L48" TargetMode="External" /><Relationship Type="http://schemas.openxmlformats.org/officeDocument/2006/relationships/hyperlink" Id="rId83" Target="https://github.com/gentlyventures/harboragent/blob/b682af1a348e7b78b7c42a06483834f569a50bfa/packs/genesis/docs/checklist.md#L85-L93" TargetMode="External" /><Relationship Type="http://schemas.openxmlformats.org/officeDocument/2006/relationships/hyperlink" Id="rId180" Target="https://github.com/gentlyventures/harboragent/blob/b682af1a348e7b78b7c42a06483834f569a50bfa/packs/genesis/docs/gap-analysis.md" TargetMode="External" /><Relationship Type="http://schemas.openxmlformats.org/officeDocument/2006/relationships/hyperlink" Id="rId90" Target="https://github.com/gentlyventures/harboragent/blob/b682af1a348e7b78b7c42a06483834f569a50bfa/packs/genesis/docs/gap-analysis.md#L139-L148" TargetMode="External" /><Relationship Type="http://schemas.openxmlformats.org/officeDocument/2006/relationships/hyperlink" Id="rId94" Target="https://github.com/gentlyventures/harboragent/blob/b682af1a348e7b78b7c42a06483834f569a50bfa/packs/genesis/docs/gap-analysis.md#L153-L162" TargetMode="External" /><Relationship Type="http://schemas.openxmlformats.org/officeDocument/2006/relationships/hyperlink" Id="rId95" Target="https://github.com/gentlyventures/harboragent/blob/b682af1a348e7b78b7c42a06483834f569a50bfa/packs/genesis/docs/gap-analysis.md#L163-L171" TargetMode="External" /><Relationship Type="http://schemas.openxmlformats.org/officeDocument/2006/relationships/hyperlink" Id="rId93" Target="https://github.com/gentlyventures/harboragent/blob/b682af1a348e7b78b7c42a06483834f569a50bfa/packs/genesis/docs/gap-analysis.md#L19-L27" TargetMode="External" /><Relationship Type="http://schemas.openxmlformats.org/officeDocument/2006/relationships/hyperlink" Id="rId181" Target="https://github.com/gentlyventures/harboragent/blob/b682af1a348e7b78b7c42a06483834f569a50bfa/packs/genesis/docs/roadmap.md" TargetMode="External" /><Relationship Type="http://schemas.openxmlformats.org/officeDocument/2006/relationships/hyperlink" Id="rId106" Target="https://github.com/gentlyventures/harboragent/blob/b682af1a348e7b78b7c42a06483834f569a50bfa/packs/genesis/docs/roadmap.md#L101-L109" TargetMode="External" /><Relationship Type="http://schemas.openxmlformats.org/officeDocument/2006/relationships/hyperlink" Id="rId107" Target="https://github.com/gentlyventures/harboragent/blob/b682af1a348e7b78b7c42a06483834f569a50bfa/packs/genesis/docs/roadmap.md#L111-L119" TargetMode="External" /><Relationship Type="http://schemas.openxmlformats.org/officeDocument/2006/relationships/hyperlink" Id="rId108" Target="https://github.com/gentlyventures/harboragent/blob/b682af1a348e7b78b7c42a06483834f569a50bfa/packs/genesis/docs/roadmap.md#L119-L127" TargetMode="External" /><Relationship Type="http://schemas.openxmlformats.org/officeDocument/2006/relationships/hyperlink" Id="rId109" Target="https://github.com/gentlyventures/harboragent/blob/b682af1a348e7b78b7c42a06483834f569a50bfa/packs/genesis/docs/roadmap.md#L125-L131" TargetMode="External" /><Relationship Type="http://schemas.openxmlformats.org/officeDocument/2006/relationships/hyperlink" Id="rId110" Target="https://github.com/gentlyventures/harboragent/blob/b682af1a348e7b78b7c42a06483834f569a50bfa/packs/genesis/docs/roadmap.md#L131-L135" TargetMode="External" /><Relationship Type="http://schemas.openxmlformats.org/officeDocument/2006/relationships/hyperlink" Id="rId116" Target="https://github.com/gentlyventures/harboragent/blob/b682af1a348e7b78b7c42a06483834f569a50bfa/packs/genesis/docs/roadmap.md#L133-L141" TargetMode="External" /><Relationship Type="http://schemas.openxmlformats.org/officeDocument/2006/relationships/hyperlink" Id="rId112" Target="https://github.com/gentlyventures/harboragent/blob/b682af1a348e7b78b7c42a06483834f569a50bfa/packs/genesis/docs/roadmap.md#L149-L157" TargetMode="External" /><Relationship Type="http://schemas.openxmlformats.org/officeDocument/2006/relationships/hyperlink" Id="rId113" Target="https://github.com/gentlyventures/harboragent/blob/b682af1a348e7b78b7c42a06483834f569a50bfa/packs/genesis/docs/roadmap.md#L157-L164" TargetMode="External" /><Relationship Type="http://schemas.openxmlformats.org/officeDocument/2006/relationships/hyperlink" Id="rId114" Target="https://github.com/gentlyventures/harboragent/blob/b682af1a348e7b78b7c42a06483834f569a50bfa/packs/genesis/docs/roadmap.md#L165-L171" TargetMode="External" /><Relationship Type="http://schemas.openxmlformats.org/officeDocument/2006/relationships/hyperlink" Id="rId115" Target="https://github.com/gentlyventures/harboragent/blob/b682af1a348e7b78b7c42a06483834f569a50bfa/packs/genesis/docs/roadmap.md#L171-L179" TargetMode="External" /><Relationship Type="http://schemas.openxmlformats.org/officeDocument/2006/relationships/hyperlink" Id="rId118" Target="https://github.com/gentlyventures/harboragent/blob/b682af1a348e7b78b7c42a06483834f569a50bfa/packs/genesis/docs/roadmap.md#L194-L203" TargetMode="External" /><Relationship Type="http://schemas.openxmlformats.org/officeDocument/2006/relationships/hyperlink" Id="rId97" Target="https://github.com/gentlyventures/harboragent/blob/b682af1a348e7b78b7c42a06483834f569a50bfa/packs/genesis/docs/roadmap.md#L21-L29" TargetMode="External" /><Relationship Type="http://schemas.openxmlformats.org/officeDocument/2006/relationships/hyperlink" Id="rId120" Target="https://github.com/gentlyventures/harboragent/blob/b682af1a348e7b78b7c42a06483834f569a50bfa/packs/genesis/docs/roadmap.md#L213-L219" TargetMode="External" /><Relationship Type="http://schemas.openxmlformats.org/officeDocument/2006/relationships/hyperlink" Id="rId98" Target="https://github.com/gentlyventures/harboragent/blob/b682af1a348e7b78b7c42a06483834f569a50bfa/packs/genesis/docs/roadmap.md#L25-L33" TargetMode="External" /><Relationship Type="http://schemas.openxmlformats.org/officeDocument/2006/relationships/hyperlink" Id="rId104" Target="https://github.com/gentlyventures/harboragent/blob/b682af1a348e7b78b7c42a06483834f569a50bfa/packs/genesis/docs/roadmap.md#L31-L39" TargetMode="External" /><Relationship Type="http://schemas.openxmlformats.org/officeDocument/2006/relationships/hyperlink" Id="rId100" Target="https://github.com/gentlyventures/harboragent/blob/b682af1a348e7b78b7c42a06483834f569a50bfa/packs/genesis/docs/roadmap.md#L49-L57" TargetMode="External" /><Relationship Type="http://schemas.openxmlformats.org/officeDocument/2006/relationships/hyperlink" Id="rId101" Target="https://github.com/gentlyventures/harboragent/blob/b682af1a348e7b78b7c42a06483834f569a50bfa/packs/genesis/docs/roadmap.md#L59-L67" TargetMode="External" /><Relationship Type="http://schemas.openxmlformats.org/officeDocument/2006/relationships/hyperlink" Id="rId102" Target="https://github.com/gentlyventures/harboragent/blob/b682af1a348e7b78b7c42a06483834f569a50bfa/packs/genesis/docs/roadmap.md#L71-L79" TargetMode="External" /><Relationship Type="http://schemas.openxmlformats.org/officeDocument/2006/relationships/hyperlink" Id="rId103" Target="https://github.com/gentlyventures/harboragent/blob/b682af1a348e7b78b7c42a06483834f569a50bfa/packs/genesis/docs/roadmap.md#L77-L81" TargetMode="External" /><Relationship Type="http://schemas.openxmlformats.org/officeDocument/2006/relationships/hyperlink" Id="rId177" Target="https://github.com/gentlyventures/harboragent/blob/b682af1a348e7b78b7c42a06483834f569a50bfa/packs/genesis/docs/security-guidance.md" TargetMode="External" /><Relationship Type="http://schemas.openxmlformats.org/officeDocument/2006/relationships/hyperlink" Id="rId63" Target="https://github.com/gentlyventures/harboragent/blob/b682af1a348e7b78b7c42a06483834f569a50bfa/packs/genesis/docs/security-guidance.md#L115-L123" TargetMode="External" /><Relationship Type="http://schemas.openxmlformats.org/officeDocument/2006/relationships/hyperlink" Id="rId65" Target="https://github.com/gentlyventures/harboragent/blob/b682af1a348e7b78b7c42a06483834f569a50bfa/packs/genesis/docs/security-guidance.md#L117-L125" TargetMode="External" /><Relationship Type="http://schemas.openxmlformats.org/officeDocument/2006/relationships/hyperlink" Id="rId66" Target="https://github.com/gentlyventures/harboragent/blob/b682af1a348e7b78b7c42a06483834f569a50bfa/packs/genesis/docs/security-guidance.md#L123-L131" TargetMode="External" /><Relationship Type="http://schemas.openxmlformats.org/officeDocument/2006/relationships/hyperlink" Id="rId138" Target="https://github.com/gentlyventures/harboragent/blob/b682af1a348e7b78b7c42a06483834f569a50bfa/packs/genesis/docs/security-guidance.md#L131-L139" TargetMode="External" /><Relationship Type="http://schemas.openxmlformats.org/officeDocument/2006/relationships/hyperlink" Id="rId139" Target="https://github.com/gentlyventures/harboragent/blob/b682af1a348e7b78b7c42a06483834f569a50bfa/packs/genesis/docs/security-guidance.md#L141-L149" TargetMode="External" /><Relationship Type="http://schemas.openxmlformats.org/officeDocument/2006/relationships/hyperlink" Id="rId140" Target="https://github.com/gentlyventures/harboragent/blob/b682af1a348e7b78b7c42a06483834f569a50bfa/packs/genesis/docs/security-guidance.md#L143-L151" TargetMode="External" /><Relationship Type="http://schemas.openxmlformats.org/officeDocument/2006/relationships/hyperlink" Id="rId134" Target="https://github.com/gentlyventures/harboragent/blob/b682af1a348e7b78b7c42a06483834f569a50bfa/packs/genesis/docs/security-guidance.md#L155-L163" TargetMode="External" /><Relationship Type="http://schemas.openxmlformats.org/officeDocument/2006/relationships/hyperlink" Id="rId141" Target="https://github.com/gentlyventures/harboragent/blob/b682af1a348e7b78b7c42a06483834f569a50bfa/packs/genesis/docs/security-guidance.md#L166-L174" TargetMode="External" /><Relationship Type="http://schemas.openxmlformats.org/officeDocument/2006/relationships/hyperlink" Id="rId85" Target="https://github.com/gentlyventures/harboragent/blob/b682af1a348e7b78b7c42a06483834f569a50bfa/packs/genesis/docs/security-guidance.md#L190-L199" TargetMode="External" /><Relationship Type="http://schemas.openxmlformats.org/officeDocument/2006/relationships/hyperlink" Id="rId86" Target="https://github.com/gentlyventures/harboragent/blob/b682af1a348e7b78b7c42a06483834f569a50bfa/packs/genesis/docs/security-guidance.md#L210-L219" TargetMode="External" /><Relationship Type="http://schemas.openxmlformats.org/officeDocument/2006/relationships/hyperlink" Id="rId136" Target="https://github.com/gentlyventures/harboragent/blob/b682af1a348e7b78b7c42a06483834f569a50bfa/packs/genesis/docs/security-guidance.md#L227-L231" TargetMode="External" /><Relationship Type="http://schemas.openxmlformats.org/officeDocument/2006/relationships/hyperlink" Id="rId126" Target="https://github.com/gentlyventures/harboragent/blob/b682af1a348e7b78b7c42a06483834f569a50bfa/packs/genesis/docs/security-guidance.md#L29-L37" TargetMode="External" /><Relationship Type="http://schemas.openxmlformats.org/officeDocument/2006/relationships/hyperlink" Id="rId58" Target="https://github.com/gentlyventures/harboragent/blob/b682af1a348e7b78b7c42a06483834f569a50bfa/packs/genesis/docs/security-guidance.md#L33-L41" TargetMode="External" /><Relationship Type="http://schemas.openxmlformats.org/officeDocument/2006/relationships/hyperlink" Id="rId127" Target="https://github.com/gentlyventures/harboragent/blob/b682af1a348e7b78b7c42a06483834f569a50bfa/packs/genesis/docs/security-guidance.md#L39-L47" TargetMode="External" /><Relationship Type="http://schemas.openxmlformats.org/officeDocument/2006/relationships/hyperlink" Id="rId77" Target="https://github.com/gentlyventures/harboragent/blob/b682af1a348e7b78b7c42a06483834f569a50bfa/packs/genesis/docs/security-guidance.md#L43-L51" TargetMode="External" /><Relationship Type="http://schemas.openxmlformats.org/officeDocument/2006/relationships/hyperlink" Id="rId128" Target="https://github.com/gentlyventures/harboragent/blob/b682af1a348e7b78b7c42a06483834f569a50bfa/packs/genesis/docs/security-guidance.md#L49-L57" TargetMode="External" /><Relationship Type="http://schemas.openxmlformats.org/officeDocument/2006/relationships/hyperlink" Id="rId129" Target="https://github.com/gentlyventures/harboragent/blob/b682af1a348e7b78b7c42a06483834f569a50bfa/packs/genesis/docs/security-guidance.md#L53-L61" TargetMode="External" /><Relationship Type="http://schemas.openxmlformats.org/officeDocument/2006/relationships/hyperlink" Id="rId131" Target="https://github.com/gentlyventures/harboragent/blob/b682af1a348e7b78b7c42a06483834f569a50bfa/packs/genesis/docs/security-guidance.md#L75-L83" TargetMode="External" /><Relationship Type="http://schemas.openxmlformats.org/officeDocument/2006/relationships/hyperlink" Id="rId132" Target="https://github.com/gentlyventures/harboragent/blob/b682af1a348e7b78b7c42a06483834f569a50bfa/packs/genesis/docs/security-guidance.md#L83-L91" TargetMode="External" /><Relationship Type="http://schemas.openxmlformats.org/officeDocument/2006/relationships/hyperlink" Id="rId133" Target="https://github.com/gentlyventures/harboragent/blob/b682af1a348e7b78b7c42a06483834f569a50bfa/packs/genesis/docs/security-guidance.md#L89-L97" TargetMode="External" /><Relationship Type="http://schemas.openxmlformats.org/officeDocument/2006/relationships/hyperlink" Id="rId60" Target="https://github.com/gentlyventures/harboragent/blob/b682af1a348e7b78b7c42a06483834f569a50bfa/packs/genesis/docs/security-guidance.md#L99-L107" TargetMode="External" /><Relationship Type="http://schemas.openxmlformats.org/officeDocument/2006/relationships/hyperlink" Id="rId182" Target="https://github.com/gentlyventures/harboragent/blob/b682af1a348e7b78b7c42a06483834f569a50bfa/packs/genesis/docs/technical-overview.md" TargetMode="External" /><Relationship Type="http://schemas.openxmlformats.org/officeDocument/2006/relationships/hyperlink" Id="rId153" Target="https://github.com/gentlyventures/harboragent/blob/b682af1a348e7b78b7c42a06483834f569a50bfa/packs/genesis/docs/technical-overview.md#L93-L101" TargetMode="External" /><Relationship Type="http://schemas.openxmlformats.org/officeDocument/2006/relationships/hyperlink" Id="rId178" Target="https://go.gale.com/ps/i.do?id=GALE%7CA837171634&amp;sid=sitemap&amp;v=2.1&amp;it=r&amp;p=AONE&amp;sw=w" TargetMode="External" /><Relationship Type="http://schemas.openxmlformats.org/officeDocument/2006/relationships/hyperlink" Id="rId67" Target="https://go.gale.com/ps/i.do?id=GALE%7CA837171634&amp;sid=sitemap&amp;v=2.1&amp;it=r&amp;p=AONE&amp;sw=w#:~:text=Gale%20go,to%20deliver%20services%20and" TargetMode="External" /><Relationship Type="http://schemas.openxmlformats.org/officeDocument/2006/relationships/hyperlink" Id="rId171" Target="https://tax.thomsonreuters.com/blog/ai-for-tax-professionals-a-guide/" TargetMode="External" /><Relationship Type="http://schemas.openxmlformats.org/officeDocument/2006/relationships/hyperlink" Id="rId36" Target="https://tax.thomsonreuters.com/blog/ai-for-tax-professionals-a-guide/#:~:text=,Department%20of%20Labor%20promulgated%20a" TargetMode="External" /><Relationship Type="http://schemas.openxmlformats.org/officeDocument/2006/relationships/hyperlink" Id="rId22" Target="https://tax.thomsonreuters.com/blog/ai-for-tax-professionals-a-guide/#:~:text=,client%20satisfaction%20and%20operational%20performance" TargetMode="External" /><Relationship Type="http://schemas.openxmlformats.org/officeDocument/2006/relationships/hyperlink" Id="rId39" Target="https://tax.thomsonreuters.com/blog/ai-for-tax-professionals-a-guide/#:~:text=,tax%20planning%20or%20compliance%20advice" TargetMode="External" /><Relationship Type="http://schemas.openxmlformats.org/officeDocument/2006/relationships/hyperlink" Id="rId124" Target="https://tax.thomsonreuters.com/blog/ai-for-tax-professionals-a-guide/#:~:text=,these%20practices%3A%20Maintain%20human%20oversight" TargetMode="External" /><Relationship Type="http://schemas.openxmlformats.org/officeDocument/2006/relationships/hyperlink" Id="rId55" Target="https://tax.thomsonreuters.com/blog/ai-for-tax-professionals-a-guide/#:~:text=AI%20adoption%20is%20accelerating%20rapidly,Report%20from%20Thomson%20Reuters%20Institute" TargetMode="External" /><Relationship Type="http://schemas.openxmlformats.org/officeDocument/2006/relationships/hyperlink" Id="rId121" Target="https://tax.thomsonreuters.com/blog/ai-for-tax-professionals-a-guide/#:~:text=Adopting%20AI%20for%20the%20future" TargetMode="External" /><Relationship Type="http://schemas.openxmlformats.org/officeDocument/2006/relationships/hyperlink" Id="rId47" Target="https://tax.thomsonreuters.com/blog/ai-for-tax-professionals-a-guide/#:~:text=An%20AI%20tool%20that%20can,specific%20use%20cases" TargetMode="External" /><Relationship Type="http://schemas.openxmlformats.org/officeDocument/2006/relationships/hyperlink" Id="rId56" Target="https://tax.thomsonreuters.com/blog/ai-for-tax-professionals-a-guide/#:~:text=First%2C%20let%E2%80%99s%20look%20at%20the,money%20in%20more%20ways%20than" TargetMode="External" /><Relationship Type="http://schemas.openxmlformats.org/officeDocument/2006/relationships/hyperlink" Id="rId32" Target="https://tax.thomsonreuters.com/blog/ai-for-tax-professionals-a-guide/#:~:text=Given%20their%20need%20for%20scrupulous,both%20themselves%20and%20their%20clients" TargetMode="External" /><Relationship Type="http://schemas.openxmlformats.org/officeDocument/2006/relationships/hyperlink" Id="rId28" Target="https://tax.thomsonreuters.com/blog/ai-for-tax-professionals-a-guide/#:~:text=It%E2%80%99s%20no%20surprise%2C%20then%2C%20that,compliance%20issues%20without%20their%20oversight" TargetMode="External" /><Relationship Type="http://schemas.openxmlformats.org/officeDocument/2006/relationships/hyperlink" Id="rId33" Target="https://tax.thomsonreuters.com/blog/ai-for-tax-professionals-a-guide/#:~:text=Professionals%20can%20help%20reduce%20their,developments%20such%20as%20agentic%20AI" TargetMode="External" /><Relationship Type="http://schemas.openxmlformats.org/officeDocument/2006/relationships/hyperlink" Id="rId31" Target="https://tax.thomsonreuters.com/blog/ai-for-tax-professionals-a-guide/#:~:text=Tax%20season%20is%20an%20appropriate,have%20about%20this%20evolving%20technology" TargetMode="External" /><Relationship Type="http://schemas.openxmlformats.org/officeDocument/2006/relationships/hyperlink" Id="rId25" Target="https://tax.thomsonreuters.com/blog/ai-for-tax-professionals-a-guide/#:~:text=The%20tax%2C%20accounting%2C%20legal%2C%20and,of%20their%20top%20ethical%20concerns" TargetMode="External" /><Relationship Type="http://schemas.openxmlformats.org/officeDocument/2006/relationships/hyperlink" Id="rId29" Target="https://tax.thomsonreuters.com/blog/ai-for-tax-professionals-a-guide/#:~:text=allocation%2C%20and%20data%20source%20transparency,tax%20planning%20or%20compliance%20advice" TargetMode="External" /><Relationship Type="http://schemas.openxmlformats.org/officeDocument/2006/relationships/hyperlink" Id="rId27" Target="https://tax.thomsonreuters.com/blog/ai-for-tax-professionals-a-guide/#:~:text=themselves%20and%20their%20clients" TargetMode="External" /><Relationship Type="http://schemas.openxmlformats.org/officeDocument/2006/relationships/hyperlink" Id="rId174" Target="https://www.cpa.com/news/cpacom-issues-2025-ai-accounting-report" TargetMode="External" /><Relationship Type="http://schemas.openxmlformats.org/officeDocument/2006/relationships/hyperlink" Id="rId147" Target="https://www.cpa.com/news/cpacom-issues-2025-ai-accounting-report#:~:text=%E2%80%9CAI%20is%20not%20going%20to,%E2%80%9D" TargetMode="External" /><Relationship Type="http://schemas.openxmlformats.org/officeDocument/2006/relationships/hyperlink" Id="rId37" Target="https://www.cpa.com/news/cpacom-issues-2025-ai-accounting-report#:~:text=,and%20agentic%20AI%20to%20audit" TargetMode="External" /><Relationship Type="http://schemas.openxmlformats.org/officeDocument/2006/relationships/hyperlink" Id="rId38" Target="https://www.cpa.com/news/cpacom-issues-2025-ai-accounting-report#:~:text=,development%20of%20new%20workforce%20models" TargetMode="External" /><Relationship Type="http://schemas.openxmlformats.org/officeDocument/2006/relationships/hyperlink" Id="rId176" Target="https://www.taxgpt.com/taxgpt-insights/guide-to-tax-practice-automation" TargetMode="External" /><Relationship Type="http://schemas.openxmlformats.org/officeDocument/2006/relationships/hyperlink" Id="rId52" Target="https://www.taxgpt.com/taxgpt-insights/guide-to-tax-practice-automation#:~:text=,Automation%20highlights%20significant%20deviations%2C%20prompting" TargetMode="External" /><Relationship Type="http://schemas.openxmlformats.org/officeDocument/2006/relationships/hyperlink" Id="rId42" Target="https://www.taxgpt.com/taxgpt-insights/guide-to-tax-practice-automation#:~:text=,Historical%20Comparison%20Analysis" TargetMode="External" /><Relationship Type="http://schemas.openxmlformats.org/officeDocument/2006/relationships/hyperlink" Id="rId161" Target="https://www.taxgpt.com/taxgpt-insights/guide-to-tax-practice-automation#:~:text=,Jurisdictional%20Analysis" TargetMode="External" /><Relationship Type="http://schemas.openxmlformats.org/officeDocument/2006/relationships/hyperlink" Id="rId54" Target="https://www.taxgpt.com/taxgpt-insights/guide-to-tax-practice-automation#:~:text=,Regulatory%20Requirement%20Tracking" TargetMode="External" /><Relationship Type="http://schemas.openxmlformats.org/officeDocument/2006/relationships/hyperlink" Id="rId46" Target="https://www.taxgpt.com/taxgpt-insights/guide-to-tax-practice-automation#:~:text=,added%20value%20to%20their%20clients" TargetMode="External" /><Relationship Type="http://schemas.openxmlformats.org/officeDocument/2006/relationships/hyperlink" Id="rId41" Target="https://www.taxgpt.com/taxgpt-insights/guide-to-tax-practice-automation#:~:text=,address%20issues%20before%20they%20escalate" TargetMode="External" /><Relationship Type="http://schemas.openxmlformats.org/officeDocument/2006/relationships/hyperlink" Id="rId50" Target="https://www.taxgpt.com/taxgpt-insights/guide-to-tax-practice-automation#:~:text=,concern%20slips%20through%20the%20cracks" TargetMode="External" /><Relationship Type="http://schemas.openxmlformats.org/officeDocument/2006/relationships/hyperlink" Id="rId48" Target="https://www.taxgpt.com/taxgpt-insights/guide-to-tax-practice-automation#:~:text=,guide%20clients%20through%20intricate%20decisions" TargetMode="External" /><Relationship Type="http://schemas.openxmlformats.org/officeDocument/2006/relationships/hyperlink" Id="rId175" Target="https://www.taxgpt.com/taxgpt-insights/guide-to-tax-practice-automation#:~:text=Automation%20tools%20bring%20an%20analytical,edge%20to%20risk%20assessment" TargetMode="External" /><Relationship Type="http://schemas.openxmlformats.org/officeDocument/2006/relationships/hyperlink" Id="rId45" Target="https://www.taxgpt.com/taxgpt-insights/guide-to-tax-practice-automation#:~:text=Here%20are%20some%20areas%20of,research%20where%20TaxGPT%20excels" TargetMode="External" /><Relationship Type="http://schemas.openxmlformats.org/officeDocument/2006/relationships/hyperlink" Id="rId160" Target="https://www.taxgpt.com/taxgpt-insights/guide-to-tax-practice-automation#:~:text=Modern%20tax%20practices%20require%20precision%2C,streamline%20and%20elevate%20research%20processes" TargetMode="External" /><Relationship Type="http://schemas.openxmlformats.org/officeDocument/2006/relationships/hyperlink" Id="rId51" Target="https://www.taxgpt.com/taxgpt-insights/guide-to-tax-practice-automation#:~:text=Returns%20filed%20in%20previous%20years,With" TargetMode="External" /><Relationship Type="http://schemas.openxmlformats.org/officeDocument/2006/relationships/hyperlink" Id="rId49" Target="https://www.taxgpt.com/taxgpt-insights/guide-to-tax-practice-automation#:~:text=Template" TargetMode="External" /><Relationship Type="http://schemas.openxmlformats.org/officeDocument/2006/relationships/hyperlink" Id="rId44" Target="https://www.taxgpt.com/taxgpt-insights/guide-to-tax-practice-automation#:~:text=an%20edge%20in%20keeping%20clients,help%20professionals%20navigate%20complex%20situations" TargetMode="External" /><Relationship Type="http://schemas.openxmlformats.org/officeDocument/2006/relationships/hyperlink" Id="rId162" Target="https://www.taxgpt.com/taxgpt-insights/guide-to-tax-practice-automation#:~:text=appropriate%20channel.%20,concern%20slips%20through%20the%20cracks" TargetMode="External" /><Relationship Type="http://schemas.openxmlformats.org/officeDocument/2006/relationships/hyperlink" Id="rId43" Target="https://www.taxgpt.com/taxgpt-insights/guide-to-tax-practice-automation#:~:text=authoritative%20citations,world%2C%20multinational%20entities%E2%80%94or%20even%20smaller" TargetMode="External" /><Relationship Type="http://schemas.openxmlformats.org/officeDocument/2006/relationships/hyperlink" Id="rId163" Target="https://www.taxgpt.com/taxgpt-insights/guide-to-tax-practice-automation#:~:text=been%20a%20tedious%2C%20manual%20process,tools%20to%20revolutionize%20document%20handling" TargetMode="External" /><Relationship Type="http://schemas.openxmlformats.org/officeDocument/2006/relationships/hyperlink" Id="rId150" Target="https://www.taxgpt.com/taxgpt-insights/guide-to-tax-practice-automation#:~:text=discrepancies%20that%20need%20further%20investigation,prioritize%20and%20resolve%20problems%20promptly" TargetMode="External" /><Relationship Type="http://schemas.openxmlformats.org/officeDocument/2006/relationships/hyperlink" Id="rId164" Target="https://www.taxgpt.com/taxgpt-insights/guide-to-tax-practice-automation#:~:text=spike%20in%20deductions%2C%20TaxGPT%20flags,chance%20that%20overlooked%20rule%20changes" TargetMode="External" /><Relationship Type="http://schemas.openxmlformats.org/officeDocument/2006/relationships/hyperlink" Id="rId53" Target="https://www.taxgpt.com/taxgpt-insights/guide-to-tax-practice-automation#:~:text=up%20advisory%20decisions.%20,added%20value%20to%20their%20clients" TargetMode="External" /><Relationship Type="http://schemas.openxmlformats.org/officeDocument/2006/relationships/hyperlink" Id="rId173" Target="https://www.thetaxadviser.com/issues/2024/feb/tax-ethics-and-use-of-generative-ai-systems/" TargetMode="External" /><Relationship Type="http://schemas.openxmlformats.org/officeDocument/2006/relationships/hyperlink" Id="rId68" Target="https://www.thetaxadviser.com/issues/2024/feb/tax-ethics-and-use-of-generative-ai-systems/#:~:text=Note%20also%20that%20Circular%20230,%E2%80%9D" TargetMode="External" /><Relationship Type="http://schemas.openxmlformats.org/officeDocument/2006/relationships/hyperlink" Id="rId35" Target="https://www.thetaxadviser.com/issues/2024/feb/tax-ethics-and-use-of-generative-ai-systems/#:~:text=SSTS%20Section%201,mechanical%2C%20technical%2C%20and%20signer%2Fpartner%20review" TargetMode="External" /><Relationship Type="http://schemas.openxmlformats.org/officeDocument/2006/relationships/hyperlink" Id="rId172" Target="https://www.tx.cpa/news-publications/todays-cpa-magazine/issues/article/march-april-2025/2025/06/09/assessing-ai-from-a-tax-perspective--part-2" TargetMode="External" /><Relationship Type="http://schemas.openxmlformats.org/officeDocument/2006/relationships/hyperlink" Id="rId24" Target="https://www.tx.cpa/news-publications/todays-cpa-magazine/issues/article/march-april-2025/2025/06/09/assessing-ai-from-a-tax-perspective--part-2#:~:text=AI%E2%80%99s%20current%20limitations%20can%20result,their%20clients%20or%20the%20IRS" TargetMode="External" /><Relationship Type="http://schemas.openxmlformats.org/officeDocument/2006/relationships/hyperlink" Id="rId26" Target="https://www.tx.cpa/news-publications/todays-cpa-magazine/issues/article/march-april-2025/2025/06/09/assessing-ai-from-a-tax-perspective--part-2#:~:text=Additionally%2C%20Circular%20230%20requires%20due,output%20provided%20by%20the%20bot" TargetMode="External" /><Relationship Type="http://schemas.openxmlformats.org/officeDocument/2006/relationships/hyperlink" Id="rId61" Target="https://www.tx.cpa/news-publications/todays-cpa-magazine/issues/article/march-april-2025/2025/06/09/assessing-ai-from-a-tax-perspective--part-2#:~:text=At%20times%2C%20all%20three%20tools,question%20was%20asked%20multiple%20times" TargetMode="External" /><Relationship Type="http://schemas.openxmlformats.org/officeDocument/2006/relationships/hyperlink" Id="rId146" Target="https://www.tx.cpa/news-publications/todays-cpa-magazine/issues/article/march-april-2025/2025/06/09/assessing-ai-from-a-tax-perspective--part-2#:~:text=Circular%20230%20imposes%20an%20even,tool%20for%20many%20tax%20questions" TargetMode="External" /><Relationship Type="http://schemas.openxmlformats.org/officeDocument/2006/relationships/hyperlink" Id="rId81" Target="https://www.tx.cpa/news-publications/todays-cpa-magazine/issues/article/march-april-2025/2025/06/09/assessing-ai-from-a-tax-perspective--part-2#:~:text=The%20AI%20tools%20used%20in,could%20significantly%20impact%20tax%20preparation" TargetMode="External" /><Relationship Type="http://schemas.openxmlformats.org/officeDocument/2006/relationships/hyperlink" Id="rId34" Target="https://www.tx.cpa/news-publications/todays-cpa-magazine/issues/article/march-april-2025/2025/06/09/assessing-ai-from-a-tax-perspective--part-2#:~:text=To%20avoid%20violating%20AICPA%20and,9" TargetMode="External" /><Relationship Type="http://schemas.openxmlformats.org/officeDocument/2006/relationships/hyperlink" Id="rId23" Target="https://www.tx.cpa/news-publications/todays-cpa-magazine/issues/article/march-april-2025/2025/06/09/assessing-ai-from-a-tax-perspective--part-2#:~:text=While%20chat,were%20often%20misleading%20or%20wrong" TargetMode="External" /></Relationships>
</file>

<file path=word/_rels/footnotes.xml.rels><?xml version="1.0" encoding="UTF-8"?><Relationships xmlns="http://schemas.openxmlformats.org/package/2006/relationships"><Relationship Type="http://schemas.openxmlformats.org/officeDocument/2006/relationships/hyperlink" Id="rId179" Target="https://github.com/gentlyventures/harboragent/blob/b682af1a348e7b78b7c42a06483834f569a50bfa/packs/genesis/docs/checklist.md" TargetMode="External" /><Relationship Type="http://schemas.openxmlformats.org/officeDocument/2006/relationships/hyperlink" Id="rId89" Target="https://github.com/gentlyventures/harboragent/blob/b682af1a348e7b78b7c42a06483834f569a50bfa/packs/genesis/docs/checklist.md#L127-L135" TargetMode="External" /><Relationship Type="http://schemas.openxmlformats.org/officeDocument/2006/relationships/hyperlink" Id="rId88" Target="https://github.com/gentlyventures/harboragent/blob/b682af1a348e7b78b7c42a06483834f569a50bfa/packs/genesis/docs/checklist.md#L129-L137" TargetMode="External" /><Relationship Type="http://schemas.openxmlformats.org/officeDocument/2006/relationships/hyperlink" Id="rId73" Target="https://github.com/gentlyventures/harboragent/blob/b682af1a348e7b78b7c42a06483834f569a50bfa/packs/genesis/docs/checklist.md#L23-L31" TargetMode="External" /><Relationship Type="http://schemas.openxmlformats.org/officeDocument/2006/relationships/hyperlink" Id="rId74" Target="https://github.com/gentlyventures/harboragent/blob/b682af1a348e7b78b7c42a06483834f569a50bfa/packs/genesis/docs/checklist.md#L25-L28" TargetMode="External" /><Relationship Type="http://schemas.openxmlformats.org/officeDocument/2006/relationships/hyperlink" Id="rId75" Target="https://github.com/gentlyventures/harboragent/blob/b682af1a348e7b78b7c42a06483834f569a50bfa/packs/genesis/docs/checklist.md#L27-L34" TargetMode="External" /><Relationship Type="http://schemas.openxmlformats.org/officeDocument/2006/relationships/hyperlink" Id="rId76" Target="https://github.com/gentlyventures/harboragent/blob/b682af1a348e7b78b7c42a06483834f569a50bfa/packs/genesis/docs/checklist.md#L33-L40" TargetMode="External" /><Relationship Type="http://schemas.openxmlformats.org/officeDocument/2006/relationships/hyperlink" Id="rId78" Target="https://github.com/gentlyventures/harboragent/blob/b682af1a348e7b78b7c42a06483834f569a50bfa/packs/genesis/docs/checklist.md#L41-L48" TargetMode="External" /><Relationship Type="http://schemas.openxmlformats.org/officeDocument/2006/relationships/hyperlink" Id="rId79" Target="https://github.com/gentlyventures/harboragent/blob/b682af1a348e7b78b7c42a06483834f569a50bfa/packs/genesis/docs/checklist.md#L43-L48" TargetMode="External" /><Relationship Type="http://schemas.openxmlformats.org/officeDocument/2006/relationships/hyperlink" Id="rId83" Target="https://github.com/gentlyventures/harboragent/blob/b682af1a348e7b78b7c42a06483834f569a50bfa/packs/genesis/docs/checklist.md#L85-L93" TargetMode="External" /><Relationship Type="http://schemas.openxmlformats.org/officeDocument/2006/relationships/hyperlink" Id="rId180" Target="https://github.com/gentlyventures/harboragent/blob/b682af1a348e7b78b7c42a06483834f569a50bfa/packs/genesis/docs/gap-analysis.md" TargetMode="External" /><Relationship Type="http://schemas.openxmlformats.org/officeDocument/2006/relationships/hyperlink" Id="rId90" Target="https://github.com/gentlyventures/harboragent/blob/b682af1a348e7b78b7c42a06483834f569a50bfa/packs/genesis/docs/gap-analysis.md#L139-L148" TargetMode="External" /><Relationship Type="http://schemas.openxmlformats.org/officeDocument/2006/relationships/hyperlink" Id="rId94" Target="https://github.com/gentlyventures/harboragent/blob/b682af1a348e7b78b7c42a06483834f569a50bfa/packs/genesis/docs/gap-analysis.md#L153-L162" TargetMode="External" /><Relationship Type="http://schemas.openxmlformats.org/officeDocument/2006/relationships/hyperlink" Id="rId95" Target="https://github.com/gentlyventures/harboragent/blob/b682af1a348e7b78b7c42a06483834f569a50bfa/packs/genesis/docs/gap-analysis.md#L163-L171" TargetMode="External" /><Relationship Type="http://schemas.openxmlformats.org/officeDocument/2006/relationships/hyperlink" Id="rId93" Target="https://github.com/gentlyventures/harboragent/blob/b682af1a348e7b78b7c42a06483834f569a50bfa/packs/genesis/docs/gap-analysis.md#L19-L27" TargetMode="External" /><Relationship Type="http://schemas.openxmlformats.org/officeDocument/2006/relationships/hyperlink" Id="rId181" Target="https://github.com/gentlyventures/harboragent/blob/b682af1a348e7b78b7c42a06483834f569a50bfa/packs/genesis/docs/roadmap.md" TargetMode="External" /><Relationship Type="http://schemas.openxmlformats.org/officeDocument/2006/relationships/hyperlink" Id="rId106" Target="https://github.com/gentlyventures/harboragent/blob/b682af1a348e7b78b7c42a06483834f569a50bfa/packs/genesis/docs/roadmap.md#L101-L109" TargetMode="External" /><Relationship Type="http://schemas.openxmlformats.org/officeDocument/2006/relationships/hyperlink" Id="rId107" Target="https://github.com/gentlyventures/harboragent/blob/b682af1a348e7b78b7c42a06483834f569a50bfa/packs/genesis/docs/roadmap.md#L111-L119" TargetMode="External" /><Relationship Type="http://schemas.openxmlformats.org/officeDocument/2006/relationships/hyperlink" Id="rId108" Target="https://github.com/gentlyventures/harboragent/blob/b682af1a348e7b78b7c42a06483834f569a50bfa/packs/genesis/docs/roadmap.md#L119-L127" TargetMode="External" /><Relationship Type="http://schemas.openxmlformats.org/officeDocument/2006/relationships/hyperlink" Id="rId109" Target="https://github.com/gentlyventures/harboragent/blob/b682af1a348e7b78b7c42a06483834f569a50bfa/packs/genesis/docs/roadmap.md#L125-L131" TargetMode="External" /><Relationship Type="http://schemas.openxmlformats.org/officeDocument/2006/relationships/hyperlink" Id="rId110" Target="https://github.com/gentlyventures/harboragent/blob/b682af1a348e7b78b7c42a06483834f569a50bfa/packs/genesis/docs/roadmap.md#L131-L135" TargetMode="External" /><Relationship Type="http://schemas.openxmlformats.org/officeDocument/2006/relationships/hyperlink" Id="rId116" Target="https://github.com/gentlyventures/harboragent/blob/b682af1a348e7b78b7c42a06483834f569a50bfa/packs/genesis/docs/roadmap.md#L133-L141" TargetMode="External" /><Relationship Type="http://schemas.openxmlformats.org/officeDocument/2006/relationships/hyperlink" Id="rId112" Target="https://github.com/gentlyventures/harboragent/blob/b682af1a348e7b78b7c42a06483834f569a50bfa/packs/genesis/docs/roadmap.md#L149-L157" TargetMode="External" /><Relationship Type="http://schemas.openxmlformats.org/officeDocument/2006/relationships/hyperlink" Id="rId113" Target="https://github.com/gentlyventures/harboragent/blob/b682af1a348e7b78b7c42a06483834f569a50bfa/packs/genesis/docs/roadmap.md#L157-L164" TargetMode="External" /><Relationship Type="http://schemas.openxmlformats.org/officeDocument/2006/relationships/hyperlink" Id="rId114" Target="https://github.com/gentlyventures/harboragent/blob/b682af1a348e7b78b7c42a06483834f569a50bfa/packs/genesis/docs/roadmap.md#L165-L171" TargetMode="External" /><Relationship Type="http://schemas.openxmlformats.org/officeDocument/2006/relationships/hyperlink" Id="rId115" Target="https://github.com/gentlyventures/harboragent/blob/b682af1a348e7b78b7c42a06483834f569a50bfa/packs/genesis/docs/roadmap.md#L171-L179" TargetMode="External" /><Relationship Type="http://schemas.openxmlformats.org/officeDocument/2006/relationships/hyperlink" Id="rId118" Target="https://github.com/gentlyventures/harboragent/blob/b682af1a348e7b78b7c42a06483834f569a50bfa/packs/genesis/docs/roadmap.md#L194-L203" TargetMode="External" /><Relationship Type="http://schemas.openxmlformats.org/officeDocument/2006/relationships/hyperlink" Id="rId97" Target="https://github.com/gentlyventures/harboragent/blob/b682af1a348e7b78b7c42a06483834f569a50bfa/packs/genesis/docs/roadmap.md#L21-L29" TargetMode="External" /><Relationship Type="http://schemas.openxmlformats.org/officeDocument/2006/relationships/hyperlink" Id="rId120" Target="https://github.com/gentlyventures/harboragent/blob/b682af1a348e7b78b7c42a06483834f569a50bfa/packs/genesis/docs/roadmap.md#L213-L219" TargetMode="External" /><Relationship Type="http://schemas.openxmlformats.org/officeDocument/2006/relationships/hyperlink" Id="rId98" Target="https://github.com/gentlyventures/harboragent/blob/b682af1a348e7b78b7c42a06483834f569a50bfa/packs/genesis/docs/roadmap.md#L25-L33" TargetMode="External" /><Relationship Type="http://schemas.openxmlformats.org/officeDocument/2006/relationships/hyperlink" Id="rId104" Target="https://github.com/gentlyventures/harboragent/blob/b682af1a348e7b78b7c42a06483834f569a50bfa/packs/genesis/docs/roadmap.md#L31-L39" TargetMode="External" /><Relationship Type="http://schemas.openxmlformats.org/officeDocument/2006/relationships/hyperlink" Id="rId100" Target="https://github.com/gentlyventures/harboragent/blob/b682af1a348e7b78b7c42a06483834f569a50bfa/packs/genesis/docs/roadmap.md#L49-L57" TargetMode="External" /><Relationship Type="http://schemas.openxmlformats.org/officeDocument/2006/relationships/hyperlink" Id="rId101" Target="https://github.com/gentlyventures/harboragent/blob/b682af1a348e7b78b7c42a06483834f569a50bfa/packs/genesis/docs/roadmap.md#L59-L67" TargetMode="External" /><Relationship Type="http://schemas.openxmlformats.org/officeDocument/2006/relationships/hyperlink" Id="rId102" Target="https://github.com/gentlyventures/harboragent/blob/b682af1a348e7b78b7c42a06483834f569a50bfa/packs/genesis/docs/roadmap.md#L71-L79" TargetMode="External" /><Relationship Type="http://schemas.openxmlformats.org/officeDocument/2006/relationships/hyperlink" Id="rId103" Target="https://github.com/gentlyventures/harboragent/blob/b682af1a348e7b78b7c42a06483834f569a50bfa/packs/genesis/docs/roadmap.md#L77-L81" TargetMode="External" /><Relationship Type="http://schemas.openxmlformats.org/officeDocument/2006/relationships/hyperlink" Id="rId177" Target="https://github.com/gentlyventures/harboragent/blob/b682af1a348e7b78b7c42a06483834f569a50bfa/packs/genesis/docs/security-guidance.md" TargetMode="External" /><Relationship Type="http://schemas.openxmlformats.org/officeDocument/2006/relationships/hyperlink" Id="rId63" Target="https://github.com/gentlyventures/harboragent/blob/b682af1a348e7b78b7c42a06483834f569a50bfa/packs/genesis/docs/security-guidance.md#L115-L123" TargetMode="External" /><Relationship Type="http://schemas.openxmlformats.org/officeDocument/2006/relationships/hyperlink" Id="rId65" Target="https://github.com/gentlyventures/harboragent/blob/b682af1a348e7b78b7c42a06483834f569a50bfa/packs/genesis/docs/security-guidance.md#L117-L125" TargetMode="External" /><Relationship Type="http://schemas.openxmlformats.org/officeDocument/2006/relationships/hyperlink" Id="rId66" Target="https://github.com/gentlyventures/harboragent/blob/b682af1a348e7b78b7c42a06483834f569a50bfa/packs/genesis/docs/security-guidance.md#L123-L131" TargetMode="External" /><Relationship Type="http://schemas.openxmlformats.org/officeDocument/2006/relationships/hyperlink" Id="rId138" Target="https://github.com/gentlyventures/harboragent/blob/b682af1a348e7b78b7c42a06483834f569a50bfa/packs/genesis/docs/security-guidance.md#L131-L139" TargetMode="External" /><Relationship Type="http://schemas.openxmlformats.org/officeDocument/2006/relationships/hyperlink" Id="rId139" Target="https://github.com/gentlyventures/harboragent/blob/b682af1a348e7b78b7c42a06483834f569a50bfa/packs/genesis/docs/security-guidance.md#L141-L149" TargetMode="External" /><Relationship Type="http://schemas.openxmlformats.org/officeDocument/2006/relationships/hyperlink" Id="rId140" Target="https://github.com/gentlyventures/harboragent/blob/b682af1a348e7b78b7c42a06483834f569a50bfa/packs/genesis/docs/security-guidance.md#L143-L151" TargetMode="External" /><Relationship Type="http://schemas.openxmlformats.org/officeDocument/2006/relationships/hyperlink" Id="rId134" Target="https://github.com/gentlyventures/harboragent/blob/b682af1a348e7b78b7c42a06483834f569a50bfa/packs/genesis/docs/security-guidance.md#L155-L163" TargetMode="External" /><Relationship Type="http://schemas.openxmlformats.org/officeDocument/2006/relationships/hyperlink" Id="rId141" Target="https://github.com/gentlyventures/harboragent/blob/b682af1a348e7b78b7c42a06483834f569a50bfa/packs/genesis/docs/security-guidance.md#L166-L174" TargetMode="External" /><Relationship Type="http://schemas.openxmlformats.org/officeDocument/2006/relationships/hyperlink" Id="rId85" Target="https://github.com/gentlyventures/harboragent/blob/b682af1a348e7b78b7c42a06483834f569a50bfa/packs/genesis/docs/security-guidance.md#L190-L199" TargetMode="External" /><Relationship Type="http://schemas.openxmlformats.org/officeDocument/2006/relationships/hyperlink" Id="rId86" Target="https://github.com/gentlyventures/harboragent/blob/b682af1a348e7b78b7c42a06483834f569a50bfa/packs/genesis/docs/security-guidance.md#L210-L219" TargetMode="External" /><Relationship Type="http://schemas.openxmlformats.org/officeDocument/2006/relationships/hyperlink" Id="rId136" Target="https://github.com/gentlyventures/harboragent/blob/b682af1a348e7b78b7c42a06483834f569a50bfa/packs/genesis/docs/security-guidance.md#L227-L231" TargetMode="External" /><Relationship Type="http://schemas.openxmlformats.org/officeDocument/2006/relationships/hyperlink" Id="rId126" Target="https://github.com/gentlyventures/harboragent/blob/b682af1a348e7b78b7c42a06483834f569a50bfa/packs/genesis/docs/security-guidance.md#L29-L37" TargetMode="External" /><Relationship Type="http://schemas.openxmlformats.org/officeDocument/2006/relationships/hyperlink" Id="rId58" Target="https://github.com/gentlyventures/harboragent/blob/b682af1a348e7b78b7c42a06483834f569a50bfa/packs/genesis/docs/security-guidance.md#L33-L41" TargetMode="External" /><Relationship Type="http://schemas.openxmlformats.org/officeDocument/2006/relationships/hyperlink" Id="rId127" Target="https://github.com/gentlyventures/harboragent/blob/b682af1a348e7b78b7c42a06483834f569a50bfa/packs/genesis/docs/security-guidance.md#L39-L47" TargetMode="External" /><Relationship Type="http://schemas.openxmlformats.org/officeDocument/2006/relationships/hyperlink" Id="rId77" Target="https://github.com/gentlyventures/harboragent/blob/b682af1a348e7b78b7c42a06483834f569a50bfa/packs/genesis/docs/security-guidance.md#L43-L51" TargetMode="External" /><Relationship Type="http://schemas.openxmlformats.org/officeDocument/2006/relationships/hyperlink" Id="rId128" Target="https://github.com/gentlyventures/harboragent/blob/b682af1a348e7b78b7c42a06483834f569a50bfa/packs/genesis/docs/security-guidance.md#L49-L57" TargetMode="External" /><Relationship Type="http://schemas.openxmlformats.org/officeDocument/2006/relationships/hyperlink" Id="rId129" Target="https://github.com/gentlyventures/harboragent/blob/b682af1a348e7b78b7c42a06483834f569a50bfa/packs/genesis/docs/security-guidance.md#L53-L61" TargetMode="External" /><Relationship Type="http://schemas.openxmlformats.org/officeDocument/2006/relationships/hyperlink" Id="rId131" Target="https://github.com/gentlyventures/harboragent/blob/b682af1a348e7b78b7c42a06483834f569a50bfa/packs/genesis/docs/security-guidance.md#L75-L83" TargetMode="External" /><Relationship Type="http://schemas.openxmlformats.org/officeDocument/2006/relationships/hyperlink" Id="rId132" Target="https://github.com/gentlyventures/harboragent/blob/b682af1a348e7b78b7c42a06483834f569a50bfa/packs/genesis/docs/security-guidance.md#L83-L91" TargetMode="External" /><Relationship Type="http://schemas.openxmlformats.org/officeDocument/2006/relationships/hyperlink" Id="rId133" Target="https://github.com/gentlyventures/harboragent/blob/b682af1a348e7b78b7c42a06483834f569a50bfa/packs/genesis/docs/security-guidance.md#L89-L97" TargetMode="External" /><Relationship Type="http://schemas.openxmlformats.org/officeDocument/2006/relationships/hyperlink" Id="rId60" Target="https://github.com/gentlyventures/harboragent/blob/b682af1a348e7b78b7c42a06483834f569a50bfa/packs/genesis/docs/security-guidance.md#L99-L107" TargetMode="External" /><Relationship Type="http://schemas.openxmlformats.org/officeDocument/2006/relationships/hyperlink" Id="rId182" Target="https://github.com/gentlyventures/harboragent/blob/b682af1a348e7b78b7c42a06483834f569a50bfa/packs/genesis/docs/technical-overview.md" TargetMode="External" /><Relationship Type="http://schemas.openxmlformats.org/officeDocument/2006/relationships/hyperlink" Id="rId153" Target="https://github.com/gentlyventures/harboragent/blob/b682af1a348e7b78b7c42a06483834f569a50bfa/packs/genesis/docs/technical-overview.md#L93-L101" TargetMode="External" /><Relationship Type="http://schemas.openxmlformats.org/officeDocument/2006/relationships/hyperlink" Id="rId178" Target="https://go.gale.com/ps/i.do?id=GALE%7CA837171634&amp;sid=sitemap&amp;v=2.1&amp;it=r&amp;p=AONE&amp;sw=w" TargetMode="External" /><Relationship Type="http://schemas.openxmlformats.org/officeDocument/2006/relationships/hyperlink" Id="rId67" Target="https://go.gale.com/ps/i.do?id=GALE%7CA837171634&amp;sid=sitemap&amp;v=2.1&amp;it=r&amp;p=AONE&amp;sw=w#:~:text=Gale%20go,to%20deliver%20services%20and" TargetMode="External" /><Relationship Type="http://schemas.openxmlformats.org/officeDocument/2006/relationships/hyperlink" Id="rId171" Target="https://tax.thomsonreuters.com/blog/ai-for-tax-professionals-a-guide/" TargetMode="External" /><Relationship Type="http://schemas.openxmlformats.org/officeDocument/2006/relationships/hyperlink" Id="rId36" Target="https://tax.thomsonreuters.com/blog/ai-for-tax-professionals-a-guide/#:~:text=,Department%20of%20Labor%20promulgated%20a" TargetMode="External" /><Relationship Type="http://schemas.openxmlformats.org/officeDocument/2006/relationships/hyperlink" Id="rId22" Target="https://tax.thomsonreuters.com/blog/ai-for-tax-professionals-a-guide/#:~:text=,client%20satisfaction%20and%20operational%20performance" TargetMode="External" /><Relationship Type="http://schemas.openxmlformats.org/officeDocument/2006/relationships/hyperlink" Id="rId39" Target="https://tax.thomsonreuters.com/blog/ai-for-tax-professionals-a-guide/#:~:text=,tax%20planning%20or%20compliance%20advice" TargetMode="External" /><Relationship Type="http://schemas.openxmlformats.org/officeDocument/2006/relationships/hyperlink" Id="rId124" Target="https://tax.thomsonreuters.com/blog/ai-for-tax-professionals-a-guide/#:~:text=,these%20practices%3A%20Maintain%20human%20oversight" TargetMode="External" /><Relationship Type="http://schemas.openxmlformats.org/officeDocument/2006/relationships/hyperlink" Id="rId55" Target="https://tax.thomsonreuters.com/blog/ai-for-tax-professionals-a-guide/#:~:text=AI%20adoption%20is%20accelerating%20rapidly,Report%20from%20Thomson%20Reuters%20Institute" TargetMode="External" /><Relationship Type="http://schemas.openxmlformats.org/officeDocument/2006/relationships/hyperlink" Id="rId121" Target="https://tax.thomsonreuters.com/blog/ai-for-tax-professionals-a-guide/#:~:text=Adopting%20AI%20for%20the%20future" TargetMode="External" /><Relationship Type="http://schemas.openxmlformats.org/officeDocument/2006/relationships/hyperlink" Id="rId47" Target="https://tax.thomsonreuters.com/blog/ai-for-tax-professionals-a-guide/#:~:text=An%20AI%20tool%20that%20can,specific%20use%20cases" TargetMode="External" /><Relationship Type="http://schemas.openxmlformats.org/officeDocument/2006/relationships/hyperlink" Id="rId56" Target="https://tax.thomsonreuters.com/blog/ai-for-tax-professionals-a-guide/#:~:text=First%2C%20let%E2%80%99s%20look%20at%20the,money%20in%20more%20ways%20than" TargetMode="External" /><Relationship Type="http://schemas.openxmlformats.org/officeDocument/2006/relationships/hyperlink" Id="rId32" Target="https://tax.thomsonreuters.com/blog/ai-for-tax-professionals-a-guide/#:~:text=Given%20their%20need%20for%20scrupulous,both%20themselves%20and%20their%20clients" TargetMode="External" /><Relationship Type="http://schemas.openxmlformats.org/officeDocument/2006/relationships/hyperlink" Id="rId28" Target="https://tax.thomsonreuters.com/blog/ai-for-tax-professionals-a-guide/#:~:text=It%E2%80%99s%20no%20surprise%2C%20then%2C%20that,compliance%20issues%20without%20their%20oversight" TargetMode="External" /><Relationship Type="http://schemas.openxmlformats.org/officeDocument/2006/relationships/hyperlink" Id="rId33" Target="https://tax.thomsonreuters.com/blog/ai-for-tax-professionals-a-guide/#:~:text=Professionals%20can%20help%20reduce%20their,developments%20such%20as%20agentic%20AI" TargetMode="External" /><Relationship Type="http://schemas.openxmlformats.org/officeDocument/2006/relationships/hyperlink" Id="rId31" Target="https://tax.thomsonreuters.com/blog/ai-for-tax-professionals-a-guide/#:~:text=Tax%20season%20is%20an%20appropriate,have%20about%20this%20evolving%20technology" TargetMode="External" /><Relationship Type="http://schemas.openxmlformats.org/officeDocument/2006/relationships/hyperlink" Id="rId25" Target="https://tax.thomsonreuters.com/blog/ai-for-tax-professionals-a-guide/#:~:text=The%20tax%2C%20accounting%2C%20legal%2C%20and,of%20their%20top%20ethical%20concerns" TargetMode="External" /><Relationship Type="http://schemas.openxmlformats.org/officeDocument/2006/relationships/hyperlink" Id="rId29" Target="https://tax.thomsonreuters.com/blog/ai-for-tax-professionals-a-guide/#:~:text=allocation%2C%20and%20data%20source%20transparency,tax%20planning%20or%20compliance%20advice" TargetMode="External" /><Relationship Type="http://schemas.openxmlformats.org/officeDocument/2006/relationships/hyperlink" Id="rId27" Target="https://tax.thomsonreuters.com/blog/ai-for-tax-professionals-a-guide/#:~:text=themselves%20and%20their%20clients" TargetMode="External" /><Relationship Type="http://schemas.openxmlformats.org/officeDocument/2006/relationships/hyperlink" Id="rId174" Target="https://www.cpa.com/news/cpacom-issues-2025-ai-accounting-report" TargetMode="External" /><Relationship Type="http://schemas.openxmlformats.org/officeDocument/2006/relationships/hyperlink" Id="rId147" Target="https://www.cpa.com/news/cpacom-issues-2025-ai-accounting-report#:~:text=%E2%80%9CAI%20is%20not%20going%20to,%E2%80%9D" TargetMode="External" /><Relationship Type="http://schemas.openxmlformats.org/officeDocument/2006/relationships/hyperlink" Id="rId37" Target="https://www.cpa.com/news/cpacom-issues-2025-ai-accounting-report#:~:text=,and%20agentic%20AI%20to%20audit" TargetMode="External" /><Relationship Type="http://schemas.openxmlformats.org/officeDocument/2006/relationships/hyperlink" Id="rId38" Target="https://www.cpa.com/news/cpacom-issues-2025-ai-accounting-report#:~:text=,development%20of%20new%20workforce%20models" TargetMode="External" /><Relationship Type="http://schemas.openxmlformats.org/officeDocument/2006/relationships/hyperlink" Id="rId176" Target="https://www.taxgpt.com/taxgpt-insights/guide-to-tax-practice-automation" TargetMode="External" /><Relationship Type="http://schemas.openxmlformats.org/officeDocument/2006/relationships/hyperlink" Id="rId52" Target="https://www.taxgpt.com/taxgpt-insights/guide-to-tax-practice-automation#:~:text=,Automation%20highlights%20significant%20deviations%2C%20prompting" TargetMode="External" /><Relationship Type="http://schemas.openxmlformats.org/officeDocument/2006/relationships/hyperlink" Id="rId42" Target="https://www.taxgpt.com/taxgpt-insights/guide-to-tax-practice-automation#:~:text=,Historical%20Comparison%20Analysis" TargetMode="External" /><Relationship Type="http://schemas.openxmlformats.org/officeDocument/2006/relationships/hyperlink" Id="rId161" Target="https://www.taxgpt.com/taxgpt-insights/guide-to-tax-practice-automation#:~:text=,Jurisdictional%20Analysis" TargetMode="External" /><Relationship Type="http://schemas.openxmlformats.org/officeDocument/2006/relationships/hyperlink" Id="rId54" Target="https://www.taxgpt.com/taxgpt-insights/guide-to-tax-practice-automation#:~:text=,Regulatory%20Requirement%20Tracking" TargetMode="External" /><Relationship Type="http://schemas.openxmlformats.org/officeDocument/2006/relationships/hyperlink" Id="rId46" Target="https://www.taxgpt.com/taxgpt-insights/guide-to-tax-practice-automation#:~:text=,added%20value%20to%20their%20clients" TargetMode="External" /><Relationship Type="http://schemas.openxmlformats.org/officeDocument/2006/relationships/hyperlink" Id="rId41" Target="https://www.taxgpt.com/taxgpt-insights/guide-to-tax-practice-automation#:~:text=,address%20issues%20before%20they%20escalate" TargetMode="External" /><Relationship Type="http://schemas.openxmlformats.org/officeDocument/2006/relationships/hyperlink" Id="rId50" Target="https://www.taxgpt.com/taxgpt-insights/guide-to-tax-practice-automation#:~:text=,concern%20slips%20through%20the%20cracks" TargetMode="External" /><Relationship Type="http://schemas.openxmlformats.org/officeDocument/2006/relationships/hyperlink" Id="rId48" Target="https://www.taxgpt.com/taxgpt-insights/guide-to-tax-practice-automation#:~:text=,guide%20clients%20through%20intricate%20decisions" TargetMode="External" /><Relationship Type="http://schemas.openxmlformats.org/officeDocument/2006/relationships/hyperlink" Id="rId175" Target="https://www.taxgpt.com/taxgpt-insights/guide-to-tax-practice-automation#:~:text=Automation%20tools%20bring%20an%20analytical,edge%20to%20risk%20assessment" TargetMode="External" /><Relationship Type="http://schemas.openxmlformats.org/officeDocument/2006/relationships/hyperlink" Id="rId45" Target="https://www.taxgpt.com/taxgpt-insights/guide-to-tax-practice-automation#:~:text=Here%20are%20some%20areas%20of,research%20where%20TaxGPT%20excels" TargetMode="External" /><Relationship Type="http://schemas.openxmlformats.org/officeDocument/2006/relationships/hyperlink" Id="rId160" Target="https://www.taxgpt.com/taxgpt-insights/guide-to-tax-practice-automation#:~:text=Modern%20tax%20practices%20require%20precision%2C,streamline%20and%20elevate%20research%20processes" TargetMode="External" /><Relationship Type="http://schemas.openxmlformats.org/officeDocument/2006/relationships/hyperlink" Id="rId51" Target="https://www.taxgpt.com/taxgpt-insights/guide-to-tax-practice-automation#:~:text=Returns%20filed%20in%20previous%20years,With" TargetMode="External" /><Relationship Type="http://schemas.openxmlformats.org/officeDocument/2006/relationships/hyperlink" Id="rId49" Target="https://www.taxgpt.com/taxgpt-insights/guide-to-tax-practice-automation#:~:text=Template" TargetMode="External" /><Relationship Type="http://schemas.openxmlformats.org/officeDocument/2006/relationships/hyperlink" Id="rId44" Target="https://www.taxgpt.com/taxgpt-insights/guide-to-tax-practice-automation#:~:text=an%20edge%20in%20keeping%20clients,help%20professionals%20navigate%20complex%20situations" TargetMode="External" /><Relationship Type="http://schemas.openxmlformats.org/officeDocument/2006/relationships/hyperlink" Id="rId162" Target="https://www.taxgpt.com/taxgpt-insights/guide-to-tax-practice-automation#:~:text=appropriate%20channel.%20,concern%20slips%20through%20the%20cracks" TargetMode="External" /><Relationship Type="http://schemas.openxmlformats.org/officeDocument/2006/relationships/hyperlink" Id="rId43" Target="https://www.taxgpt.com/taxgpt-insights/guide-to-tax-practice-automation#:~:text=authoritative%20citations,world%2C%20multinational%20entities%E2%80%94or%20even%20smaller" TargetMode="External" /><Relationship Type="http://schemas.openxmlformats.org/officeDocument/2006/relationships/hyperlink" Id="rId163" Target="https://www.taxgpt.com/taxgpt-insights/guide-to-tax-practice-automation#:~:text=been%20a%20tedious%2C%20manual%20process,tools%20to%20revolutionize%20document%20handling" TargetMode="External" /><Relationship Type="http://schemas.openxmlformats.org/officeDocument/2006/relationships/hyperlink" Id="rId150" Target="https://www.taxgpt.com/taxgpt-insights/guide-to-tax-practice-automation#:~:text=discrepancies%20that%20need%20further%20investigation,prioritize%20and%20resolve%20problems%20promptly" TargetMode="External" /><Relationship Type="http://schemas.openxmlformats.org/officeDocument/2006/relationships/hyperlink" Id="rId164" Target="https://www.taxgpt.com/taxgpt-insights/guide-to-tax-practice-automation#:~:text=spike%20in%20deductions%2C%20TaxGPT%20flags,chance%20that%20overlooked%20rule%20changes" TargetMode="External" /><Relationship Type="http://schemas.openxmlformats.org/officeDocument/2006/relationships/hyperlink" Id="rId53" Target="https://www.taxgpt.com/taxgpt-insights/guide-to-tax-practice-automation#:~:text=up%20advisory%20decisions.%20,added%20value%20to%20their%20clients" TargetMode="External" /><Relationship Type="http://schemas.openxmlformats.org/officeDocument/2006/relationships/hyperlink" Id="rId173" Target="https://www.thetaxadviser.com/issues/2024/feb/tax-ethics-and-use-of-generative-ai-systems/" TargetMode="External" /><Relationship Type="http://schemas.openxmlformats.org/officeDocument/2006/relationships/hyperlink" Id="rId68" Target="https://www.thetaxadviser.com/issues/2024/feb/tax-ethics-and-use-of-generative-ai-systems/#:~:text=Note%20also%20that%20Circular%20230,%E2%80%9D" TargetMode="External" /><Relationship Type="http://schemas.openxmlformats.org/officeDocument/2006/relationships/hyperlink" Id="rId35" Target="https://www.thetaxadviser.com/issues/2024/feb/tax-ethics-and-use-of-generative-ai-systems/#:~:text=SSTS%20Section%201,mechanical%2C%20technical%2C%20and%20signer%2Fpartner%20review" TargetMode="External" /><Relationship Type="http://schemas.openxmlformats.org/officeDocument/2006/relationships/hyperlink" Id="rId172" Target="https://www.tx.cpa/news-publications/todays-cpa-magazine/issues/article/march-april-2025/2025/06/09/assessing-ai-from-a-tax-perspective--part-2" TargetMode="External" /><Relationship Type="http://schemas.openxmlformats.org/officeDocument/2006/relationships/hyperlink" Id="rId24" Target="https://www.tx.cpa/news-publications/todays-cpa-magazine/issues/article/march-april-2025/2025/06/09/assessing-ai-from-a-tax-perspective--part-2#:~:text=AI%E2%80%99s%20current%20limitations%20can%20result,their%20clients%20or%20the%20IRS" TargetMode="External" /><Relationship Type="http://schemas.openxmlformats.org/officeDocument/2006/relationships/hyperlink" Id="rId26" Target="https://www.tx.cpa/news-publications/todays-cpa-magazine/issues/article/march-april-2025/2025/06/09/assessing-ai-from-a-tax-perspective--part-2#:~:text=Additionally%2C%20Circular%20230%20requires%20due,output%20provided%20by%20the%20bot" TargetMode="External" /><Relationship Type="http://schemas.openxmlformats.org/officeDocument/2006/relationships/hyperlink" Id="rId61" Target="https://www.tx.cpa/news-publications/todays-cpa-magazine/issues/article/march-april-2025/2025/06/09/assessing-ai-from-a-tax-perspective--part-2#:~:text=At%20times%2C%20all%20three%20tools,question%20was%20asked%20multiple%20times" TargetMode="External" /><Relationship Type="http://schemas.openxmlformats.org/officeDocument/2006/relationships/hyperlink" Id="rId146" Target="https://www.tx.cpa/news-publications/todays-cpa-magazine/issues/article/march-april-2025/2025/06/09/assessing-ai-from-a-tax-perspective--part-2#:~:text=Circular%20230%20imposes%20an%20even,tool%20for%20many%20tax%20questions" TargetMode="External" /><Relationship Type="http://schemas.openxmlformats.org/officeDocument/2006/relationships/hyperlink" Id="rId81" Target="https://www.tx.cpa/news-publications/todays-cpa-magazine/issues/article/march-april-2025/2025/06/09/assessing-ai-from-a-tax-perspective--part-2#:~:text=The%20AI%20tools%20used%20in,could%20significantly%20impact%20tax%20preparation" TargetMode="External" /><Relationship Type="http://schemas.openxmlformats.org/officeDocument/2006/relationships/hyperlink" Id="rId34" Target="https://www.tx.cpa/news-publications/todays-cpa-magazine/issues/article/march-april-2025/2025/06/09/assessing-ai-from-a-tax-perspective--part-2#:~:text=To%20avoid%20violating%20AICPA%20and,9" TargetMode="External" /><Relationship Type="http://schemas.openxmlformats.org/officeDocument/2006/relationships/hyperlink" Id="rId23" Target="https://www.tx.cpa/news-publications/todays-cpa-magazine/issues/article/march-april-2025/2025/06/09/assessing-ai-from-a-tax-perspective--part-2#:~:text=While%20chat,were%20often%20misleading%20or%20wron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2025-12-02T17:57:38Z</dcterms:created>
  <dcterms:modified xsi:type="dcterms:W3CDTF">2025-12-02T17:57:38Z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