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49" w:rsidRPr="00CA7949" w:rsidRDefault="00CA7949" w:rsidP="00CA7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949">
        <w:rPr>
          <w:rFonts w:ascii="Times New Roman" w:hAnsi="Times New Roman" w:cs="Times New Roman"/>
          <w:b/>
          <w:sz w:val="28"/>
          <w:szCs w:val="28"/>
        </w:rPr>
        <w:t>Eye Movement Detection (EMD) program flow chart</w:t>
      </w:r>
    </w:p>
    <w:p w:rsidR="00CA7949" w:rsidRDefault="00CA7949"/>
    <w:p w:rsidR="00CA7949" w:rsidRDefault="00CA7949">
      <w:r>
        <w:rPr>
          <w:noProof/>
        </w:rPr>
        <w:drawing>
          <wp:inline distT="0" distB="0" distL="0" distR="0">
            <wp:extent cx="8802696" cy="486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696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949" w:rsidSect="00CA79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949"/>
    <w:rsid w:val="00CA7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>Hewlett-Packard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2009-08-31T22:14:00Z</dcterms:created>
  <dcterms:modified xsi:type="dcterms:W3CDTF">2009-08-31T22:16:00Z</dcterms:modified>
</cp:coreProperties>
</file>