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0000" w14:textId="21EA92B1" w:rsidR="00533E43" w:rsidRDefault="00533E43" w:rsidP="00533E43">
      <w:pPr>
        <w:spacing w:before="360" w:line="480" w:lineRule="auto"/>
        <w:jc w:val="center"/>
        <w:rPr>
          <w:rFonts w:ascii="Arial" w:hAnsi="Arial"/>
          <w:b/>
          <w:color w:val="000000"/>
          <w:sz w:val="28"/>
        </w:rPr>
      </w:pPr>
      <w:proofErr w:type="spellStart"/>
      <w:r>
        <w:rPr>
          <w:rFonts w:ascii="Arial" w:hAnsi="Arial"/>
          <w:b/>
          <w:color w:val="000000"/>
          <w:sz w:val="28"/>
        </w:rPr>
        <w:t>Marrëveshje</w:t>
      </w:r>
      <w:proofErr w:type="spellEnd"/>
      <w:r>
        <w:rPr>
          <w:rFonts w:ascii="Arial" w:hAnsi="Arial"/>
          <w:b/>
          <w:color w:val="000000"/>
          <w:sz w:val="28"/>
        </w:rPr>
        <w:t xml:space="preserve"> </w:t>
      </w:r>
      <w:r>
        <w:rPr>
          <w:rFonts w:ascii="Arial" w:hAnsi="Arial"/>
          <w:b/>
          <w:color w:val="000000"/>
          <w:sz w:val="28"/>
        </w:rPr>
        <w:br/>
      </w:r>
      <w:proofErr w:type="spellStart"/>
      <w:r>
        <w:rPr>
          <w:rFonts w:ascii="Arial" w:hAnsi="Arial"/>
          <w:b/>
          <w:color w:val="000000"/>
          <w:w w:val="95"/>
          <w:sz w:val="29"/>
        </w:rPr>
        <w:t>për</w:t>
      </w:r>
      <w:proofErr w:type="spellEnd"/>
      <w:r>
        <w:rPr>
          <w:rFonts w:ascii="Arial" w:hAnsi="Arial"/>
          <w:b/>
          <w:color w:val="000000"/>
          <w:w w:val="95"/>
          <w:sz w:val="29"/>
        </w:rPr>
        <w:t xml:space="preserve"> </w:t>
      </w:r>
      <w:r>
        <w:rPr>
          <w:rFonts w:ascii="Arial" w:hAnsi="Arial"/>
          <w:b/>
          <w:color w:val="000000"/>
          <w:w w:val="95"/>
          <w:sz w:val="29"/>
        </w:rPr>
        <w:br/>
      </w:r>
      <w:proofErr w:type="spellStart"/>
      <w:r>
        <w:rPr>
          <w:rFonts w:ascii="Arial" w:hAnsi="Arial"/>
          <w:b/>
          <w:color w:val="000000"/>
          <w:spacing w:val="-8"/>
          <w:sz w:val="28"/>
        </w:rPr>
        <w:t>Shërbime</w:t>
      </w:r>
      <w:proofErr w:type="spellEnd"/>
      <w:r>
        <w:rPr>
          <w:rFonts w:ascii="Arial" w:hAnsi="Arial"/>
          <w:b/>
          <w:color w:val="000000"/>
          <w:spacing w:val="-8"/>
          <w:sz w:val="28"/>
        </w:rPr>
        <w:t xml:space="preserve"> </w:t>
      </w:r>
      <w:proofErr w:type="spellStart"/>
      <w:r>
        <w:rPr>
          <w:rFonts w:ascii="Arial" w:hAnsi="Arial"/>
          <w:b/>
          <w:color w:val="000000"/>
          <w:spacing w:val="-8"/>
          <w:sz w:val="28"/>
        </w:rPr>
        <w:t>Profesionale</w:t>
      </w:r>
      <w:proofErr w:type="spellEnd"/>
    </w:p>
    <w:p w14:paraId="2CB003AD" w14:textId="395F4FE0" w:rsidR="007C2050" w:rsidRPr="007C2050" w:rsidRDefault="007C2050" w:rsidP="00A97774">
      <w:pPr>
        <w:spacing w:before="216" w:line="321" w:lineRule="auto"/>
        <w:ind w:right="72"/>
        <w:jc w:val="both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Marr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ë</w:t>
      </w:r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veshja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ë</w:t>
      </w:r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sh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ë</w:t>
      </w:r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rbime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profesionale</w:t>
      </w:r>
      <w:proofErr w:type="spellEnd"/>
      <w:r w:rsidR="00CA210E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="00CA210E">
        <w:rPr>
          <w:rFonts w:ascii="Times New Roman" w:hAnsi="Times New Roman" w:cs="Times New Roman"/>
          <w:color w:val="000000"/>
          <w:spacing w:val="6"/>
          <w:sz w:val="24"/>
          <w:szCs w:val="24"/>
        </w:rPr>
        <w:t>gjeodezike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(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tutje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"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Marreveshja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"), </w:t>
      </w:r>
      <w:proofErr w:type="spellStart"/>
      <w:r w:rsidR="00CA210E">
        <w:rPr>
          <w:rFonts w:ascii="Times New Roman" w:hAnsi="Times New Roman" w:cs="Times New Roman"/>
          <w:color w:val="000000"/>
          <w:spacing w:val="6"/>
          <w:sz w:val="24"/>
          <w:szCs w:val="24"/>
        </w:rPr>
        <w:t>është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arritur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dhe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hyn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ne </w:t>
      </w:r>
      <w:proofErr w:type="spellStart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>fuqi</w:t>
      </w:r>
      <w:proofErr w:type="spellEnd"/>
      <w:r w:rsidRPr="007C205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me date </w:t>
      </w:r>
      <w:r w:rsidR="00414104">
        <w:rPr>
          <w:rFonts w:ascii="Times New Roman" w:hAnsi="Times New Roman" w:cs="Times New Roman"/>
          <w:color w:val="000000"/>
          <w:spacing w:val="3"/>
          <w:sz w:val="24"/>
          <w:szCs w:val="24"/>
        </w:rPr>
        <w:t>13/06/2025</w:t>
      </w:r>
      <w:r w:rsidR="00EB340C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nga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dhe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n</w:t>
      </w:r>
      <w:r w:rsidR="008B43C0">
        <w:rPr>
          <w:rFonts w:ascii="Times New Roman" w:hAnsi="Times New Roman" w:cs="Times New Roman"/>
          <w:color w:val="000000"/>
          <w:spacing w:val="3"/>
          <w:sz w:val="24"/>
          <w:szCs w:val="24"/>
        </w:rPr>
        <w:t>ë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mes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te</w:t>
      </w:r>
      <w:proofErr w:type="spellEnd"/>
      <w:r w:rsidRPr="007C2050">
        <w:rPr>
          <w:rFonts w:ascii="Times New Roman" w:hAnsi="Times New Roman" w:cs="Times New Roman"/>
          <w:color w:val="000000"/>
          <w:spacing w:val="3"/>
          <w:sz w:val="24"/>
          <w:szCs w:val="24"/>
        </w:rPr>
        <w:t>:</w:t>
      </w:r>
    </w:p>
    <w:p w14:paraId="157F7047" w14:textId="22D3AA30" w:rsidR="002C5713" w:rsidRPr="002C5713" w:rsidRDefault="005427D4" w:rsidP="002C5713">
      <w:pPr>
        <w:pStyle w:val="ListParagraph"/>
        <w:numPr>
          <w:ilvl w:val="0"/>
          <w:numId w:val="1"/>
        </w:numPr>
        <w:tabs>
          <w:tab w:val="decimal" w:pos="432"/>
          <w:tab w:val="left" w:pos="423"/>
        </w:tabs>
        <w:spacing w:before="180" w:line="312" w:lineRule="auto"/>
        <w:ind w:right="72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me </w:t>
      </w:r>
      <w:proofErr w:type="spellStart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numër</w:t>
      </w:r>
      <w:proofErr w:type="spellEnd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spellStart"/>
      <w:r w:rsidR="008302E6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fiskal</w:t>
      </w:r>
      <w:proofErr w:type="spellEnd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spellStart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>unik</w:t>
      </w:r>
      <w:proofErr w:type="spellEnd"/>
      <w:r w:rsidR="0004070A" w:rsidRPr="002C571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="00414104" w:rsidRPr="00414104">
        <w:rPr>
          <w:rFonts w:ascii="Times New Roman" w:hAnsi="Times New Roman" w:cs="Times New Roman"/>
          <w:b/>
          <w:bCs/>
          <w:color w:val="000000"/>
          <w:spacing w:val="12"/>
          <w:szCs w:val="24"/>
        </w:rPr>
        <w:t>812066753</w:t>
      </w:r>
    </w:p>
    <w:p w14:paraId="48D05334" w14:textId="5454A440" w:rsidR="007C2050" w:rsidRPr="002C5713" w:rsidRDefault="00A97CD4" w:rsidP="002C5713">
      <w:pPr>
        <w:pStyle w:val="ListParagraph"/>
        <w:numPr>
          <w:ilvl w:val="0"/>
          <w:numId w:val="1"/>
        </w:numPr>
        <w:tabs>
          <w:tab w:val="decimal" w:pos="432"/>
          <w:tab w:val="left" w:pos="423"/>
        </w:tabs>
        <w:spacing w:before="180" w:line="312" w:lineRule="auto"/>
        <w:ind w:right="72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 xml:space="preserve">“Geo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>Kataster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>Sh.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>P.K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 xml:space="preserve"> </w:t>
      </w:r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me </w:t>
      </w:r>
      <w:proofErr w:type="spellStart"/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numër</w:t>
      </w:r>
      <w:proofErr w:type="spellEnd"/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fiskal</w:t>
      </w:r>
      <w:proofErr w:type="spellEnd"/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unik</w:t>
      </w:r>
      <w:proofErr w:type="spellEnd"/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gramStart"/>
      <w:r w:rsidR="002C5713" w:rsidRPr="002C5713"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>811384528</w:t>
      </w:r>
      <w:r w:rsidR="002C5713"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</w:rPr>
        <w:t xml:space="preserve"> </w:t>
      </w:r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,</w:t>
      </w:r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me</w:t>
      </w:r>
      <w:proofErr w:type="gram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pronar</w:t>
      </w:r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ë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ing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. </w:t>
      </w:r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Liridon Sejdiu</w:t>
      </w:r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, me nr </w:t>
      </w:r>
      <w:proofErr w:type="spellStart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identifikues</w:t>
      </w:r>
      <w:proofErr w:type="spellEnd"/>
      <w:r w:rsidR="00091E95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="002C5713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1174982178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tutje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referuar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>si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="007C2050" w:rsidRPr="002C5713">
        <w:rPr>
          <w:rFonts w:ascii="Times New Roman" w:hAnsi="Times New Roman" w:cs="Times New Roman"/>
          <w:color w:val="000000"/>
          <w:spacing w:val="6"/>
          <w:sz w:val="24"/>
          <w:szCs w:val="24"/>
        </w:rPr>
        <w:t>"</w:t>
      </w:r>
      <w:proofErr w:type="spellStart"/>
      <w:r w:rsidR="007C2050" w:rsidRPr="002C5713">
        <w:rPr>
          <w:rFonts w:ascii="Times New Roman" w:hAnsi="Times New Roman" w:cs="Times New Roman"/>
          <w:color w:val="000000"/>
          <w:spacing w:val="6"/>
          <w:sz w:val="24"/>
          <w:szCs w:val="24"/>
        </w:rPr>
        <w:t>Kontraktuesi</w:t>
      </w:r>
      <w:proofErr w:type="spellEnd"/>
      <w:r w:rsidR="007C2050" w:rsidRPr="002C5713">
        <w:rPr>
          <w:rFonts w:ascii="Times New Roman" w:hAnsi="Times New Roman" w:cs="Times New Roman"/>
          <w:color w:val="000000"/>
          <w:spacing w:val="6"/>
          <w:sz w:val="24"/>
          <w:szCs w:val="24"/>
        </w:rPr>
        <w:t>".</w:t>
      </w:r>
    </w:p>
    <w:p w14:paraId="4DA72D6D" w14:textId="77777777" w:rsidR="002C5713" w:rsidRPr="006200FE" w:rsidRDefault="002C5713" w:rsidP="002C5713">
      <w:pPr>
        <w:tabs>
          <w:tab w:val="decimal" w:pos="360"/>
          <w:tab w:val="decimal" w:pos="432"/>
        </w:tabs>
        <w:spacing w:before="180" w:line="312" w:lineRule="auto"/>
        <w:ind w:left="360" w:right="72"/>
        <w:jc w:val="both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</w:p>
    <w:p w14:paraId="1CC0E6E7" w14:textId="77777777" w:rsidR="006200FE" w:rsidRPr="006200FE" w:rsidRDefault="006200FE" w:rsidP="006200FE">
      <w:pPr>
        <w:spacing w:before="216"/>
        <w:rPr>
          <w:rFonts w:ascii="Times New Roman" w:hAnsi="Times New Roman" w:cs="Times New Roman"/>
          <w:color w:val="000000"/>
          <w:spacing w:val="9"/>
          <w:sz w:val="24"/>
          <w:szCs w:val="24"/>
        </w:rPr>
      </w:pP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Palet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kontraktuese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bien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dakord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per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kushtet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si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me </w:t>
      </w:r>
      <w:proofErr w:type="spellStart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poshte</w:t>
      </w:r>
      <w:proofErr w:type="spellEnd"/>
      <w:r w:rsidRPr="006200FE">
        <w:rPr>
          <w:rFonts w:ascii="Times New Roman" w:hAnsi="Times New Roman" w:cs="Times New Roman"/>
          <w:color w:val="000000"/>
          <w:spacing w:val="9"/>
          <w:sz w:val="24"/>
          <w:szCs w:val="24"/>
        </w:rPr>
        <w:t>:</w:t>
      </w:r>
    </w:p>
    <w:p w14:paraId="2869FF49" w14:textId="77777777" w:rsid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D621657" w14:textId="2AB62303" w:rsid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</w:t>
      </w:r>
    </w:p>
    <w:p w14:paraId="1B54F1BB" w14:textId="3756F0D6" w:rsid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Objekti</w:t>
      </w:r>
      <w:proofErr w:type="spellEnd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</w:t>
      </w:r>
      <w:proofErr w:type="spellEnd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marr</w:t>
      </w: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ë</w:t>
      </w:r>
      <w:r w:rsidRPr="006200FE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veshjes</w:t>
      </w:r>
      <w:proofErr w:type="spellEnd"/>
    </w:p>
    <w:p w14:paraId="7CDFF8C1" w14:textId="77777777" w:rsidR="006200FE" w:rsidRPr="006200FE" w:rsidRDefault="006200FE" w:rsidP="006200F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4CA60B6" w14:textId="251E4A80" w:rsidR="006200FE" w:rsidRPr="006200FE" w:rsidRDefault="006200FE" w:rsidP="00A97774">
      <w:pPr>
        <w:spacing w:before="180" w:line="360" w:lineRule="auto"/>
        <w:ind w:right="72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>veshjes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ofrimi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rtimin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banesor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afarist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parcel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kadastrale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414104">
        <w:rPr>
          <w:rFonts w:ascii="Times New Roman" w:hAnsi="Times New Roman" w:cs="Times New Roman"/>
          <w:color w:val="000000"/>
          <w:spacing w:val="10"/>
          <w:sz w:val="24"/>
          <w:szCs w:val="24"/>
        </w:rPr>
        <w:t>03493-0</w:t>
      </w:r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2C571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Z.K. </w:t>
      </w:r>
      <w:proofErr w:type="spellStart"/>
      <w:r w:rsidR="00FA2E7D">
        <w:rPr>
          <w:rFonts w:ascii="Times New Roman" w:hAnsi="Times New Roman" w:cs="Times New Roman"/>
          <w:color w:val="000000"/>
          <w:spacing w:val="10"/>
          <w:sz w:val="24"/>
          <w:szCs w:val="24"/>
        </w:rPr>
        <w:t>Ferizaj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pranuesin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Detajet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paraqiten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shtojcën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kësaj</w:t>
      </w:r>
      <w:proofErr w:type="spellEnd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8B43C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Pr="006200F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</w:p>
    <w:p w14:paraId="75997F98" w14:textId="77777777" w:rsidR="006200FE" w:rsidRPr="007C2050" w:rsidRDefault="006200FE" w:rsidP="006200FE">
      <w:pPr>
        <w:tabs>
          <w:tab w:val="decimal" w:pos="360"/>
          <w:tab w:val="decimal" w:pos="432"/>
        </w:tabs>
        <w:spacing w:before="180" w:line="312" w:lineRule="auto"/>
        <w:ind w:right="72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</w:p>
    <w:p w14:paraId="59ABBEBA" w14:textId="12C16F0F" w:rsidR="006468A3" w:rsidRDefault="006468A3" w:rsidP="006468A3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2</w:t>
      </w:r>
    </w:p>
    <w:p w14:paraId="2CC0CBED" w14:textId="59035959" w:rsidR="006468A3" w:rsidRDefault="006468A3" w:rsidP="006468A3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Angazhimi</w:t>
      </w:r>
      <w:proofErr w:type="spellEnd"/>
    </w:p>
    <w:p w14:paraId="708780BF" w14:textId="77777777" w:rsidR="003D2E6D" w:rsidRDefault="003D2E6D" w:rsidP="006468A3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4F45C8B3" w14:textId="04688FD1" w:rsidR="006468A3" w:rsidRDefault="005427D4" w:rsidP="006468A3">
      <w:pPr>
        <w:spacing w:before="180" w:line="360" w:lineRule="auto"/>
        <w:ind w:right="72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0"/>
          <w:sz w:val="24"/>
          <w:szCs w:val="24"/>
        </w:rPr>
        <w:t xml:space="preserve">PLAZZA HOLDING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0"/>
          <w:sz w:val="24"/>
          <w:szCs w:val="24"/>
        </w:rPr>
        <w:t>L.L.</w:t>
      </w:r>
      <w:proofErr w:type="gramStart"/>
      <w:r>
        <w:rPr>
          <w:rFonts w:ascii="Times New Roman" w:hAnsi="Times New Roman" w:cs="Times New Roman"/>
          <w:b/>
          <w:bCs/>
          <w:color w:val="000000"/>
          <w:spacing w:val="10"/>
          <w:sz w:val="24"/>
          <w:szCs w:val="24"/>
        </w:rPr>
        <w:t>C.</w:t>
      </w:r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shpreh</w:t>
      </w:r>
      <w:proofErr w:type="spellEnd"/>
      <w:proofErr w:type="gram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vullnetin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angazhoje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Kontraktuesin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A97774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A97774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ofruar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94705A"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(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tutje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"</w:t>
      </w:r>
      <w:proofErr w:type="spellStart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Sherbimet</w:t>
      </w:r>
      <w:proofErr w:type="spellEnd"/>
      <w:r w:rsidR="006468A3" w:rsidRP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")</w:t>
      </w:r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përcaktuara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Shtojcën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bashkangjitur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pranon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këtë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angazhim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Palët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>pajtohen</w:t>
      </w:r>
      <w:proofErr w:type="spellEnd"/>
      <w:r w:rsidR="006468A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shtojca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lastRenderedPageBreak/>
        <w:t>kësaj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pjesë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integrale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pandashme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kësaj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interpretohet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tërësinë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="001C1E3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</w:t>
      </w:r>
    </w:p>
    <w:p w14:paraId="4ED3C7D0" w14:textId="3EBC4ADB" w:rsidR="006468A3" w:rsidRDefault="006468A3" w:rsidP="006468A3">
      <w:pPr>
        <w:spacing w:line="295" w:lineRule="auto"/>
        <w:jc w:val="center"/>
        <w:rPr>
          <w:rFonts w:ascii="Tahoma" w:hAnsi="Tahoma"/>
          <w:color w:val="000000"/>
          <w:spacing w:val="5"/>
          <w:sz w:val="18"/>
        </w:rPr>
      </w:pPr>
    </w:p>
    <w:p w14:paraId="798D995D" w14:textId="2DFA37AC" w:rsidR="003D2E6D" w:rsidRDefault="003D2E6D" w:rsidP="003D2E6D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3</w:t>
      </w:r>
    </w:p>
    <w:p w14:paraId="484182BD" w14:textId="0FD40CE4" w:rsidR="003D2E6D" w:rsidRDefault="003D2E6D" w:rsidP="003D2E6D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Shërbimet</w:t>
      </w:r>
      <w:proofErr w:type="spellEnd"/>
    </w:p>
    <w:p w14:paraId="5DE859F5" w14:textId="597B107F" w:rsidR="003D2E6D" w:rsidRDefault="003D2E6D" w:rsidP="003D2E6D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Sherbimet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o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ofrohen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to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kryhen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etik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profesionalizem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lart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ashtu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pritet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nj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profesionist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fushes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 xml:space="preserve">PLAZZA HOLDING </w:t>
      </w:r>
      <w:proofErr w:type="spellStart"/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L.L.</w:t>
      </w:r>
      <w:proofErr w:type="gramStart"/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proofErr w:type="gram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anën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tjetër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zotohet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se 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do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siguroj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asje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pakufizuar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dokumentet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softuer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informacionet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materiale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posedim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cilat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jenë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bazë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kryerjen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detyrave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>ingjinjeris</w:t>
      </w:r>
      <w:r w:rsidR="00530D5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D272C"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EC17BA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EC17B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ana e </w:t>
      </w:r>
      <w:proofErr w:type="spellStart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Kontraktuesit</w:t>
      </w:r>
      <w:proofErr w:type="spellEnd"/>
      <w:r w:rsidRPr="003D2E6D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0D4196" w14:textId="77777777" w:rsidR="00EC17BA" w:rsidRPr="003D2E6D" w:rsidRDefault="00EC17BA" w:rsidP="003D2E6D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0BCAEF8E" w14:textId="36FD9008" w:rsidR="00EC17BA" w:rsidRDefault="00EC17BA" w:rsidP="00EC17B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4</w:t>
      </w:r>
    </w:p>
    <w:p w14:paraId="0354D69C" w14:textId="6C8464D2" w:rsidR="00EC17BA" w:rsidRDefault="00EC17BA" w:rsidP="00EC17B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Përfaqësimet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garancitë</w:t>
      </w:r>
      <w:proofErr w:type="spellEnd"/>
    </w:p>
    <w:p w14:paraId="3608976F" w14:textId="68A8D520" w:rsidR="002A255A" w:rsidRDefault="002A255A" w:rsidP="00EC17BA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përfaqëson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garanton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asnje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kontrakual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tjetër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përputhje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implementimin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kësaj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ndërhyjë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kryerjen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ofruara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B7546E0" w14:textId="77777777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7468822" w14:textId="7C39E8CA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5</w:t>
      </w:r>
    </w:p>
    <w:p w14:paraId="41A9B9B7" w14:textId="70D1D4FF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Kohëzgjatja</w:t>
      </w:r>
      <w:proofErr w:type="spellEnd"/>
    </w:p>
    <w:p w14:paraId="3CE52290" w14:textId="77777777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384FD9E4" w14:textId="192DD64F" w:rsidR="002A255A" w:rsidRDefault="002A255A" w:rsidP="002A255A">
      <w:pPr>
        <w:spacing w:before="216" w:line="316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fillon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da</w:t>
      </w:r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tën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414104">
        <w:rPr>
          <w:rFonts w:ascii="Times New Roman" w:hAnsi="Times New Roman" w:cs="Times New Roman"/>
          <w:color w:val="000000"/>
          <w:spacing w:val="10"/>
          <w:sz w:val="24"/>
          <w:szCs w:val="24"/>
        </w:rPr>
        <w:t>13/06/2025</w:t>
      </w:r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(“data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efektive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”)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përfundon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datë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Gjer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regjistrimin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apo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rast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shk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putjes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E2573">
        <w:rPr>
          <w:rFonts w:ascii="Times New Roman" w:hAnsi="Times New Roman" w:cs="Times New Roman"/>
          <w:color w:val="000000"/>
          <w:spacing w:val="10"/>
          <w:sz w:val="24"/>
          <w:szCs w:val="24"/>
        </w:rPr>
        <w:t>bashkpunimit</w:t>
      </w:r>
      <w:proofErr w:type="spellEnd"/>
      <w:r w:rsidRPr="00440E15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18BF92AE" w14:textId="718541FE" w:rsidR="00DD5486" w:rsidRDefault="00DD5486"/>
    <w:p w14:paraId="17160412" w14:textId="77777777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509A882" w14:textId="1B27B576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D69371F" w14:textId="28749680" w:rsidR="00440E15" w:rsidRDefault="00440E15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BBE781B" w14:textId="751261D9" w:rsidR="00440E15" w:rsidRDefault="00440E15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D40AAF4" w14:textId="77777777" w:rsidR="00440E15" w:rsidRDefault="00440E15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DFEB1CF" w14:textId="77777777" w:rsidR="00414104" w:rsidRDefault="00414104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6686D636" w14:textId="77777777" w:rsidR="00414104" w:rsidRDefault="00414104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0F1F7BBC" w14:textId="3CD30BD6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6</w:t>
      </w:r>
    </w:p>
    <w:p w14:paraId="45DA881B" w14:textId="79DC0011" w:rsidR="002A255A" w:rsidRDefault="002A255A" w:rsidP="002A255A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Çmimi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pagesa</w:t>
      </w:r>
      <w:proofErr w:type="spellEnd"/>
    </w:p>
    <w:p w14:paraId="19000A3E" w14:textId="446F08DD" w:rsidR="00F82F90" w:rsidRDefault="00F82F90">
      <w:pPr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72B3EE22" w14:textId="77777777" w:rsidR="00F82F90" w:rsidRDefault="00F82F90">
      <w:pPr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tbl>
      <w:tblPr>
        <w:tblW w:w="9148" w:type="dxa"/>
        <w:tblInd w:w="93" w:type="dxa"/>
        <w:tblLook w:val="04A0" w:firstRow="1" w:lastRow="0" w:firstColumn="1" w:lastColumn="0" w:noHBand="0" w:noVBand="1"/>
      </w:tblPr>
      <w:tblGrid>
        <w:gridCol w:w="344"/>
        <w:gridCol w:w="523"/>
        <w:gridCol w:w="4840"/>
        <w:gridCol w:w="974"/>
        <w:gridCol w:w="924"/>
        <w:gridCol w:w="757"/>
        <w:gridCol w:w="698"/>
        <w:gridCol w:w="88"/>
      </w:tblGrid>
      <w:tr w:rsidR="00F35772" w:rsidRPr="00F35772" w14:paraId="6F93B343" w14:textId="77777777" w:rsidTr="00F35772">
        <w:trPr>
          <w:trHeight w:val="375"/>
        </w:trPr>
        <w:tc>
          <w:tcPr>
            <w:tcW w:w="9148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64CB8AAB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Situacioni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</w:p>
        </w:tc>
      </w:tr>
      <w:tr w:rsidR="00F35772" w:rsidRPr="00F35772" w14:paraId="7E4797ED" w14:textId="77777777" w:rsidTr="00F35772">
        <w:trPr>
          <w:trHeight w:val="300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50F5D2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35772">
              <w:rPr>
                <w:rFonts w:ascii="Calibri" w:eastAsia="Times New Roman" w:hAnsi="Calibri" w:cs="Calibri"/>
                <w:color w:val="000000"/>
              </w:rPr>
              <w:t>nr./</w:t>
            </w:r>
            <w:proofErr w:type="gramEnd"/>
            <w:r w:rsidRPr="00F35772">
              <w:rPr>
                <w:rFonts w:ascii="Calibri" w:eastAsia="Times New Roman" w:hAnsi="Calibri" w:cs="Calibri"/>
                <w:color w:val="000000"/>
              </w:rPr>
              <w:t>pos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CF34319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Pershkrimi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sherbimi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61C655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Oferta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102AA2F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Cmimi</w:t>
            </w:r>
            <w:proofErr w:type="spellEnd"/>
          </w:p>
        </w:tc>
      </w:tr>
      <w:tr w:rsidR="00F35772" w:rsidRPr="00F35772" w14:paraId="3805AEC1" w14:textId="77777777" w:rsidTr="00F35772">
        <w:trPr>
          <w:trHeight w:val="300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9C4A8C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A29E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Matja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llogaritjen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kurbaturave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te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dheut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655C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35772">
              <w:rPr>
                <w:rFonts w:ascii="Calibri" w:eastAsia="Times New Roman" w:hAnsi="Calibri" w:cs="Calibri"/>
                <w:color w:val="000000"/>
              </w:rPr>
              <w:t xml:space="preserve">euro(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paushall</w:t>
            </w:r>
            <w:proofErr w:type="spellEnd"/>
            <w:proofErr w:type="gramEnd"/>
            <w:r w:rsidRPr="00F3577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4BB7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250 €</w:t>
            </w:r>
          </w:p>
        </w:tc>
      </w:tr>
      <w:tr w:rsidR="00F35772" w:rsidRPr="00F35772" w14:paraId="1D03212F" w14:textId="77777777" w:rsidTr="002D638A">
        <w:trPr>
          <w:trHeight w:val="674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0E04F1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81CB" w14:textId="77777777" w:rsidR="00F35772" w:rsidRPr="00F35772" w:rsidRDefault="00F35772" w:rsidP="00F3577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Piketimi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gjitha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shtyllave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F35772">
              <w:rPr>
                <w:rFonts w:ascii="Calibri" w:eastAsia="Times New Roman" w:hAnsi="Calibri" w:cs="Calibri"/>
                <w:color w:val="000000"/>
              </w:rPr>
              <w:t xml:space="preserve">  ,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proofErr w:type="gram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dhe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pergatitja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dokumentacionit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pranim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teknik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2656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5FB2" w14:textId="77777777" w:rsidR="00F35772" w:rsidRPr="00F35772" w:rsidRDefault="00F35772" w:rsidP="00F3577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0.50 €</w:t>
            </w:r>
          </w:p>
        </w:tc>
      </w:tr>
      <w:tr w:rsidR="00414104" w:rsidRPr="00F35772" w14:paraId="1155C179" w14:textId="77777777" w:rsidTr="002D638A">
        <w:trPr>
          <w:trHeight w:val="674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</w:tcPr>
          <w:p w14:paraId="6190565E" w14:textId="438BB8BC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E36D3" w14:textId="623AE481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Vetëm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pllakës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së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ekzekutuar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A4552" w14:textId="085D0B66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2409D" w14:textId="748AF60F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</w:t>
            </w:r>
            <w:r w:rsidRPr="00F35772">
              <w:rPr>
                <w:rFonts w:ascii="Calibri" w:eastAsia="Times New Roman" w:hAnsi="Calibri" w:cs="Calibri"/>
                <w:color w:val="000000"/>
              </w:rPr>
              <w:t>0 €</w:t>
            </w:r>
          </w:p>
        </w:tc>
      </w:tr>
      <w:tr w:rsidR="00414104" w:rsidRPr="00F35772" w14:paraId="7A358178" w14:textId="77777777" w:rsidTr="002D638A">
        <w:trPr>
          <w:trHeight w:val="629"/>
        </w:trPr>
        <w:tc>
          <w:tcPr>
            <w:tcW w:w="8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</w:tcPr>
          <w:p w14:paraId="472A9521" w14:textId="530B40B6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00AF" w14:textId="3D3D00B2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Piketimi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kanaleve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të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ventilimit</w:t>
            </w:r>
            <w:proofErr w:type="spellEnd"/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F106B" w14:textId="7C672F4B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95A05B" w14:textId="5EF55D68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</w:t>
            </w:r>
            <w:r w:rsidRPr="00F35772">
              <w:rPr>
                <w:rFonts w:ascii="Calibri" w:eastAsia="Times New Roman" w:hAnsi="Calibri" w:cs="Calibri"/>
                <w:color w:val="000000"/>
              </w:rPr>
              <w:t>0 €</w:t>
            </w:r>
          </w:p>
        </w:tc>
      </w:tr>
      <w:tr w:rsidR="00414104" w:rsidRPr="00F35772" w14:paraId="2527AF05" w14:textId="77777777" w:rsidTr="00F35772">
        <w:trPr>
          <w:gridAfter w:val="1"/>
          <w:wAfter w:w="88" w:type="dxa"/>
          <w:trHeight w:val="585"/>
        </w:trPr>
        <w:tc>
          <w:tcPr>
            <w:tcW w:w="90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25871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Qmimet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lartëcekura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janë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të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llogaritura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pa TVSH! Si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dhe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persëritja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secilit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pozicion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kushton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po e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njëjta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FF0000"/>
              </w:rPr>
              <w:t>vlerë</w:t>
            </w:r>
            <w:proofErr w:type="spellEnd"/>
            <w:r w:rsidRPr="00F35772">
              <w:rPr>
                <w:rFonts w:ascii="Calibri" w:eastAsia="Times New Roman" w:hAnsi="Calibri" w:cs="Calibri"/>
                <w:color w:val="FF0000"/>
              </w:rPr>
              <w:t xml:space="preserve">! </w:t>
            </w:r>
          </w:p>
        </w:tc>
      </w:tr>
      <w:tr w:rsidR="00414104" w:rsidRPr="00F35772" w14:paraId="25F021AE" w14:textId="77777777" w:rsidTr="00F35772">
        <w:trPr>
          <w:gridAfter w:val="1"/>
          <w:wAfter w:w="88" w:type="dxa"/>
          <w:trHeight w:val="31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2B57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ACF7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67CE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2F37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4104" w:rsidRPr="00F35772" w14:paraId="6E22BF18" w14:textId="77777777" w:rsidTr="00F35772">
        <w:trPr>
          <w:gridAfter w:val="1"/>
          <w:wAfter w:w="88" w:type="dxa"/>
          <w:trHeight w:val="375"/>
        </w:trPr>
        <w:tc>
          <w:tcPr>
            <w:tcW w:w="90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0848DBBE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Situacioni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</w:p>
        </w:tc>
      </w:tr>
      <w:tr w:rsidR="00414104" w:rsidRPr="00F35772" w14:paraId="053B1F48" w14:textId="77777777" w:rsidTr="00F35772">
        <w:trPr>
          <w:gridAfter w:val="1"/>
          <w:wAfter w:w="88" w:type="dxa"/>
          <w:trHeight w:val="375"/>
        </w:trPr>
        <w:tc>
          <w:tcPr>
            <w:tcW w:w="906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14:paraId="4609E8F7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Pergatitja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dokumenatcionit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regjistrim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kadastër</w:t>
            </w:r>
            <w:proofErr w:type="spellEnd"/>
          </w:p>
        </w:tc>
      </w:tr>
      <w:tr w:rsidR="00414104" w:rsidRPr="00F35772" w14:paraId="7E630106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82BAE93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D517B1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Pershkrimi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sherbimit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FAB66B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Oferta</w:t>
            </w:r>
            <w:proofErr w:type="spellEnd"/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0350DE6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Cmimi</w:t>
            </w:r>
            <w:proofErr w:type="spellEnd"/>
          </w:p>
        </w:tc>
      </w:tr>
      <w:tr w:rsidR="00414104" w:rsidRPr="00F35772" w14:paraId="79B26567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2B4688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92EB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Afarizëm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E19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BAEEC" w14:textId="22DD60C6" w:rsidR="00414104" w:rsidRPr="00F35772" w:rsidRDefault="00414104" w:rsidP="004141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414104" w:rsidRPr="00F35772" w14:paraId="0CAF2D80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E9202C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0649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Banimi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F13D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09F62" w14:textId="63B65E8A" w:rsidR="00414104" w:rsidRPr="00F35772" w:rsidRDefault="00414104" w:rsidP="004141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414104" w:rsidRPr="00F35772" w14:paraId="309CC542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713223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29C2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Koridor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9E12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7BA8F" w14:textId="02222290" w:rsidR="00414104" w:rsidRPr="00F35772" w:rsidRDefault="00414104" w:rsidP="004141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414104" w:rsidRPr="00F35772" w14:paraId="625A50A5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484F7E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586F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Depo</w:t>
            </w:r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74FD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BDF81" w14:textId="48A2AFFE" w:rsidR="00414104" w:rsidRPr="00F35772" w:rsidRDefault="00414104" w:rsidP="004141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414104" w:rsidRPr="00F35772" w14:paraId="70AE1901" w14:textId="77777777" w:rsidTr="00F35772">
        <w:trPr>
          <w:gridAfter w:val="1"/>
          <w:wAfter w:w="88" w:type="dxa"/>
          <w:trHeight w:val="300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D4C2A7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4C0C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Hapësira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te</w:t>
            </w:r>
            <w:proofErr w:type="spellEnd"/>
            <w:r w:rsidRPr="00F357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perbashketa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37DB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1C20C" w14:textId="3E09E0EA" w:rsidR="00414104" w:rsidRPr="00F35772" w:rsidRDefault="00414104" w:rsidP="004141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  <w:tr w:rsidR="00414104" w:rsidRPr="00F35772" w14:paraId="441EC19B" w14:textId="77777777" w:rsidTr="00F35772">
        <w:trPr>
          <w:gridAfter w:val="1"/>
          <w:wAfter w:w="88" w:type="dxa"/>
          <w:trHeight w:val="315"/>
        </w:trPr>
        <w:tc>
          <w:tcPr>
            <w:tcW w:w="3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02229D" w14:textId="77777777" w:rsidR="00414104" w:rsidRPr="00F35772" w:rsidRDefault="00414104" w:rsidP="004141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6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C691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5772">
              <w:rPr>
                <w:rFonts w:ascii="Calibri" w:eastAsia="Times New Roman" w:hAnsi="Calibri" w:cs="Calibri"/>
                <w:color w:val="000000"/>
              </w:rPr>
              <w:t>Parkingje</w:t>
            </w:r>
            <w:proofErr w:type="spellEnd"/>
          </w:p>
        </w:tc>
        <w:tc>
          <w:tcPr>
            <w:tcW w:w="189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60DF" w14:textId="77777777" w:rsidR="00414104" w:rsidRPr="00F35772" w:rsidRDefault="00414104" w:rsidP="00414104">
            <w:pPr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euro/m²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D2DB0" w14:textId="3A9A1FAD" w:rsidR="00414104" w:rsidRPr="00F35772" w:rsidRDefault="00414104" w:rsidP="0041410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5772">
              <w:rPr>
                <w:rFonts w:ascii="Calibri" w:eastAsia="Times New Roman" w:hAnsi="Calibri" w:cs="Calibri"/>
                <w:color w:val="000000"/>
              </w:rPr>
              <w:t>0.6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F35772">
              <w:rPr>
                <w:rFonts w:ascii="Calibri" w:eastAsia="Times New Roman" w:hAnsi="Calibri" w:cs="Calibri"/>
                <w:color w:val="000000"/>
              </w:rPr>
              <w:t xml:space="preserve"> €</w:t>
            </w:r>
          </w:p>
        </w:tc>
      </w:tr>
    </w:tbl>
    <w:p w14:paraId="133D98A0" w14:textId="7F760B97" w:rsidR="00F82F90" w:rsidRDefault="00BE4525">
      <w:pPr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Pagesa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kryhet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pas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proofErr w:type="gram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pllak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proofErr w:type="gram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deri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pllak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tjet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gjat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monitorimit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rtimit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br/>
        <w:t xml:space="preserve">Kurse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regjistrimin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pagesa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b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het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para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dor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zimit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2400AC53" w14:textId="337C8A46" w:rsidR="00F82F90" w:rsidRDefault="00F82F90" w:rsidP="00F82F90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7</w:t>
      </w:r>
    </w:p>
    <w:p w14:paraId="6700C7DF" w14:textId="584261DC" w:rsidR="00F82F90" w:rsidRDefault="004D32C4" w:rsidP="004D32C4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Produkti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punës</w:t>
      </w:r>
      <w:proofErr w:type="spellEnd"/>
    </w:p>
    <w:p w14:paraId="05B11A9A" w14:textId="76564C13" w:rsidR="004D32C4" w:rsidRDefault="004D32C4" w:rsidP="004D32C4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DFD5D86" w14:textId="16215B7A" w:rsidR="004D32C4" w:rsidRPr="004D32C4" w:rsidRDefault="004D32C4" w:rsidP="004D32C4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ëtë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termi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"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Punes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"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nkupton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produktet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unës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krijuara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duke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perfshire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por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u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kufizuar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detyrat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rshkruara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Pr="004D32C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A.</w:t>
      </w:r>
    </w:p>
    <w:p w14:paraId="67B175B4" w14:textId="2BEBE567" w:rsidR="004D32C4" w:rsidRDefault="004D32C4" w:rsidP="004D32C4">
      <w:pPr>
        <w:jc w:val="center"/>
      </w:pPr>
    </w:p>
    <w:p w14:paraId="7314223E" w14:textId="77777777" w:rsidR="00414104" w:rsidRDefault="00414104" w:rsidP="004D32C4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38E6EB3" w14:textId="77777777" w:rsidR="00414104" w:rsidRDefault="00414104" w:rsidP="004D32C4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334BEC3D" w14:textId="77777777" w:rsidR="00414104" w:rsidRDefault="00414104" w:rsidP="004D32C4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2425228D" w14:textId="1A39B7C6" w:rsidR="004D32C4" w:rsidRDefault="004D32C4" w:rsidP="004D32C4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8</w:t>
      </w:r>
    </w:p>
    <w:p w14:paraId="3FAB3B70" w14:textId="0339B9BA" w:rsidR="004D32C4" w:rsidRDefault="004D32C4" w:rsidP="004D32C4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Pronësia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Intelektuale</w:t>
      </w:r>
      <w:proofErr w:type="spellEnd"/>
    </w:p>
    <w:p w14:paraId="13CC6AAD" w14:textId="2B76E6AF" w:rsidR="004D32C4" w:rsidRDefault="004D32C4" w:rsidP="004D32C4">
      <w:pPr>
        <w:jc w:val="center"/>
      </w:pPr>
    </w:p>
    <w:p w14:paraId="0B7C7FD9" w14:textId="4017D8E9" w:rsidR="004D32C4" w:rsidRDefault="004D32C4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pajtohet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BC4ACB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BC4ACB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jetë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pronë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vetme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ekskluzive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 xml:space="preserve">PLAZZA HOLDING </w:t>
      </w:r>
      <w:proofErr w:type="spellStart"/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L.L.C.</w:t>
      </w:r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ketë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drejta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çfarëdo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lloji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këtë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 w:rsidR="007C233E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5D89AA" w14:textId="292F424C" w:rsidR="007C233E" w:rsidRDefault="007C233E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siguron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garanton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përdorë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pëlqimin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paraprak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shkrim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  <w:r w:rsidR="0041410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përfshijë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vetëdijshme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apo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shkelte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drejtat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pronësisë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intelektuale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pale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tretë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BBCE37" w14:textId="20E2F743" w:rsidR="007C233E" w:rsidRDefault="007C233E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01EB6EFC" w14:textId="0F295DA3" w:rsidR="007C233E" w:rsidRDefault="007C233E" w:rsidP="007C233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9</w:t>
      </w:r>
    </w:p>
    <w:p w14:paraId="400D6A40" w14:textId="231852ED" w:rsidR="007C233E" w:rsidRDefault="007C233E" w:rsidP="007C233E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Mos-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performanca</w:t>
      </w:r>
      <w:proofErr w:type="spellEnd"/>
    </w:p>
    <w:p w14:paraId="3E3492AB" w14:textId="6DAD5EB7" w:rsidR="007C233E" w:rsidRDefault="007C233E" w:rsidP="007C233E">
      <w:pPr>
        <w:jc w:val="both"/>
      </w:pPr>
    </w:p>
    <w:p w14:paraId="2F179588" w14:textId="2390CF0C" w:rsidR="00C40289" w:rsidRDefault="00C40289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subjekt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ndërmerren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standard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kënaqshëm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ndërmerren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brenda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afateve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caktuara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kohore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atëher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  <w:r w:rsidR="0041410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gëzon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drejtën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ndaljes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deri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pranojë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kënaqshme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="00230F03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Nëse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përmbush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obligimet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tij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kontraktuale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sipas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shtojces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edhe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mbas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paralejmerimit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ana e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  <w:r w:rsidR="00BB52EC" w:rsidRP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ab/>
      </w:r>
      <w:proofErr w:type="gramStart"/>
      <w:r w:rsid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ateher</w:t>
      </w:r>
      <w:proofErr w:type="spellEnd"/>
      <w:proofErr w:type="gram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pagesa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="00451D1C">
        <w:rPr>
          <w:rFonts w:ascii="Times New Roman" w:hAnsi="Times New Roman" w:cs="Times New Roman"/>
          <w:color w:val="000000"/>
          <w:spacing w:val="10"/>
          <w:sz w:val="24"/>
          <w:szCs w:val="24"/>
        </w:rPr>
        <w:t>kryhet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  <w:r w:rsidR="00BB52EC" w:rsidRP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ab/>
      </w:r>
      <w:r w:rsidR="00BB52E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ka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obligim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per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permbushjen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se </w:t>
      </w:r>
      <w:proofErr w:type="spellStart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njejtes</w:t>
      </w:r>
      <w:proofErr w:type="spellEnd"/>
      <w:r w:rsidR="0065598F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6A54CDF2" w14:textId="05F961E1" w:rsidR="00C40289" w:rsidRDefault="00C40289" w:rsidP="007C233E">
      <w:pPr>
        <w:jc w:val="both"/>
      </w:pPr>
    </w:p>
    <w:p w14:paraId="4B2CAFC8" w14:textId="0C606A98" w:rsidR="00BC4ACB" w:rsidRDefault="00BC4ACB" w:rsidP="007C233E">
      <w:pPr>
        <w:jc w:val="both"/>
      </w:pPr>
    </w:p>
    <w:p w14:paraId="69E60203" w14:textId="77777777" w:rsidR="00BC4ACB" w:rsidRDefault="00BC4ACB" w:rsidP="007C233E">
      <w:pPr>
        <w:jc w:val="both"/>
      </w:pPr>
    </w:p>
    <w:p w14:paraId="00B7249A" w14:textId="2C923ADA" w:rsidR="00C40289" w:rsidRDefault="00C40289" w:rsidP="00C40289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10</w:t>
      </w:r>
    </w:p>
    <w:p w14:paraId="0D03E504" w14:textId="01C6D055" w:rsidR="00C40289" w:rsidRDefault="00C40289" w:rsidP="00C40289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Informacioni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sekret</w:t>
      </w:r>
      <w:proofErr w:type="spellEnd"/>
    </w:p>
    <w:p w14:paraId="1254B132" w14:textId="77777777" w:rsidR="00C40289" w:rsidRDefault="00C40289" w:rsidP="00C40289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76D912E7" w14:textId="6D03851F" w:rsidR="00C40289" w:rsidRDefault="00F6187E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këtë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termi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nënkupton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lidhen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biznesin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  <w:r w:rsidR="0041410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duke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përfshirë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por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 u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kufizuar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informatat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financiare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produktet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proceset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teknikat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teknologjinë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softuerët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kno</w:t>
      </w:r>
      <w:r w:rsidR="002D638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-ho</w:t>
      </w:r>
      <w:r w:rsidR="002D638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sekretet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afariste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klientët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furnizuesit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informatat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pranuara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mënyrë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direkte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indirekte</w:t>
      </w:r>
      <w:proofErr w:type="spellEnd"/>
      <w:r w:rsidR="00923436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6FA4C39E" w14:textId="1EF1825B" w:rsidR="00923436" w:rsidRDefault="00923436" w:rsidP="007C233E">
      <w:pPr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7503D2F0" w14:textId="25A8AFA0" w:rsidR="00923436" w:rsidRDefault="00923436" w:rsidP="00923436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11</w:t>
      </w:r>
    </w:p>
    <w:p w14:paraId="2EC0266B" w14:textId="45AA2327" w:rsidR="00923436" w:rsidRDefault="00923436" w:rsidP="00923436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Detyrimi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shpalosjes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mospërdorimit</w:t>
      </w:r>
      <w:proofErr w:type="spellEnd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të</w:t>
      </w:r>
      <w:proofErr w:type="spellEnd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informacionit</w:t>
      </w:r>
      <w:proofErr w:type="spellEnd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</w:t>
      </w:r>
      <w:proofErr w:type="spellStart"/>
      <w:r w:rsidR="000D2E2D"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sekret</w:t>
      </w:r>
      <w:proofErr w:type="spellEnd"/>
    </w:p>
    <w:p w14:paraId="32229D93" w14:textId="3102DBE2" w:rsidR="00923436" w:rsidRDefault="00923436" w:rsidP="007C233E">
      <w:pPr>
        <w:jc w:val="both"/>
      </w:pPr>
    </w:p>
    <w:p w14:paraId="3A1EE8F1" w14:textId="77777777" w:rsidR="00414104" w:rsidRDefault="000D2E2D" w:rsidP="00414104">
      <w:pPr>
        <w:tabs>
          <w:tab w:val="decimal" w:pos="1296"/>
        </w:tabs>
        <w:spacing w:before="216" w:line="30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perdor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Informacionin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çfarëdo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qëllimi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përveçse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kryerjen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Sherbimeve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detyrohet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mos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zbuloje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Informacionin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tek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palet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treta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perve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nje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zbulim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llë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kerkohe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dh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gjykat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fuqin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lastRenderedPageBreak/>
        <w:t>ligjit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  <w:r w:rsidR="00414104">
        <w:rPr>
          <w:rFonts w:ascii="Times New Roman" w:hAnsi="Times New Roman" w:cs="Times New Roman"/>
          <w:color w:val="000000"/>
          <w:spacing w:val="10"/>
          <w:sz w:val="24"/>
          <w:szCs w:val="24"/>
        </w:rPr>
        <w:br/>
      </w:r>
    </w:p>
    <w:p w14:paraId="7D5FEBE9" w14:textId="78F49C41" w:rsidR="000D2E2D" w:rsidRPr="000D2E2D" w:rsidRDefault="000D2E2D" w:rsidP="00414104">
      <w:pPr>
        <w:tabs>
          <w:tab w:val="decimal" w:pos="1296"/>
        </w:tabs>
        <w:spacing w:before="216" w:line="30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Pas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perfundimit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Marreveshjeje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t'i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dor</w:t>
      </w:r>
      <w:r w:rsidR="00230F0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zoj</w:t>
      </w:r>
      <w:r w:rsidR="00230F03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  <w:r w:rsidR="0041410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Informatat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Sekrete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form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prekshme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mund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jen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dosjet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dokumentet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specifikimet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informacionet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</w:t>
      </w:r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ateriale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posedim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nen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kontrollin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tij</w:t>
      </w:r>
      <w:proofErr w:type="spellEnd"/>
      <w:r w:rsidRPr="000D2E2D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5BA4D3C" w14:textId="5BE1E6ED" w:rsidR="000D2E2D" w:rsidRDefault="000D2E2D" w:rsidP="007C233E">
      <w:pPr>
        <w:jc w:val="both"/>
      </w:pPr>
    </w:p>
    <w:p w14:paraId="30B8F0F8" w14:textId="5CDB65F2" w:rsidR="00E75D5C" w:rsidRDefault="00E75D5C" w:rsidP="00E75D5C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12</w:t>
      </w:r>
    </w:p>
    <w:p w14:paraId="420132F5" w14:textId="64395EB2" w:rsidR="00E75D5C" w:rsidRDefault="00E75D5C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Interpretimi</w:t>
      </w:r>
      <w:proofErr w:type="spellEnd"/>
    </w:p>
    <w:p w14:paraId="07F2B93F" w14:textId="77777777" w:rsidR="00E75D5C" w:rsidRDefault="00E75D5C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283BFB4" w14:textId="37E82128" w:rsidR="00E75D5C" w:rsidRDefault="00E75D5C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gjitha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nenet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kushtet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Marreveshjeje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rcaktuara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Shtojcen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 do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interpretohen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rputhje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kuptimin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gjuh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rdorur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interpretohen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ose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kund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asnj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shkak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autor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sis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saj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Marreveshjeje</w:t>
      </w:r>
      <w:proofErr w:type="spellEnd"/>
      <w:r w:rsidRPr="00E75D5C"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F4CBCDE" w14:textId="2EF05FDE" w:rsidR="00BC4ACB" w:rsidRDefault="00BC4ACB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Palët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ashtu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dakordohen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kontraktuesi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mban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përgjegjësinë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vetëm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periudhën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brenda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cilës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aktive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kontratë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5A1F2804" w14:textId="77777777" w:rsidR="00BC4ACB" w:rsidRPr="00E75D5C" w:rsidRDefault="00BC4ACB" w:rsidP="00E75D5C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4DC9D1D5" w14:textId="77777777" w:rsidR="00E75D5C" w:rsidRDefault="00E75D5C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7FAFA496" w14:textId="457E2AF9" w:rsidR="00E75D5C" w:rsidRDefault="00E75D5C" w:rsidP="00E75D5C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13</w:t>
      </w:r>
    </w:p>
    <w:p w14:paraId="104A0FBF" w14:textId="63C3413A" w:rsidR="00E75D5C" w:rsidRDefault="007632EE" w:rsidP="00E75D5C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Zgjidhja</w:t>
      </w:r>
      <w:proofErr w:type="spellEnd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mosmarrëveshjeve</w:t>
      </w:r>
      <w:proofErr w:type="spellEnd"/>
    </w:p>
    <w:p w14:paraId="0464F934" w14:textId="1FE95A63" w:rsidR="00E75D5C" w:rsidRDefault="00E75D5C" w:rsidP="007C233E">
      <w:pPr>
        <w:jc w:val="both"/>
      </w:pPr>
    </w:p>
    <w:p w14:paraId="07885F6E" w14:textId="3AC7AF5D" w:rsidR="007632EE" w:rsidRDefault="007632EE" w:rsidP="007632EE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akordohen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jn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rpjekjet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tyre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per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zgjidhur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mosmarreveshjet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lindin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lidhje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rmes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negociatave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mir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besim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. Per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ç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do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mosmarreveshje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kundert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hë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nie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apo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pretendim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lind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rmjet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ve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lidhje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Marreveshje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z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gjidhet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negociata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rmjet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ve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pranojne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kompetencen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lendore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territorial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Gjykates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Themelor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Ferizaj</w:t>
      </w:r>
      <w:proofErr w:type="spellEnd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br/>
        <w:t xml:space="preserve">Kurse </w:t>
      </w:r>
      <w:proofErr w:type="spellStart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obligimet</w:t>
      </w:r>
      <w:proofErr w:type="spellEnd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mbledhura</w:t>
      </w:r>
      <w:proofErr w:type="spellEnd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dokumentuara</w:t>
      </w:r>
      <w:proofErr w:type="spellEnd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zgjidhen</w:t>
      </w:r>
      <w:proofErr w:type="spellEnd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tek</w:t>
      </w:r>
      <w:proofErr w:type="spellEnd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përmbaruesi</w:t>
      </w:r>
      <w:proofErr w:type="spellEnd"/>
      <w:r w:rsidR="00C9490F">
        <w:rPr>
          <w:rFonts w:ascii="Times New Roman" w:hAnsi="Times New Roman" w:cs="Times New Roman"/>
          <w:color w:val="000000"/>
          <w:spacing w:val="10"/>
          <w:sz w:val="24"/>
          <w:szCs w:val="24"/>
        </w:rPr>
        <w:t>!</w:t>
      </w:r>
    </w:p>
    <w:p w14:paraId="3576E53C" w14:textId="2D45015F" w:rsidR="007632EE" w:rsidRDefault="007632EE" w:rsidP="007632EE">
      <w:pPr>
        <w:tabs>
          <w:tab w:val="decimal" w:pos="1296"/>
        </w:tabs>
        <w:spacing w:before="180" w:line="321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</w:p>
    <w:p w14:paraId="4A4FC5B1" w14:textId="77777777" w:rsidR="00414104" w:rsidRDefault="00414104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09B5781D" w14:textId="77777777" w:rsidR="00414104" w:rsidRDefault="00414104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AF1438E" w14:textId="77777777" w:rsidR="00414104" w:rsidRDefault="00414104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46B028EA" w14:textId="77777777" w:rsidR="00414104" w:rsidRDefault="00414104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7BBBDC6F" w14:textId="77777777" w:rsidR="00414104" w:rsidRDefault="00414104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57FC15DB" w14:textId="77777777" w:rsidR="00414104" w:rsidRDefault="00414104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1FFB1A47" w14:textId="77777777" w:rsidR="00414104" w:rsidRDefault="00414104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</w:p>
    <w:p w14:paraId="30578C76" w14:textId="7CDF5CE1" w:rsidR="007632EE" w:rsidRDefault="007632EE" w:rsidP="007632EE">
      <w:pPr>
        <w:spacing w:before="108" w:line="264" w:lineRule="auto"/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Neni 14</w:t>
      </w:r>
    </w:p>
    <w:p w14:paraId="4B52536E" w14:textId="368CF006" w:rsidR="007632EE" w:rsidRPr="00673511" w:rsidRDefault="007632EE" w:rsidP="00673511">
      <w:pPr>
        <w:jc w:val="center"/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Nënshkrimi</w:t>
      </w:r>
      <w:proofErr w:type="spellEnd"/>
    </w:p>
    <w:p w14:paraId="1F3EF175" w14:textId="45E48088" w:rsidR="00BC4ACB" w:rsidRDefault="007632EE" w:rsidP="00D31DDA">
      <w:p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njoftimit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përmbajtjen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marrëveshjes</w:t>
      </w:r>
      <w:proofErr w:type="spellEnd"/>
      <w:r w:rsidRPr="007632EE">
        <w:rPr>
          <w:rFonts w:ascii="Times New Roman" w:hAnsi="Times New Roman" w:cs="Times New Roman"/>
          <w:color w:val="000000"/>
          <w:spacing w:val="10"/>
          <w:sz w:val="24"/>
          <w:szCs w:val="24"/>
        </w:rPr>
        <w:t>,</w:t>
      </w:r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kjo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Marrëveshje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u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nënshkrua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Palët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me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datën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shënuar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poshtë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E5102">
        <w:rPr>
          <w:rFonts w:ascii="Times New Roman" w:hAnsi="Times New Roman" w:cs="Times New Roman"/>
          <w:color w:val="000000"/>
          <w:spacing w:val="10"/>
          <w:sz w:val="24"/>
          <w:szCs w:val="24"/>
        </w:rPr>
        <w:t>Ferizaj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dy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(2) kopje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autentike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cilat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secilës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pale I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mbetet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 w:rsidR="0004070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Kopje.</w:t>
      </w:r>
    </w:p>
    <w:p w14:paraId="63DD234B" w14:textId="5D71862C" w:rsidR="0004070A" w:rsidRDefault="00A97CD4" w:rsidP="00414104">
      <w:pPr>
        <w:spacing w:before="180" w:after="468" w:line="312" w:lineRule="auto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 w:rsidRPr="00A97CD4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"Geo </w:t>
      </w:r>
      <w:proofErr w:type="spellStart"/>
      <w:r w:rsidRPr="00A97CD4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Kataster</w:t>
      </w:r>
      <w:proofErr w:type="spellEnd"/>
      <w:r w:rsidRPr="00A97CD4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" </w:t>
      </w:r>
      <w:proofErr w:type="spellStart"/>
      <w:r w:rsidRPr="00A97CD4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Sh.</w:t>
      </w:r>
      <w:proofErr w:type="gramStart"/>
      <w:r w:rsidRPr="00A97CD4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P.K</w:t>
      </w:r>
      <w:proofErr w:type="spellEnd"/>
      <w:proofErr w:type="gramEnd"/>
      <w:r w:rsidR="008A60D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8A60D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  <w:r w:rsidR="00414104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8A60D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</w:p>
    <w:p w14:paraId="441718F1" w14:textId="07EB5186" w:rsidR="0004070A" w:rsidRDefault="0004070A" w:rsidP="007632EE">
      <w:pPr>
        <w:spacing w:before="180" w:after="468" w:line="312" w:lineRule="auto"/>
        <w:ind w:left="864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_____________________</w:t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  <w:t>___________________</w:t>
      </w:r>
    </w:p>
    <w:p w14:paraId="4C8027FF" w14:textId="16EF32CF" w:rsidR="00A133B5" w:rsidRPr="00D31DDA" w:rsidRDefault="0004070A" w:rsidP="00D31DDA">
      <w:pPr>
        <w:spacing w:before="180" w:after="468" w:line="312" w:lineRule="auto"/>
        <w:ind w:left="864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Data: </w:t>
      </w:r>
      <w:r w:rsidR="00414104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13/06/2025</w:t>
      </w:r>
    </w:p>
    <w:p w14:paraId="4FE615F1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06047701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2B2AD14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7F34CABA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18D1E4C4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49632E8B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1EDCB5FA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B4C9CAC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508EB47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68E6FC22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04F56394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1084DB96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55548DC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42018CE8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76A17D3C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55FAA65F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61D1BF64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419FB606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3B1B238E" w14:textId="77777777" w:rsidR="00414104" w:rsidRDefault="00414104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679F2803" w14:textId="20857661" w:rsidR="00493C46" w:rsidRDefault="00493C46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  <w:r w:rsidRPr="00493C46"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  <w:t>SHTOJCA A</w:t>
      </w:r>
    </w:p>
    <w:p w14:paraId="43936559" w14:textId="77777777" w:rsidR="00493C46" w:rsidRPr="00493C46" w:rsidRDefault="00493C46" w:rsidP="00493C46">
      <w:pPr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</w:pPr>
    </w:p>
    <w:p w14:paraId="2639B51C" w14:textId="4AEAAF74" w:rsidR="00493C46" w:rsidRDefault="00493C46" w:rsidP="00493C46">
      <w:pP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12"/>
          <w:sz w:val="28"/>
          <w:szCs w:val="28"/>
        </w:rPr>
        <w:t>FUSHËVEPRIMI I SHËRBIMEVE</w:t>
      </w:r>
    </w:p>
    <w:p w14:paraId="62275313" w14:textId="7BEA7522" w:rsidR="00493C46" w:rsidRDefault="00A97CD4" w:rsidP="00493C46">
      <w:p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“Geo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Kataster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Sh.</w:t>
      </w:r>
      <w:proofErr w:type="gram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P.K</w:t>
      </w:r>
      <w:proofErr w:type="spellEnd"/>
      <w:proofErr w:type="gram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do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ofroj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një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apo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më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shumë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këto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shërbime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kërkesë</w:t>
      </w:r>
      <w:proofErr w:type="spellEnd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93C46">
        <w:rPr>
          <w:rFonts w:ascii="Times New Roman" w:hAnsi="Times New Roman" w:cs="Times New Roman"/>
          <w:color w:val="000000"/>
          <w:spacing w:val="10"/>
          <w:sz w:val="24"/>
          <w:szCs w:val="24"/>
        </w:rPr>
        <w:t>të</w:t>
      </w:r>
      <w:proofErr w:type="spellEnd"/>
      <w:r w:rsidR="008A60DA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</w:p>
    <w:p w14:paraId="599AAA54" w14:textId="6E6CAC0E" w:rsidR="003D7C4A" w:rsidRPr="00BE4525" w:rsidRDefault="003D7C4A" w:rsidP="003D7C4A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rgatitja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manualit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leje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rtimore</w:t>
      </w:r>
      <w:proofErr w:type="spellEnd"/>
    </w:p>
    <w:p w14:paraId="269C6D4E" w14:textId="485DDF08" w:rsidR="00BE4525" w:rsidRPr="00BE4525" w:rsidRDefault="003D7C4A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themelit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rmim</w:t>
      </w:r>
      <w:proofErr w:type="spellEnd"/>
    </w:p>
    <w:p w14:paraId="0C5BBDF0" w14:textId="1BC9AE64" w:rsidR="00BE4525" w:rsidRDefault="00BE4525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shtyllave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</w:p>
    <w:p w14:paraId="6659D9D9" w14:textId="144AE500" w:rsidR="00BE4525" w:rsidRDefault="00BE4525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rgatitja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elaborative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gjeodezike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pranim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teknik</w:t>
      </w:r>
      <w:proofErr w:type="spellEnd"/>
    </w:p>
    <w:p w14:paraId="7C081B01" w14:textId="63CF5030" w:rsidR="00BE4525" w:rsidRPr="00BE4525" w:rsidRDefault="00BE4525" w:rsidP="00BE4525">
      <w:pPr>
        <w:pStyle w:val="ListParagraph"/>
        <w:numPr>
          <w:ilvl w:val="0"/>
          <w:numId w:val="4"/>
        </w:num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rgatitja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elaborative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regjistrim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katast</w:t>
      </w:r>
      <w:r w:rsidR="00580DA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</w:p>
    <w:p w14:paraId="47AC4B97" w14:textId="03F88581" w:rsidR="00E908CB" w:rsidRDefault="00E908CB" w:rsidP="00673511">
      <w:pPr>
        <w:spacing w:before="180" w:after="468" w:line="312" w:lineRule="auto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rejtje!N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proofErr w:type="gram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kuad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kesaj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marrveshje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rfshir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kanaleve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ventilimit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oxhaqeve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kufirit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</w:t>
      </w:r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I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cili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="004B1FBC">
        <w:rPr>
          <w:rFonts w:ascii="Times New Roman" w:hAnsi="Times New Roman" w:cs="Times New Roman"/>
          <w:color w:val="000000"/>
          <w:spacing w:val="-2"/>
          <w:sz w:val="24"/>
          <w:szCs w:val="24"/>
        </w:rPr>
        <w:t>ë</w:t>
      </w:r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sht</w:t>
      </w:r>
      <w:r w:rsidR="004B1FBC">
        <w:rPr>
          <w:rFonts w:ascii="Times New Roman" w:hAnsi="Times New Roman" w:cs="Times New Roman"/>
          <w:color w:val="000000"/>
          <w:spacing w:val="-2"/>
          <w:sz w:val="24"/>
          <w:szCs w:val="24"/>
        </w:rPr>
        <w:t>ë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I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derivuesh</w:t>
      </w:r>
      <w:r w:rsidR="004B1FBC">
        <w:rPr>
          <w:rFonts w:ascii="Times New Roman" w:hAnsi="Times New Roman" w:cs="Times New Roman"/>
          <w:color w:val="000000"/>
          <w:spacing w:val="-2"/>
          <w:sz w:val="24"/>
          <w:szCs w:val="24"/>
        </w:rPr>
        <w:t>ë</w:t>
      </w:r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m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nga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shtyllat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e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piketuara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-2"/>
          <w:sz w:val="24"/>
          <w:szCs w:val="24"/>
        </w:rPr>
        <w:t>ë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objektit</w:t>
      </w:r>
      <w:proofErr w:type="spellEnd"/>
      <w:r w:rsidRPr="00E908CB">
        <w:rPr>
          <w:rFonts w:ascii="Times New Roman" w:hAnsi="Times New Roman" w:cs="Times New Roman"/>
          <w:color w:val="000000"/>
          <w:spacing w:val="-2"/>
          <w:sz w:val="24"/>
          <w:szCs w:val="24"/>
        </w:rPr>
        <w:t>)</w:t>
      </w:r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piketimi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I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oxhaqeve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ne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katin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1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bëhet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pa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pagesa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shtesë</w:t>
      </w:r>
      <w:proofErr w:type="spellEnd"/>
      <w:r w:rsidR="002D638A">
        <w:rPr>
          <w:rFonts w:ascii="Times New Roman" w:hAnsi="Times New Roman" w:cs="Times New Roman"/>
          <w:color w:val="000000"/>
          <w:spacing w:val="-2"/>
          <w:sz w:val="24"/>
          <w:szCs w:val="24"/>
        </w:rPr>
        <w:t>!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rast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rkes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rbime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speciale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at’her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negociuar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qmimi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lart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cekur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nenin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4B1FBC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marrveshjes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.</w:t>
      </w:r>
    </w:p>
    <w:p w14:paraId="01071198" w14:textId="7DB00CAC" w:rsidR="004B1FBC" w:rsidRDefault="004B1FBC" w:rsidP="004B1FBC">
      <w:pPr>
        <w:spacing w:before="100" w:beforeAutospacing="1" w:line="312" w:lineRule="auto"/>
        <w:ind w:right="-288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rast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shkeljes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lejes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rtimore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ana 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kryesit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(me apo pa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dashje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), jam I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detyruar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t’ju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njoftoj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shkrim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elaborate special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till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juve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ashtu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organet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gjegj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shtetit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!</w:t>
      </w:r>
    </w:p>
    <w:p w14:paraId="191E839C" w14:textId="25C6252A" w:rsidR="00721845" w:rsidRPr="00BC4ACB" w:rsidRDefault="004B1FBC" w:rsidP="00673511">
      <w:pPr>
        <w:spacing w:before="100" w:beforeAutospacing="1" w:line="312" w:lineRule="auto"/>
        <w:ind w:right="-288"/>
        <w:jc w:val="both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shkak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efiqienc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shkak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angagjimeve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mija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profesionale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tjera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gjat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monitorimit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nd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rtim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njoftoni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ekipin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ton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terrenit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pun</w:t>
      </w:r>
      <w:r w:rsidR="00D31DDA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24h para </w:t>
      </w:r>
      <w:proofErr w:type="spellStart"/>
      <w:proofErr w:type="gramStart"/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kohe!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se</w:t>
      </w:r>
      <w:proofErr w:type="spellEnd"/>
      <w:proofErr w:type="gram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investitori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gram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(</w:t>
      </w:r>
      <w:r w:rsidR="00414104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</w:t>
      </w:r>
      <w:proofErr w:type="gramEnd"/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 xml:space="preserve"> HOLDING L.L.C.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),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rkon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q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ne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ndonj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kat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banesor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mos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b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het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shtyllave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at’her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ai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duhet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paguaj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vet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m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elaboratin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piketimit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kufirit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),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pasi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si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elaborate </w:t>
      </w:r>
      <w:proofErr w:type="spellStart"/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sht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I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domosdosh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m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r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pranim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teknik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 w:rsidR="00673511">
        <w:rPr>
          <w:rFonts w:ascii="Times New Roman" w:hAnsi="Times New Roman" w:cs="Times New Roman"/>
          <w:color w:val="000000"/>
          <w:spacing w:val="10"/>
          <w:sz w:val="24"/>
          <w:szCs w:val="24"/>
        </w:rPr>
        <w:t>ë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proofErr w:type="spellStart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objektit</w:t>
      </w:r>
      <w:proofErr w:type="spellEnd"/>
      <w:r w:rsidR="00721845">
        <w:rPr>
          <w:rFonts w:ascii="Times New Roman" w:hAnsi="Times New Roman" w:cs="Times New Roman"/>
          <w:color w:val="000000"/>
          <w:spacing w:val="10"/>
          <w:sz w:val="24"/>
          <w:szCs w:val="24"/>
        </w:rPr>
        <w:t>!</w:t>
      </w:r>
    </w:p>
    <w:p w14:paraId="0FDB405B" w14:textId="54B1F6E7" w:rsidR="000407FB" w:rsidRPr="00D31DDA" w:rsidRDefault="00DF4CB5" w:rsidP="00673511">
      <w:pPr>
        <w:spacing w:before="180" w:after="468" w:line="312" w:lineRule="auto"/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</w:pPr>
      <w:r w:rsidRPr="00DF4CB5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"Geo </w:t>
      </w:r>
      <w:proofErr w:type="spellStart"/>
      <w:r w:rsidRPr="00DF4CB5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Kataster</w:t>
      </w:r>
      <w:proofErr w:type="spellEnd"/>
      <w:r w:rsidRPr="00DF4CB5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"</w:t>
      </w:r>
      <w:proofErr w:type="gramStart"/>
      <w:r w:rsidR="00304CC5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proofErr w:type="spellStart"/>
      <w:r w:rsidRPr="00DF4CB5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Sh.P.K</w:t>
      </w:r>
      <w:proofErr w:type="spellEnd"/>
      <w:proofErr w:type="gramEnd"/>
      <w:r w:rsidR="00304CC5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304CC5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5427D4">
        <w:rPr>
          <w:rFonts w:ascii="Times New Roman" w:hAnsi="Times New Roman" w:cs="Times New Roman"/>
          <w:b/>
          <w:bCs/>
          <w:color w:val="000000"/>
          <w:spacing w:val="11"/>
          <w:sz w:val="24"/>
          <w:szCs w:val="24"/>
        </w:rPr>
        <w:t>PLAZZA HOLDING L.L.C.</w:t>
      </w:r>
      <w:r w:rsidR="00304CC5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304CC5"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_____________________</w:t>
      </w:r>
      <w:r w:rsidR="00304CC5"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304CC5"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304CC5"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</w:r>
      <w:r w:rsidR="00304CC5" w:rsidRPr="0004070A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ab/>
        <w:t>___________________</w:t>
      </w:r>
      <w:r w:rsidR="00673511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 xml:space="preserve"> </w:t>
      </w:r>
      <w:r w:rsidR="00304CC5">
        <w:rPr>
          <w:rFonts w:ascii="Times New Roman" w:hAnsi="Times New Roman" w:cs="Times New Roman"/>
          <w:b/>
          <w:bCs/>
          <w:color w:val="000000"/>
          <w:spacing w:val="10"/>
          <w:sz w:val="28"/>
          <w:szCs w:val="28"/>
        </w:rPr>
        <w:t>Data: ___/___/______</w:t>
      </w:r>
    </w:p>
    <w:sectPr w:rsidR="000407FB" w:rsidRPr="00D31D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963BB" w14:textId="77777777" w:rsidR="00076BDB" w:rsidRDefault="00076BDB" w:rsidP="00533E43">
      <w:r>
        <w:separator/>
      </w:r>
    </w:p>
  </w:endnote>
  <w:endnote w:type="continuationSeparator" w:id="0">
    <w:p w14:paraId="1D5A4B20" w14:textId="77777777" w:rsidR="00076BDB" w:rsidRDefault="00076BDB" w:rsidP="0053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97A57" w14:textId="77777777" w:rsidR="00076BDB" w:rsidRDefault="00076BDB" w:rsidP="00533E43">
      <w:r>
        <w:separator/>
      </w:r>
    </w:p>
  </w:footnote>
  <w:footnote w:type="continuationSeparator" w:id="0">
    <w:p w14:paraId="5605C8AD" w14:textId="77777777" w:rsidR="00076BDB" w:rsidRDefault="00076BDB" w:rsidP="00533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BAD91" w14:textId="21C2E914" w:rsidR="00533E43" w:rsidRDefault="00533E4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21505"/>
    <w:multiLevelType w:val="hybridMultilevel"/>
    <w:tmpl w:val="D1E26786"/>
    <w:lvl w:ilvl="0" w:tplc="D80026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D7EF6"/>
    <w:multiLevelType w:val="hybridMultilevel"/>
    <w:tmpl w:val="57CC93DC"/>
    <w:lvl w:ilvl="0" w:tplc="AD3A3E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155C0"/>
    <w:multiLevelType w:val="multilevel"/>
    <w:tmpl w:val="DB62EDE6"/>
    <w:lvl w:ilvl="0">
      <w:start w:val="1"/>
      <w:numFmt w:val="decimal"/>
      <w:lvlText w:val="%1."/>
      <w:lvlJc w:val="left"/>
      <w:pPr>
        <w:tabs>
          <w:tab w:val="decimal" w:pos="432"/>
        </w:tabs>
        <w:ind w:left="720"/>
      </w:pPr>
      <w:rPr>
        <w:rFonts w:ascii="Arial" w:hAnsi="Arial"/>
        <w:b/>
        <w:strike w:val="0"/>
        <w:color w:val="000000"/>
        <w:spacing w:val="-7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F750FA"/>
    <w:multiLevelType w:val="multilevel"/>
    <w:tmpl w:val="8AD8E83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eastAsiaTheme="minorHAnsi" w:hAnsi="Times New Roman" w:cs="Times New Roman"/>
        <w:strike w:val="0"/>
        <w:color w:val="000000"/>
        <w:spacing w:val="11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9323185">
    <w:abstractNumId w:val="3"/>
  </w:num>
  <w:num w:numId="2" w16cid:durableId="1298488636">
    <w:abstractNumId w:val="2"/>
  </w:num>
  <w:num w:numId="3" w16cid:durableId="1253783985">
    <w:abstractNumId w:val="1"/>
  </w:num>
  <w:num w:numId="4" w16cid:durableId="202690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E43"/>
    <w:rsid w:val="0004070A"/>
    <w:rsid w:val="000407FB"/>
    <w:rsid w:val="00076BDB"/>
    <w:rsid w:val="00091E95"/>
    <w:rsid w:val="000A0B56"/>
    <w:rsid w:val="000D2E2D"/>
    <w:rsid w:val="001B6B5E"/>
    <w:rsid w:val="001C1E30"/>
    <w:rsid w:val="001F5819"/>
    <w:rsid w:val="00230F03"/>
    <w:rsid w:val="00237C84"/>
    <w:rsid w:val="002823B3"/>
    <w:rsid w:val="002A255A"/>
    <w:rsid w:val="002C5713"/>
    <w:rsid w:val="002D638A"/>
    <w:rsid w:val="002F1E14"/>
    <w:rsid w:val="00304CC5"/>
    <w:rsid w:val="003661A6"/>
    <w:rsid w:val="0038129B"/>
    <w:rsid w:val="003946C3"/>
    <w:rsid w:val="003D2E6D"/>
    <w:rsid w:val="003D7C4A"/>
    <w:rsid w:val="00414104"/>
    <w:rsid w:val="00431A3A"/>
    <w:rsid w:val="00440E15"/>
    <w:rsid w:val="00451D1C"/>
    <w:rsid w:val="00493C46"/>
    <w:rsid w:val="004B1FBC"/>
    <w:rsid w:val="004D272C"/>
    <w:rsid w:val="004D32C4"/>
    <w:rsid w:val="004E5102"/>
    <w:rsid w:val="004E76CE"/>
    <w:rsid w:val="00530D52"/>
    <w:rsid w:val="00533E43"/>
    <w:rsid w:val="005427D4"/>
    <w:rsid w:val="00580DAA"/>
    <w:rsid w:val="006200FE"/>
    <w:rsid w:val="006468A3"/>
    <w:rsid w:val="0065598F"/>
    <w:rsid w:val="00673511"/>
    <w:rsid w:val="006F6366"/>
    <w:rsid w:val="00721845"/>
    <w:rsid w:val="00732D8C"/>
    <w:rsid w:val="007632EE"/>
    <w:rsid w:val="007C2050"/>
    <w:rsid w:val="007C233E"/>
    <w:rsid w:val="007E2573"/>
    <w:rsid w:val="008302E6"/>
    <w:rsid w:val="0087778C"/>
    <w:rsid w:val="008A60DA"/>
    <w:rsid w:val="008B43C0"/>
    <w:rsid w:val="008D1195"/>
    <w:rsid w:val="00923436"/>
    <w:rsid w:val="0094705A"/>
    <w:rsid w:val="00991468"/>
    <w:rsid w:val="009F16D1"/>
    <w:rsid w:val="00A133B5"/>
    <w:rsid w:val="00A26EF8"/>
    <w:rsid w:val="00A37CB5"/>
    <w:rsid w:val="00A97774"/>
    <w:rsid w:val="00A97CD4"/>
    <w:rsid w:val="00B018D8"/>
    <w:rsid w:val="00B2012B"/>
    <w:rsid w:val="00BB52EC"/>
    <w:rsid w:val="00BC4ACB"/>
    <w:rsid w:val="00BE4525"/>
    <w:rsid w:val="00C40289"/>
    <w:rsid w:val="00C9490F"/>
    <w:rsid w:val="00CA210E"/>
    <w:rsid w:val="00CE04C4"/>
    <w:rsid w:val="00CE44DA"/>
    <w:rsid w:val="00D224F0"/>
    <w:rsid w:val="00D31DDA"/>
    <w:rsid w:val="00D86803"/>
    <w:rsid w:val="00DD1FED"/>
    <w:rsid w:val="00DD5486"/>
    <w:rsid w:val="00DF4CB5"/>
    <w:rsid w:val="00E3727F"/>
    <w:rsid w:val="00E75D5C"/>
    <w:rsid w:val="00E908CB"/>
    <w:rsid w:val="00EB340C"/>
    <w:rsid w:val="00EC17BA"/>
    <w:rsid w:val="00F35772"/>
    <w:rsid w:val="00F6187E"/>
    <w:rsid w:val="00F82F90"/>
    <w:rsid w:val="00F8668B"/>
    <w:rsid w:val="00FA043C"/>
    <w:rsid w:val="00F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34BD"/>
  <w15:docId w15:val="{60B07261-A074-40F4-8306-503A86F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E4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E43"/>
  </w:style>
  <w:style w:type="paragraph" w:styleId="Footer">
    <w:name w:val="footer"/>
    <w:basedOn w:val="Normal"/>
    <w:link w:val="FooterChar"/>
    <w:uiPriority w:val="99"/>
    <w:unhideWhenUsed/>
    <w:rsid w:val="00533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E43"/>
  </w:style>
  <w:style w:type="paragraph" w:styleId="ListParagraph">
    <w:name w:val="List Paragraph"/>
    <w:basedOn w:val="Normal"/>
    <w:uiPriority w:val="34"/>
    <w:qFormat/>
    <w:rsid w:val="0062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111D1-F6D3-4421-BD7F-0D40569C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Jeton</dc:creator>
  <cp:keywords/>
  <dc:description/>
  <cp:lastModifiedBy>Liridon Sejdiu</cp:lastModifiedBy>
  <cp:revision>33</cp:revision>
  <cp:lastPrinted>2025-07-29T06:16:00Z</cp:lastPrinted>
  <dcterms:created xsi:type="dcterms:W3CDTF">2023-06-08T18:26:00Z</dcterms:created>
  <dcterms:modified xsi:type="dcterms:W3CDTF">2025-07-29T06:16:00Z</dcterms:modified>
</cp:coreProperties>
</file>