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0000" w14:textId="21EA92B1" w:rsidR="00533E43" w:rsidRDefault="00533E43" w:rsidP="00533E43">
      <w:pPr>
        <w:spacing w:before="360" w:line="480" w:lineRule="auto"/>
        <w:jc w:val="center"/>
        <w:rPr>
          <w:rFonts w:ascii="Arial" w:hAnsi="Arial"/>
          <w:b/>
          <w:color w:val="000000"/>
          <w:sz w:val="28"/>
        </w:rPr>
      </w:pPr>
      <w:proofErr w:type="spellStart"/>
      <w:r>
        <w:rPr>
          <w:rFonts w:ascii="Arial" w:hAnsi="Arial"/>
          <w:b/>
          <w:color w:val="000000"/>
          <w:sz w:val="28"/>
        </w:rPr>
        <w:t>Marrëveshje</w:t>
      </w:r>
      <w:proofErr w:type="spellEnd"/>
      <w:r>
        <w:rPr>
          <w:rFonts w:ascii="Arial" w:hAnsi="Arial"/>
          <w:b/>
          <w:color w:val="000000"/>
          <w:sz w:val="28"/>
        </w:rPr>
        <w:t xml:space="preserve"> </w:t>
      </w:r>
      <w:r>
        <w:rPr>
          <w:rFonts w:ascii="Arial" w:hAnsi="Arial"/>
          <w:b/>
          <w:color w:val="000000"/>
          <w:sz w:val="28"/>
        </w:rPr>
        <w:br/>
      </w:r>
      <w:proofErr w:type="spellStart"/>
      <w:r>
        <w:rPr>
          <w:rFonts w:ascii="Arial" w:hAnsi="Arial"/>
          <w:b/>
          <w:color w:val="000000"/>
          <w:w w:val="95"/>
          <w:sz w:val="29"/>
        </w:rPr>
        <w:t>për</w:t>
      </w:r>
      <w:proofErr w:type="spellEnd"/>
      <w:r>
        <w:rPr>
          <w:rFonts w:ascii="Arial" w:hAnsi="Arial"/>
          <w:b/>
          <w:color w:val="000000"/>
          <w:w w:val="95"/>
          <w:sz w:val="29"/>
        </w:rPr>
        <w:t xml:space="preserve"> </w:t>
      </w:r>
      <w:r>
        <w:rPr>
          <w:rFonts w:ascii="Arial" w:hAnsi="Arial"/>
          <w:b/>
          <w:color w:val="000000"/>
          <w:w w:val="95"/>
          <w:sz w:val="29"/>
        </w:rPr>
        <w:br/>
      </w:r>
      <w:proofErr w:type="spellStart"/>
      <w:r>
        <w:rPr>
          <w:rFonts w:ascii="Arial" w:hAnsi="Arial"/>
          <w:b/>
          <w:color w:val="000000"/>
          <w:spacing w:val="-8"/>
          <w:sz w:val="28"/>
        </w:rPr>
        <w:t>Shërbime</w:t>
      </w:r>
      <w:proofErr w:type="spellEnd"/>
      <w:r>
        <w:rPr>
          <w:rFonts w:ascii="Arial" w:hAnsi="Arial"/>
          <w:b/>
          <w:color w:val="000000"/>
          <w:spacing w:val="-8"/>
          <w:sz w:val="28"/>
        </w:rPr>
        <w:t xml:space="preserve"> </w:t>
      </w:r>
      <w:proofErr w:type="spellStart"/>
      <w:r>
        <w:rPr>
          <w:rFonts w:ascii="Arial" w:hAnsi="Arial"/>
          <w:b/>
          <w:color w:val="000000"/>
          <w:spacing w:val="-8"/>
          <w:sz w:val="28"/>
        </w:rPr>
        <w:t>Profesionale</w:t>
      </w:r>
      <w:proofErr w:type="spellEnd"/>
    </w:p>
    <w:p w14:paraId="2CB003AD" w14:textId="0437726B" w:rsidR="007C2050" w:rsidRPr="007C2050" w:rsidRDefault="007C2050" w:rsidP="00A97774">
      <w:pPr>
        <w:spacing w:before="216" w:line="321" w:lineRule="auto"/>
        <w:ind w:right="72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Marr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veshja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sh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rbime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profesionale</w:t>
      </w:r>
      <w:proofErr w:type="spellEnd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>gjeodezike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(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tutje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"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Marreveshja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"), </w:t>
      </w:r>
      <w:proofErr w:type="spellStart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>është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arritur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dhe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hyn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ne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fuqi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gram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me</w:t>
      </w:r>
      <w:proofErr w:type="gram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date </w:t>
      </w:r>
      <w:r w:rsidR="00EB340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___________ </w:t>
      </w:r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nga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dhe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="008B43C0">
        <w:rPr>
          <w:rFonts w:ascii="Times New Roman" w:hAnsi="Times New Roman" w:cs="Times New Roman"/>
          <w:color w:val="000000"/>
          <w:spacing w:val="3"/>
          <w:sz w:val="24"/>
          <w:szCs w:val="24"/>
        </w:rPr>
        <w:t>ë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mes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te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:</w:t>
      </w:r>
    </w:p>
    <w:p w14:paraId="157F7047" w14:textId="5ADFAD21" w:rsidR="002C5713" w:rsidRPr="002C5713" w:rsidRDefault="00C1162D" w:rsidP="00C1162D">
      <w:pPr>
        <w:pStyle w:val="ListParagraph"/>
        <w:numPr>
          <w:ilvl w:val="0"/>
          <w:numId w:val="1"/>
        </w:numPr>
        <w:tabs>
          <w:tab w:val="decimal" w:pos="432"/>
          <w:tab w:val="left" w:pos="423"/>
        </w:tabs>
        <w:spacing w:before="180" w:line="312" w:lineRule="auto"/>
        <w:ind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 xml:space="preserve">VËLLEZËRIT BEKTESHI </w:t>
      </w:r>
      <w:r w:rsidR="002C5713" w:rsidRPr="002C5713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SH.P.K.</w:t>
      </w:r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me </w:t>
      </w:r>
      <w:proofErr w:type="spellStart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numër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8302E6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fiskal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unik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C1162D">
        <w:rPr>
          <w:rFonts w:ascii="Times New Roman" w:hAnsi="Times New Roman" w:cs="Times New Roman"/>
          <w:b/>
          <w:bCs/>
          <w:color w:val="000000"/>
          <w:spacing w:val="12"/>
          <w:szCs w:val="24"/>
        </w:rPr>
        <w:t>________</w:t>
      </w:r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, </w:t>
      </w:r>
      <w:r w:rsidR="007C2050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i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>perfaqesuar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>nga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 w:rsidR="00440E15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>drejtori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pacing w:val="8"/>
          <w:szCs w:val="24"/>
        </w:rPr>
        <w:t xml:space="preserve">EKREM BEKTESHI </w:t>
      </w:r>
      <w:r w:rsidR="002C5713" w:rsidRPr="002C5713">
        <w:rPr>
          <w:rFonts w:ascii="Times New Roman" w:hAnsi="Times New Roman" w:cs="Times New Roman"/>
          <w:color w:val="000000"/>
          <w:sz w:val="24"/>
          <w:szCs w:val="24"/>
        </w:rPr>
        <w:t xml:space="preserve">me nr </w:t>
      </w:r>
      <w:proofErr w:type="spellStart"/>
      <w:r w:rsidR="002C5713" w:rsidRPr="002C5713">
        <w:rPr>
          <w:rFonts w:ascii="Times New Roman" w:hAnsi="Times New Roman" w:cs="Times New Roman"/>
          <w:color w:val="000000"/>
          <w:sz w:val="24"/>
          <w:szCs w:val="24"/>
        </w:rPr>
        <w:t>identifikues</w:t>
      </w:r>
      <w:proofErr w:type="spellEnd"/>
      <w:r w:rsidR="002C5713" w:rsidRPr="002C57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62D">
        <w:rPr>
          <w:rFonts w:ascii="Times New Roman" w:hAnsi="Times New Roman" w:cs="Times New Roman"/>
          <w:color w:val="000000"/>
          <w:sz w:val="24"/>
          <w:szCs w:val="24"/>
        </w:rPr>
        <w:t>__________</w:t>
      </w:r>
    </w:p>
    <w:p w14:paraId="48D05334" w14:textId="416939C6" w:rsidR="007C2050" w:rsidRPr="002C5713" w:rsidRDefault="002C5713" w:rsidP="002C5713">
      <w:pPr>
        <w:pStyle w:val="ListParagraph"/>
        <w:numPr>
          <w:ilvl w:val="0"/>
          <w:numId w:val="1"/>
        </w:numPr>
        <w:tabs>
          <w:tab w:val="decimal" w:pos="432"/>
          <w:tab w:val="left" w:pos="423"/>
        </w:tabs>
        <w:spacing w:before="180" w:line="312" w:lineRule="auto"/>
        <w:ind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 w:rsidRPr="002C5713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Geo Coding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me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numër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fiskal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unik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gramStart"/>
      <w:r w:rsidRPr="002C5713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811384528</w:t>
      </w:r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 </w:t>
      </w:r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,</w:t>
      </w:r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me</w:t>
      </w:r>
      <w:proofErr w:type="gram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pronar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ë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ing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.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Liridon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Sejdiu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, me nr </w:t>
      </w:r>
      <w:proofErr w:type="spellStart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identifikues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1174982178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tutje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referuar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si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"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Kontraktuesi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".</w:t>
      </w:r>
    </w:p>
    <w:p w14:paraId="4DA72D6D" w14:textId="77777777" w:rsidR="002C5713" w:rsidRPr="006200FE" w:rsidRDefault="002C5713" w:rsidP="002C5713">
      <w:pPr>
        <w:tabs>
          <w:tab w:val="decimal" w:pos="360"/>
          <w:tab w:val="decimal" w:pos="432"/>
        </w:tabs>
        <w:spacing w:before="180" w:line="312" w:lineRule="auto"/>
        <w:ind w:left="360"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14:paraId="1CC0E6E7" w14:textId="77777777" w:rsidR="006200FE" w:rsidRPr="006200FE" w:rsidRDefault="006200FE" w:rsidP="006200FE">
      <w:pPr>
        <w:spacing w:before="216"/>
        <w:rPr>
          <w:rFonts w:ascii="Times New Roman" w:hAnsi="Times New Roman" w:cs="Times New Roman"/>
          <w:color w:val="000000"/>
          <w:spacing w:val="9"/>
          <w:sz w:val="24"/>
          <w:szCs w:val="24"/>
        </w:rPr>
      </w:pP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Palet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kontraktuese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bien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dakord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per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kushtet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si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me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poshte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:</w:t>
      </w:r>
    </w:p>
    <w:p w14:paraId="2869FF49" w14:textId="77777777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D621657" w14:textId="2AB62303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</w:t>
      </w:r>
    </w:p>
    <w:p w14:paraId="1B54F1BB" w14:textId="3756F0D6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Objekti</w:t>
      </w:r>
      <w:proofErr w:type="spellEnd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i </w:t>
      </w: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marr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ë</w:t>
      </w:r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veshjes</w:t>
      </w:r>
      <w:proofErr w:type="spellEnd"/>
    </w:p>
    <w:p w14:paraId="7CDFF8C1" w14:textId="77777777" w:rsidR="006200FE" w:rsidRP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4CA60B6" w14:textId="0B7571A0" w:rsidR="006200FE" w:rsidRPr="006200FE" w:rsidRDefault="006200FE" w:rsidP="00A97774">
      <w:pPr>
        <w:spacing w:before="180" w:line="360" w:lineRule="auto"/>
        <w:ind w:right="72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proofErr w:type="gramStart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veshjes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ofrimi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rtimin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banesor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afarist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parcel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kadastrale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B6F97">
        <w:rPr>
          <w:rFonts w:ascii="Times New Roman" w:hAnsi="Times New Roman" w:cs="Times New Roman"/>
          <w:color w:val="000000"/>
          <w:spacing w:val="10"/>
          <w:sz w:val="24"/>
          <w:szCs w:val="24"/>
        </w:rPr>
        <w:t>03427</w:t>
      </w:r>
      <w:r w:rsidR="00FA2E7D" w:rsidRP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-0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Z.K.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pranuesin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proofErr w:type="gram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Detajet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paraqiten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shtojcën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</w:p>
    <w:p w14:paraId="75997F98" w14:textId="77777777" w:rsidR="006200FE" w:rsidRPr="007C2050" w:rsidRDefault="006200FE" w:rsidP="006200FE">
      <w:pPr>
        <w:tabs>
          <w:tab w:val="decimal" w:pos="360"/>
          <w:tab w:val="decimal" w:pos="432"/>
        </w:tabs>
        <w:spacing w:before="180" w:line="312" w:lineRule="auto"/>
        <w:ind w:right="72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14:paraId="59ABBEBA" w14:textId="12C16F0F" w:rsidR="006468A3" w:rsidRDefault="006468A3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2</w:t>
      </w:r>
    </w:p>
    <w:p w14:paraId="2CC0CBED" w14:textId="59035959" w:rsidR="006468A3" w:rsidRDefault="006468A3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Angazhimi</w:t>
      </w:r>
      <w:proofErr w:type="spellEnd"/>
    </w:p>
    <w:p w14:paraId="708780BF" w14:textId="77777777" w:rsidR="003D2E6D" w:rsidRDefault="003D2E6D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4F45C8B3" w14:textId="3A8111E2" w:rsidR="006468A3" w:rsidRDefault="0094705A" w:rsidP="006468A3">
      <w:pPr>
        <w:spacing w:before="180" w:line="360" w:lineRule="auto"/>
        <w:ind w:right="72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z. </w:t>
      </w:r>
      <w:r w:rsidR="00C1162D">
        <w:rPr>
          <w:rFonts w:ascii="Times New Roman" w:hAnsi="Times New Roman" w:cs="Times New Roman"/>
          <w:color w:val="000000"/>
          <w:spacing w:val="10"/>
          <w:sz w:val="24"/>
          <w:szCs w:val="24"/>
        </w:rPr>
        <w:t>EKREM</w:t>
      </w:r>
      <w:proofErr w:type="gramEnd"/>
      <w:r w:rsidR="00C116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1162D">
        <w:rPr>
          <w:rFonts w:ascii="Times New Roman" w:hAnsi="Times New Roman" w:cs="Times New Roman"/>
          <w:color w:val="000000"/>
          <w:spacing w:val="10"/>
          <w:sz w:val="24"/>
          <w:szCs w:val="24"/>
        </w:rPr>
        <w:t>BEKTESHI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shpreh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vullnetin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angazhoje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Kontraktuesin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A97774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A97774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ofruar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(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tutje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"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Sherbimet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")</w:t>
      </w:r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përcaktuara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bashkangjitur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angazhim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pajtohen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shtojca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>kësaj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pjesë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integrale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pandashme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interpretohet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tërësinë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</w:p>
    <w:p w14:paraId="4ED3C7D0" w14:textId="3EBC4ADB" w:rsidR="006468A3" w:rsidRDefault="006468A3" w:rsidP="006468A3">
      <w:pPr>
        <w:spacing w:line="295" w:lineRule="auto"/>
        <w:jc w:val="center"/>
        <w:rPr>
          <w:rFonts w:ascii="Tahoma" w:hAnsi="Tahoma"/>
          <w:color w:val="000000"/>
          <w:spacing w:val="5"/>
          <w:sz w:val="18"/>
        </w:rPr>
      </w:pPr>
    </w:p>
    <w:p w14:paraId="798D995D" w14:textId="2DFA37AC" w:rsidR="003D2E6D" w:rsidRDefault="003D2E6D" w:rsidP="003D2E6D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3</w:t>
      </w:r>
    </w:p>
    <w:p w14:paraId="484182BD" w14:textId="0FD40CE4" w:rsidR="003D2E6D" w:rsidRDefault="003D2E6D" w:rsidP="003D2E6D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Shërbimet</w:t>
      </w:r>
      <w:proofErr w:type="spellEnd"/>
    </w:p>
    <w:p w14:paraId="5DE859F5" w14:textId="526A80E5" w:rsidR="003D2E6D" w:rsidRDefault="003D2E6D" w:rsidP="003D2E6D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ofrohen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to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kryhen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etik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profesionalizem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lart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pritet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profesionist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fushes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gramStart"/>
      <w:r w:rsidR="004D272C" w:rsidRP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z. </w:t>
      </w:r>
      <w:r w:rsidR="00C1162D">
        <w:rPr>
          <w:rFonts w:ascii="Times New Roman" w:hAnsi="Times New Roman" w:cs="Times New Roman"/>
          <w:color w:val="000000"/>
          <w:spacing w:val="10"/>
          <w:sz w:val="24"/>
          <w:szCs w:val="24"/>
        </w:rPr>
        <w:t>EKREM</w:t>
      </w:r>
      <w:proofErr w:type="gramEnd"/>
      <w:r w:rsidR="00C116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1162D">
        <w:rPr>
          <w:rFonts w:ascii="Times New Roman" w:hAnsi="Times New Roman" w:cs="Times New Roman"/>
          <w:color w:val="000000"/>
          <w:spacing w:val="10"/>
          <w:sz w:val="24"/>
          <w:szCs w:val="24"/>
        </w:rPr>
        <w:t>BEKTESHI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anën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zotohet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se 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siguroj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asje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pakufizuar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softuer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materiale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posedim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jenë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bazë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>ingjinjeris</w:t>
      </w:r>
      <w:r w:rsidR="00530D5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>ana</w:t>
      </w:r>
      <w:proofErr w:type="spellEnd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0D4196" w14:textId="77777777" w:rsidR="00EC17BA" w:rsidRPr="003D2E6D" w:rsidRDefault="00EC17BA" w:rsidP="003D2E6D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0BCAEF8E" w14:textId="36FD9008" w:rsidR="00EC17BA" w:rsidRDefault="00EC17BA" w:rsidP="00EC17B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4</w:t>
      </w:r>
    </w:p>
    <w:p w14:paraId="0354D69C" w14:textId="6C8464D2" w:rsidR="00EC17BA" w:rsidRDefault="00EC17BA" w:rsidP="00EC17B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Përfaqësimet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garancitë</w:t>
      </w:r>
      <w:proofErr w:type="spellEnd"/>
    </w:p>
    <w:p w14:paraId="3608976F" w14:textId="68A8D520" w:rsidR="002A255A" w:rsidRDefault="002A255A" w:rsidP="00EC17BA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përfaqëson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garanton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asnje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kontrakual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përputhje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implementimin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ndërhyjë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ofruara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B7546E0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7468822" w14:textId="7C39E8CA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5</w:t>
      </w:r>
    </w:p>
    <w:p w14:paraId="41A9B9B7" w14:textId="70D1D4FF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Kohëzgjatja</w:t>
      </w:r>
      <w:proofErr w:type="spellEnd"/>
    </w:p>
    <w:p w14:paraId="3CE52290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384FD9E4" w14:textId="30C51EAE" w:rsidR="002A255A" w:rsidRDefault="002A255A" w:rsidP="002A255A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fillon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</w:t>
      </w:r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tën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__/__/_____</w:t>
      </w:r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(“data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efektive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”)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përfundon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datë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Gjer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regjistrimin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apo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shk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putjes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bashkpunimit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proofErr w:type="gramEnd"/>
    </w:p>
    <w:p w14:paraId="18BF92AE" w14:textId="718541FE" w:rsidR="00DD5486" w:rsidRDefault="00DD5486"/>
    <w:p w14:paraId="17160412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509A882" w14:textId="1B27B576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69371F" w14:textId="28749680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BBE781B" w14:textId="751261D9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40AAF4" w14:textId="77777777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45DA881B" w14:textId="086F8EA0" w:rsidR="002A255A" w:rsidRDefault="002A255A" w:rsidP="007619F0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lastRenderedPageBreak/>
        <w:t>Neni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6</w:t>
      </w:r>
      <w:r w:rsidR="007619F0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br/>
      </w:r>
      <w:proofErr w:type="spellStart"/>
      <w:r w:rsidR="007619F0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Ç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mimi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pagesa</w:t>
      </w:r>
      <w:proofErr w:type="spellEnd"/>
    </w:p>
    <w:p w14:paraId="19000A3E" w14:textId="446F08DD" w:rsidR="00F82F90" w:rsidRDefault="00F82F90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72B3EE22" w14:textId="77777777" w:rsidR="00F82F90" w:rsidRDefault="00F82F90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344"/>
        <w:gridCol w:w="523"/>
        <w:gridCol w:w="4840"/>
        <w:gridCol w:w="974"/>
        <w:gridCol w:w="924"/>
        <w:gridCol w:w="757"/>
        <w:gridCol w:w="698"/>
        <w:gridCol w:w="88"/>
      </w:tblGrid>
      <w:tr w:rsidR="00F35772" w:rsidRPr="00F35772" w14:paraId="6F93B343" w14:textId="77777777" w:rsidTr="00F35772">
        <w:trPr>
          <w:trHeight w:val="375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4CB8AAB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Situacioni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F35772" w:rsidRPr="00F35772" w14:paraId="7E4797ED" w14:textId="77777777" w:rsidTr="00F35772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50F5D2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nr./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pos</w:t>
            </w:r>
            <w:proofErr w:type="spellEnd"/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F34319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Pershkrimi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sherbimi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61C655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Oferta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102AA2F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Cmimi</w:t>
            </w:r>
            <w:proofErr w:type="spellEnd"/>
          </w:p>
        </w:tc>
      </w:tr>
      <w:tr w:rsidR="00F35772" w:rsidRPr="00F35772" w14:paraId="3805AEC1" w14:textId="77777777" w:rsidTr="00F35772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9C4A8C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A29E" w14:textId="475EDC06" w:rsidR="00F35772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Piketimi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kufirit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7619F0">
              <w:rPr>
                <w:rFonts w:ascii="Calibri" w:eastAsia="Times New Roman" w:hAnsi="Calibri" w:cs="Calibri"/>
                <w:color w:val="000000"/>
              </w:rPr>
              <w:t>ë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="007619F0">
              <w:rPr>
                <w:rFonts w:ascii="Calibri" w:eastAsia="Times New Roman" w:hAnsi="Calibri" w:cs="Calibri"/>
                <w:color w:val="000000"/>
              </w:rPr>
              <w:t>ë</w:t>
            </w:r>
            <w:r>
              <w:rPr>
                <w:rFonts w:ascii="Calibri" w:eastAsia="Times New Roman" w:hAnsi="Calibri" w:cs="Calibri"/>
                <w:color w:val="000000"/>
              </w:rPr>
              <w:t>rmimit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dhe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piketimi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pilotave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655C" w14:textId="22F6679B" w:rsidR="00F35772" w:rsidRPr="00F35772" w:rsidRDefault="005B6F97" w:rsidP="005B6F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Euro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4BB7" w14:textId="056EAB99" w:rsidR="00F35772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35772" w:rsidRPr="00F35772">
              <w:rPr>
                <w:rFonts w:ascii="Calibri" w:eastAsia="Times New Roman" w:hAnsi="Calibri" w:cs="Calibri"/>
                <w:color w:val="000000"/>
              </w:rPr>
              <w:t>50 €</w:t>
            </w:r>
          </w:p>
        </w:tc>
      </w:tr>
      <w:tr w:rsidR="005B6F97" w:rsidRPr="00F35772" w14:paraId="53828D83" w14:textId="77777777" w:rsidTr="00BD2C76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97D673" w14:textId="01D18C34" w:rsidR="005B6F97" w:rsidRPr="00F35772" w:rsidRDefault="007619F0" w:rsidP="00BD2C7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E78C" w14:textId="558D962F" w:rsidR="005B6F97" w:rsidRPr="00F35772" w:rsidRDefault="007619F0" w:rsidP="007619F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Piketim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thelësisë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gërmimit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3BE" w14:textId="20B80EEE" w:rsidR="005B6F97" w:rsidRPr="00F35772" w:rsidRDefault="007619F0" w:rsidP="007619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Euro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F40B8" w14:textId="3AD2F40B" w:rsidR="005B6F97" w:rsidRPr="00F35772" w:rsidRDefault="007619F0" w:rsidP="00BD2C7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5B6F97" w:rsidRPr="00F35772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5B6F97" w:rsidRPr="00F35772" w14:paraId="64EC9DA1" w14:textId="77777777" w:rsidTr="005B6F97">
        <w:trPr>
          <w:trHeight w:val="674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07A3EC37" w14:textId="117161D8" w:rsidR="005B6F97" w:rsidRPr="00F35772" w:rsidRDefault="007619F0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C1B0" w14:textId="72154857" w:rsidR="005B6F97" w:rsidRPr="00F35772" w:rsidRDefault="005B6F97" w:rsidP="005B6F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Matja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llogaritjen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kurbaturave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dheut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5042" w14:textId="1191C916" w:rsidR="005B6F97" w:rsidRPr="00F35772" w:rsidRDefault="005B6F97" w:rsidP="007619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ABCD38" w14:textId="50537546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250 €</w:t>
            </w:r>
          </w:p>
        </w:tc>
      </w:tr>
      <w:tr w:rsidR="005B6F97" w:rsidRPr="00F35772" w14:paraId="1D03212F" w14:textId="77777777" w:rsidTr="002D638A">
        <w:trPr>
          <w:trHeight w:val="674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0E04F1" w14:textId="72257B29" w:rsidR="005B6F97" w:rsidRPr="00F35772" w:rsidRDefault="007619F0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81CB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Piketimi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gjitha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shtyllave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gramStart"/>
            <w:r w:rsidRPr="00F35772">
              <w:rPr>
                <w:rFonts w:ascii="Calibri" w:eastAsia="Times New Roman" w:hAnsi="Calibri" w:cs="Calibri"/>
                <w:color w:val="000000"/>
              </w:rPr>
              <w:t>,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proofErr w:type="gram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dhe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pergatitja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dokumentacionit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pranim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2656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5FB2" w14:textId="05921DBF" w:rsidR="005B6F97" w:rsidRPr="00F35772" w:rsidRDefault="005B6F97" w:rsidP="00F751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</w:t>
            </w:r>
            <w:r w:rsidR="00F75186">
              <w:rPr>
                <w:rFonts w:ascii="Calibri" w:eastAsia="Times New Roman" w:hAnsi="Calibri" w:cs="Calibri"/>
                <w:color w:val="000000"/>
              </w:rPr>
              <w:t>45</w:t>
            </w:r>
            <w:bookmarkStart w:id="0" w:name="_GoBack"/>
            <w:bookmarkEnd w:id="0"/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5B6F97" w:rsidRPr="00F35772" w14:paraId="7A358178" w14:textId="77777777" w:rsidTr="002D638A">
        <w:trPr>
          <w:trHeight w:val="629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472A9521" w14:textId="54FCA014" w:rsidR="005B6F97" w:rsidRPr="00F35772" w:rsidRDefault="007619F0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00AF" w14:textId="34BE712D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Vetëm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pllakës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së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ekzekutuar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F106B" w14:textId="7C672F4B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5A05B" w14:textId="5EF55D68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</w:t>
            </w:r>
            <w:r w:rsidRPr="00F35772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5B6F97" w:rsidRPr="00F35772" w14:paraId="2527AF05" w14:textId="77777777" w:rsidTr="00F35772">
        <w:trPr>
          <w:gridAfter w:val="1"/>
          <w:wAfter w:w="88" w:type="dxa"/>
          <w:trHeight w:val="585"/>
        </w:trPr>
        <w:tc>
          <w:tcPr>
            <w:tcW w:w="9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25871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Qmimet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lartëcekura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janë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të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llogaritura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pa TVSH! Si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dhe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persëritja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secilit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pozicion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kushton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po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njëjta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vlerë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! </w:t>
            </w:r>
          </w:p>
        </w:tc>
      </w:tr>
      <w:tr w:rsidR="005B6F97" w:rsidRPr="00F35772" w14:paraId="25F021AE" w14:textId="77777777" w:rsidTr="00F35772">
        <w:trPr>
          <w:gridAfter w:val="1"/>
          <w:wAfter w:w="88" w:type="dxa"/>
          <w:trHeight w:val="31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B57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ACF7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7CE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2F37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6F97" w:rsidRPr="00F35772" w14:paraId="6E22BF18" w14:textId="77777777" w:rsidTr="00F35772">
        <w:trPr>
          <w:gridAfter w:val="1"/>
          <w:wAfter w:w="88" w:type="dxa"/>
          <w:trHeight w:val="375"/>
        </w:trPr>
        <w:tc>
          <w:tcPr>
            <w:tcW w:w="90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848DBBE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Situacioni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5B6F97" w:rsidRPr="00F35772" w14:paraId="053B1F48" w14:textId="77777777" w:rsidTr="00F35772">
        <w:trPr>
          <w:gridAfter w:val="1"/>
          <w:wAfter w:w="88" w:type="dxa"/>
          <w:trHeight w:val="375"/>
        </w:trPr>
        <w:tc>
          <w:tcPr>
            <w:tcW w:w="906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14:paraId="4609E8F7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Pergatitja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dokumenatcionit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regjistrim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kadastër</w:t>
            </w:r>
            <w:proofErr w:type="spellEnd"/>
          </w:p>
        </w:tc>
      </w:tr>
      <w:tr w:rsidR="005B6F97" w:rsidRPr="00F35772" w14:paraId="7E630106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2BAE93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D517B1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Pershkrimi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sherbimit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FAB66B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Oferta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0350DE6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Cmimi</w:t>
            </w:r>
            <w:proofErr w:type="spellEnd"/>
          </w:p>
        </w:tc>
      </w:tr>
      <w:tr w:rsidR="005B6F97" w:rsidRPr="00F35772" w14:paraId="79B26567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2B4688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92EB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Afarizëm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E19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BAEEC" w14:textId="22DD60C6" w:rsidR="005B6F97" w:rsidRPr="00F35772" w:rsidRDefault="005B6F97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5B6F97" w:rsidRPr="00F35772" w14:paraId="0CAF2D80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9202C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0649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Banimi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F13D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09F62" w14:textId="63B65E8A" w:rsidR="005B6F97" w:rsidRPr="00F35772" w:rsidRDefault="005B6F97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5B6F97" w:rsidRPr="00F35772" w14:paraId="309CC542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713223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29C2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Koridor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9E12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7BA8F" w14:textId="02222290" w:rsidR="005B6F97" w:rsidRPr="00F35772" w:rsidRDefault="005B6F97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5B6F97" w:rsidRPr="00F35772" w14:paraId="625A50A5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484F7E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86F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Depo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74FD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BDF81" w14:textId="48A2AFFE" w:rsidR="005B6F97" w:rsidRPr="00F35772" w:rsidRDefault="005B6F97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5B6F97" w:rsidRPr="00F35772" w14:paraId="70AE1901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D4C2A7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4C0C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Hapësira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perbashketa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37DB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1C20C" w14:textId="3E09E0EA" w:rsidR="005B6F97" w:rsidRPr="00F35772" w:rsidRDefault="005B6F97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5B6F97" w:rsidRPr="00F35772" w14:paraId="441EC19B" w14:textId="77777777" w:rsidTr="00F35772">
        <w:trPr>
          <w:gridAfter w:val="1"/>
          <w:wAfter w:w="88" w:type="dxa"/>
          <w:trHeight w:val="315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02229D" w14:textId="77777777" w:rsidR="005B6F97" w:rsidRPr="00F35772" w:rsidRDefault="005B6F97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C691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Parkingje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60DF" w14:textId="77777777" w:rsidR="005B6F97" w:rsidRPr="00F35772" w:rsidRDefault="005B6F97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D2DB0" w14:textId="3A9A1FAD" w:rsidR="005B6F97" w:rsidRPr="00F35772" w:rsidRDefault="005B6F97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</w:tbl>
    <w:p w14:paraId="133D98A0" w14:textId="28EDBA82" w:rsidR="00F82F90" w:rsidRDefault="00BE4525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pas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pllak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proofErr w:type="gram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deri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pllak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tjet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gjat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monitorimit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rtimit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</w:r>
      <w:proofErr w:type="spellStart"/>
      <w:proofErr w:type="gram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Kurse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regjistrimin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dor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zimit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proofErr w:type="gram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Vërejtje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!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përsëritur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kufirit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gërmimit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bëhet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vetëm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herë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dytë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,</w:t>
      </w:r>
      <w:proofErr w:type="gram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gjdo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përsëritje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paguhet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sikurse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situatën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parë</w:t>
      </w:r>
      <w:proofErr w:type="spellEnd"/>
      <w:r w:rsidR="007619F0"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2400AC53" w14:textId="337C8A46" w:rsidR="00F82F90" w:rsidRDefault="00F82F90" w:rsidP="00F82F90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7</w:t>
      </w:r>
    </w:p>
    <w:p w14:paraId="6700C7DF" w14:textId="584261DC" w:rsidR="00F82F90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Produkti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punës</w:t>
      </w:r>
      <w:proofErr w:type="spellEnd"/>
    </w:p>
    <w:p w14:paraId="05B11A9A" w14:textId="76564C13" w:rsidR="004D32C4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DFD5D86" w14:textId="16215B7A" w:rsidR="004D32C4" w:rsidRPr="004D32C4" w:rsidRDefault="004D32C4" w:rsidP="004D32C4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ëtë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termi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"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Punes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"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nkupton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produktet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unës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krijuara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duke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perfshire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por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u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kufizuar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detyrat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rshkruara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A.</w:t>
      </w:r>
    </w:p>
    <w:p w14:paraId="67B175B4" w14:textId="2BEBE567" w:rsidR="004D32C4" w:rsidRDefault="004D32C4" w:rsidP="004D32C4">
      <w:pPr>
        <w:jc w:val="center"/>
      </w:pPr>
    </w:p>
    <w:p w14:paraId="4318E3D8" w14:textId="77777777" w:rsidR="007619F0" w:rsidRDefault="007619F0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425228D" w14:textId="4605AFD4" w:rsidR="004D32C4" w:rsidRDefault="004D32C4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lastRenderedPageBreak/>
        <w:t>Neni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8</w:t>
      </w:r>
    </w:p>
    <w:p w14:paraId="3FAB3B70" w14:textId="0339B9BA" w:rsidR="004D32C4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Pronësia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Intelektuale</w:t>
      </w:r>
      <w:proofErr w:type="spellEnd"/>
    </w:p>
    <w:p w14:paraId="13CC6AAD" w14:textId="2B76E6AF" w:rsidR="004D32C4" w:rsidRDefault="004D32C4" w:rsidP="004D32C4">
      <w:pPr>
        <w:jc w:val="center"/>
      </w:pPr>
    </w:p>
    <w:p w14:paraId="0B7C7FD9" w14:textId="48FBC56F" w:rsidR="004D32C4" w:rsidRDefault="004D32C4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pajtohet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BC4ACB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BC4ACB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jetë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pronë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vetme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ekskluzive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ketë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drejta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çfarëdo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lloji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5D89AA" w14:textId="7D9ABE13" w:rsidR="007C233E" w:rsidRDefault="007C233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siguron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garanton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përdorë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pëlqimin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paraprak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përfshijë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vetëdijshme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apo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shkelte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drejtat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pronësisë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intelektuale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pale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tretë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BBCE37" w14:textId="20E2F743" w:rsidR="007C233E" w:rsidRDefault="007C233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01EB6EFC" w14:textId="0F295DA3" w:rsidR="007C233E" w:rsidRDefault="007C233E" w:rsidP="007C233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9</w:t>
      </w:r>
    </w:p>
    <w:p w14:paraId="400D6A40" w14:textId="231852ED" w:rsidR="007C233E" w:rsidRDefault="007C233E" w:rsidP="007C233E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Mos-performanca</w:t>
      </w:r>
      <w:proofErr w:type="spellEnd"/>
    </w:p>
    <w:p w14:paraId="3E3492AB" w14:textId="6DAD5EB7" w:rsidR="007C233E" w:rsidRDefault="007C233E" w:rsidP="007C233E">
      <w:pPr>
        <w:jc w:val="both"/>
      </w:pPr>
    </w:p>
    <w:p w14:paraId="2F179588" w14:textId="2366C3F9" w:rsidR="00C40289" w:rsidRDefault="00C40289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subjekt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ndërmerren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kënaqshëm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ndërmerren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brenda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afateve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caktuara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kohore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atëher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gëzon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ndaljes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kënaqshme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Nëse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përmbush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obligimet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tij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kontraktuale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sipas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shtojces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gram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A</w:t>
      </w:r>
      <w:proofErr w:type="gram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edhe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mbas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paralejmerimit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ana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  <w:r w:rsidR="00BB52EC" w:rsidRP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proofErr w:type="gramStart"/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ateher</w:t>
      </w:r>
      <w:proofErr w:type="spellEnd"/>
      <w:proofErr w:type="gram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kryhet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  <w:r w:rsidR="00BB52EC" w:rsidRP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proofErr w:type="gram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ka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per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permbushjen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se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njejtes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6A54CDF2" w14:textId="05F961E1" w:rsidR="00C40289" w:rsidRDefault="00C40289" w:rsidP="007C233E">
      <w:pPr>
        <w:jc w:val="both"/>
      </w:pPr>
    </w:p>
    <w:p w14:paraId="4B2CAFC8" w14:textId="0C606A98" w:rsidR="00BC4ACB" w:rsidRDefault="00BC4ACB" w:rsidP="007C233E">
      <w:pPr>
        <w:jc w:val="both"/>
      </w:pPr>
    </w:p>
    <w:p w14:paraId="69E60203" w14:textId="77777777" w:rsidR="00BC4ACB" w:rsidRDefault="00BC4ACB" w:rsidP="007C233E">
      <w:pPr>
        <w:jc w:val="both"/>
      </w:pPr>
    </w:p>
    <w:p w14:paraId="00B7249A" w14:textId="2C923ADA" w:rsidR="00C40289" w:rsidRDefault="00C40289" w:rsidP="00C40289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10</w:t>
      </w:r>
    </w:p>
    <w:p w14:paraId="0D03E504" w14:textId="01C6D055" w:rsidR="00C40289" w:rsidRDefault="00C40289" w:rsidP="00C40289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Informacioni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sekret</w:t>
      </w:r>
      <w:proofErr w:type="spellEnd"/>
    </w:p>
    <w:p w14:paraId="1254B132" w14:textId="77777777" w:rsidR="00C40289" w:rsidRDefault="00C40289" w:rsidP="00C40289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6D912E7" w14:textId="12DACD50" w:rsidR="00C40289" w:rsidRDefault="00F6187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termi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nënkupton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lidhen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biznesin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duke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përfshirë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por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u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kufizuar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financiare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proceset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teknologjinë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softuerët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kno</w:t>
      </w:r>
      <w:r w:rsidR="002D638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-ho</w:t>
      </w:r>
      <w:r w:rsidR="002D638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afariste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klientët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furnizuesit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pranuara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direkte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indirekte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6FA4C39E" w14:textId="1EF1825B" w:rsidR="00923436" w:rsidRDefault="00923436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7503D2F0" w14:textId="25A8AFA0" w:rsidR="00923436" w:rsidRDefault="00923436" w:rsidP="00923436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11</w:t>
      </w:r>
    </w:p>
    <w:p w14:paraId="2EC0266B" w14:textId="45AA2327" w:rsidR="00923436" w:rsidRDefault="00923436" w:rsidP="00923436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Detyrimi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shpalosjes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mospërdorimit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të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informacionit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sekret</w:t>
      </w:r>
      <w:proofErr w:type="spellEnd"/>
    </w:p>
    <w:p w14:paraId="32229D93" w14:textId="3102DBE2" w:rsidR="00923436" w:rsidRDefault="00923436" w:rsidP="007C233E">
      <w:pPr>
        <w:jc w:val="both"/>
      </w:pPr>
    </w:p>
    <w:p w14:paraId="6731D25B" w14:textId="5FA3765D" w:rsidR="000D2E2D" w:rsidRPr="000D2E2D" w:rsidRDefault="000D2E2D" w:rsidP="000D2E2D">
      <w:pPr>
        <w:tabs>
          <w:tab w:val="decimal" w:pos="1296"/>
        </w:tabs>
        <w:spacing w:before="216" w:line="30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perdor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çfarëdo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qëllimi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përveçse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Sherbimeve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detyrohet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mos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zbuloje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tek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palet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treta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perve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zbulim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llë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kerkohe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dh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gjykat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fuqin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ligjit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7D5FEBE9" w14:textId="69E427B4" w:rsidR="000D2E2D" w:rsidRPr="000D2E2D" w:rsidRDefault="000D2E2D" w:rsidP="000D2E2D">
      <w:pPr>
        <w:tabs>
          <w:tab w:val="decimal" w:pos="1296"/>
        </w:tabs>
        <w:spacing w:before="144" w:line="30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gram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 xml:space="preserve">Pas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perfundimit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t'i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dor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zoj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VËLLEZËRIT BEKTESHI </w:t>
      </w:r>
      <w:proofErr w:type="spellStart"/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SH.P.K.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form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prekshme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jen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dosjet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specifikimet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ateriale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posedim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nen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kontrollin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tij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proofErr w:type="gramEnd"/>
    </w:p>
    <w:p w14:paraId="55BA4D3C" w14:textId="5BE1E6ED" w:rsidR="000D2E2D" w:rsidRDefault="000D2E2D" w:rsidP="007C233E">
      <w:pPr>
        <w:jc w:val="both"/>
      </w:pPr>
    </w:p>
    <w:p w14:paraId="30B8F0F8" w14:textId="5CDB65F2" w:rsidR="00E75D5C" w:rsidRDefault="00E75D5C" w:rsidP="00E75D5C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12</w:t>
      </w:r>
    </w:p>
    <w:p w14:paraId="420132F5" w14:textId="64395EB2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Interpretimi</w:t>
      </w:r>
      <w:proofErr w:type="spellEnd"/>
    </w:p>
    <w:p w14:paraId="07F2B93F" w14:textId="77777777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283BFB4" w14:textId="37E82128" w:rsidR="00E75D5C" w:rsidRDefault="00E75D5C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nenet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kushtet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rcaktuara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do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rputhje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kuptimin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gjuh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rdorur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asnj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autor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F4CBCDE" w14:textId="2EF05FDE" w:rsidR="00BC4ACB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dakordohen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mban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përgjegjësinë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periudhën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brenda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aktive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69A9CB1" w14:textId="047A125D" w:rsidR="00BC4ACB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5A1F2804" w14:textId="77777777" w:rsidR="00BC4ACB" w:rsidRPr="00E75D5C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4DC9D1D5" w14:textId="77777777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FAFA496" w14:textId="457E2AF9" w:rsidR="00E75D5C" w:rsidRDefault="00E75D5C" w:rsidP="00E75D5C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13</w:t>
      </w:r>
    </w:p>
    <w:p w14:paraId="104A0FBF" w14:textId="63C3413A" w:rsidR="00E75D5C" w:rsidRDefault="007632EE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Zgjidhja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mosmarrëveshjeve</w:t>
      </w:r>
      <w:proofErr w:type="spellEnd"/>
    </w:p>
    <w:p w14:paraId="0464F934" w14:textId="1FE95A63" w:rsidR="00E75D5C" w:rsidRDefault="00E75D5C" w:rsidP="007C233E">
      <w:pPr>
        <w:jc w:val="both"/>
      </w:pPr>
    </w:p>
    <w:p w14:paraId="07885F6E" w14:textId="0CAB5D82" w:rsidR="007632EE" w:rsidRDefault="007632EE" w:rsidP="007632EE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akordohen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jn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rpjekjet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tyre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per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zgjidhur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mosmarreveshjet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lindin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negociatave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mir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besim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Per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do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mosmarreveshje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kundert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hë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nie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apo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pretendim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lind</w:t>
      </w:r>
      <w:proofErr w:type="spellEnd"/>
      <w:proofErr w:type="gram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z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gjidhet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negociata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pranojne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kompetencen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lendore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territorial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Gjykates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Themelor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</w:p>
    <w:p w14:paraId="3576E53C" w14:textId="2D45015F" w:rsidR="007632EE" w:rsidRDefault="007632EE" w:rsidP="007632EE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64AFD48C" w14:textId="77777777" w:rsidR="007619F0" w:rsidRDefault="007619F0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4879FCAA" w14:textId="77777777" w:rsidR="007619F0" w:rsidRDefault="007619F0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0ADEDEA0" w14:textId="77777777" w:rsidR="007619F0" w:rsidRDefault="007619F0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30F63F0" w14:textId="77777777" w:rsidR="007619F0" w:rsidRDefault="007619F0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079B06D" w14:textId="77777777" w:rsidR="007619F0" w:rsidRDefault="007619F0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7720EF3" w14:textId="77777777" w:rsidR="007619F0" w:rsidRDefault="007619F0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30578C76" w14:textId="4BA74DFB" w:rsidR="007632EE" w:rsidRDefault="007632EE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lastRenderedPageBreak/>
        <w:t>Neni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14</w:t>
      </w:r>
    </w:p>
    <w:p w14:paraId="4B52536E" w14:textId="368CF006" w:rsidR="007632EE" w:rsidRPr="00673511" w:rsidRDefault="007632EE" w:rsidP="00673511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Nënshkrimi</w:t>
      </w:r>
      <w:proofErr w:type="spellEnd"/>
    </w:p>
    <w:p w14:paraId="1F3EF175" w14:textId="45E48088" w:rsidR="00BC4ACB" w:rsidRDefault="007632EE" w:rsidP="00D31DDA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përmbajtjen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u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nënshkrua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me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datën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shënuar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poshtë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dy</w:t>
      </w:r>
      <w:proofErr w:type="spellEnd"/>
      <w:proofErr w:type="gram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(2) kopje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autentike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cilat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secilës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pale I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mbetet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Kopje.</w:t>
      </w:r>
    </w:p>
    <w:p w14:paraId="63DD234B" w14:textId="0AE40DE9" w:rsidR="0004070A" w:rsidRDefault="008A60DA" w:rsidP="007619F0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proofErr w:type="gramStart"/>
      <w:r w:rsidRP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Geo Coding</w:t>
      </w:r>
      <w:r w:rsidR="005B6F97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5B6F97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5B6F97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5B6F97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C1162D">
        <w:rPr>
          <w:rFonts w:ascii="Times New Roman" w:hAnsi="Times New Roman" w:cs="Times New Roman"/>
          <w:b/>
          <w:bCs/>
          <w:color w:val="000000"/>
          <w:spacing w:val="10"/>
          <w:szCs w:val="28"/>
        </w:rPr>
        <w:t>VËLLEZËRIT BEKTESHI</w:t>
      </w:r>
      <w:r w:rsidR="005B6F97">
        <w:rPr>
          <w:rFonts w:ascii="Times New Roman" w:hAnsi="Times New Roman" w:cs="Times New Roman"/>
          <w:b/>
          <w:bCs/>
          <w:color w:val="000000"/>
          <w:spacing w:val="10"/>
          <w:szCs w:val="28"/>
        </w:rPr>
        <w:t xml:space="preserve"> </w:t>
      </w:r>
      <w:r w:rsidRPr="008A60DA">
        <w:rPr>
          <w:rFonts w:ascii="Times New Roman" w:hAnsi="Times New Roman" w:cs="Times New Roman"/>
          <w:b/>
          <w:bCs/>
          <w:color w:val="000000"/>
          <w:spacing w:val="10"/>
          <w:szCs w:val="28"/>
        </w:rPr>
        <w:t>SH.P.K.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</w:p>
    <w:p w14:paraId="441718F1" w14:textId="07EB5186" w:rsidR="0004070A" w:rsidRDefault="0004070A" w:rsidP="007632EE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_____________________</w:t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  <w:t>___________________</w:t>
      </w:r>
    </w:p>
    <w:p w14:paraId="4C8027FF" w14:textId="71360931" w:rsidR="00A133B5" w:rsidRPr="00D31DDA" w:rsidRDefault="0004070A" w:rsidP="00D31DDA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Data: </w:t>
      </w:r>
      <w:r w:rsidR="004E5102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___/___/______</w:t>
      </w:r>
    </w:p>
    <w:p w14:paraId="69F65AB7" w14:textId="77777777" w:rsidR="005B6F97" w:rsidRDefault="005B6F97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DB479CF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3FB1EC04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7B82BFF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5F7CA79B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4C36DA92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F6BF724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BF513B2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40151A2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1A56FA5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2B8E4D6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A2F9BB1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7F74A6BF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392DD83C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ECD5089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5977056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DBD618A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553E438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4E670033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07F85C8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73C4105" w14:textId="77777777" w:rsidR="007619F0" w:rsidRDefault="007619F0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79F2803" w14:textId="7A3AF9F0" w:rsid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  <w:r w:rsidRPr="00493C46"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  <w:lastRenderedPageBreak/>
        <w:t>SHTOJCA A</w:t>
      </w:r>
    </w:p>
    <w:p w14:paraId="43936559" w14:textId="77777777" w:rsidR="00493C46" w:rsidRP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639B51C" w14:textId="4AEAAF74" w:rsid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FUSHËVEPRIMI I SHËRBIMEVE</w:t>
      </w:r>
    </w:p>
    <w:p w14:paraId="62275313" w14:textId="148438CB" w:rsidR="00493C46" w:rsidRDefault="008A60DA" w:rsidP="00493C46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Geo Coding </w:t>
      </w:r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do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ofroj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apo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më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shumë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këto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kërkesë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13939">
        <w:rPr>
          <w:rFonts w:ascii="Times New Roman" w:hAnsi="Times New Roman" w:cs="Times New Roman"/>
          <w:color w:val="000000"/>
          <w:spacing w:val="10"/>
          <w:sz w:val="24"/>
          <w:szCs w:val="24"/>
        </w:rPr>
        <w:t>VËLLEZËRIT BEKTESHI SH.P.K.</w:t>
      </w:r>
    </w:p>
    <w:p w14:paraId="599AAA54" w14:textId="6E6CAC0E" w:rsidR="003D7C4A" w:rsidRPr="00BE4525" w:rsidRDefault="003D7C4A" w:rsidP="003D7C4A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manualit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leje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rtimore</w:t>
      </w:r>
      <w:proofErr w:type="spellEnd"/>
    </w:p>
    <w:p w14:paraId="269C6D4E" w14:textId="485DDF08" w:rsidR="00BE4525" w:rsidRPr="00BE4525" w:rsidRDefault="003D7C4A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themelit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rmim</w:t>
      </w:r>
      <w:proofErr w:type="spellEnd"/>
    </w:p>
    <w:p w14:paraId="0C5BBDF0" w14:textId="1BC9AE64" w:rsid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shtyllave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</w:p>
    <w:p w14:paraId="6659D9D9" w14:textId="144AE500" w:rsid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elaborative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</w:t>
      </w:r>
      <w:proofErr w:type="spellEnd"/>
    </w:p>
    <w:p w14:paraId="7C081B01" w14:textId="63CF5030" w:rsidR="00BE4525" w:rsidRP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elaborative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</w:p>
    <w:p w14:paraId="47AC4B97" w14:textId="75ECF8B3" w:rsidR="00E908CB" w:rsidRPr="00A77779" w:rsidRDefault="00E908CB" w:rsidP="00673511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Cs w:val="24"/>
        </w:rPr>
      </w:pP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V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rejtje</w:t>
      </w:r>
      <w:proofErr w:type="gram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!N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proofErr w:type="gram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kuad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kesaj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marrveshje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nuk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I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rfshir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piketimi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I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kanaleve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ventilimit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oxhaqeve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dhe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kufirit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objektit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(</w:t>
      </w:r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I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cili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</w:t>
      </w:r>
      <w:proofErr w:type="spellStart"/>
      <w:r w:rsidR="004B1FBC" w:rsidRPr="00A77779">
        <w:rPr>
          <w:rFonts w:ascii="Times New Roman" w:hAnsi="Times New Roman" w:cs="Times New Roman"/>
          <w:color w:val="000000"/>
          <w:spacing w:val="-2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-2"/>
          <w:szCs w:val="24"/>
        </w:rPr>
        <w:t>sht</w:t>
      </w:r>
      <w:r w:rsidR="004B1FBC" w:rsidRPr="00A77779">
        <w:rPr>
          <w:rFonts w:ascii="Times New Roman" w:hAnsi="Times New Roman" w:cs="Times New Roman"/>
          <w:color w:val="000000"/>
          <w:spacing w:val="-2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I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derivuesh</w:t>
      </w:r>
      <w:r w:rsidR="004B1FBC" w:rsidRPr="00A77779">
        <w:rPr>
          <w:rFonts w:ascii="Times New Roman" w:hAnsi="Times New Roman" w:cs="Times New Roman"/>
          <w:color w:val="000000"/>
          <w:spacing w:val="-2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-2"/>
          <w:szCs w:val="24"/>
        </w:rPr>
        <w:t>m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nga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shtyllat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e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piketuara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t</w:t>
      </w:r>
      <w:r w:rsidR="004B1FBC" w:rsidRPr="00A77779">
        <w:rPr>
          <w:rFonts w:ascii="Times New Roman" w:hAnsi="Times New Roman" w:cs="Times New Roman"/>
          <w:color w:val="000000"/>
          <w:spacing w:val="-2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objektit</w:t>
      </w:r>
      <w:proofErr w:type="spellEnd"/>
      <w:r w:rsidRPr="00A77779">
        <w:rPr>
          <w:rFonts w:ascii="Times New Roman" w:hAnsi="Times New Roman" w:cs="Times New Roman"/>
          <w:color w:val="000000"/>
          <w:spacing w:val="-2"/>
          <w:szCs w:val="24"/>
        </w:rPr>
        <w:t>)</w:t>
      </w:r>
      <w:r w:rsidR="00B528E2" w:rsidRPr="00A77779">
        <w:rPr>
          <w:rFonts w:ascii="Times New Roman" w:hAnsi="Times New Roman" w:cs="Times New Roman"/>
          <w:color w:val="000000"/>
          <w:spacing w:val="-2"/>
          <w:szCs w:val="24"/>
        </w:rPr>
        <w:t>.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rast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rkes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to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rbime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speciale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at’her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duhet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negociuar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qmimi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I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lart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cekur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nenin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6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4B1FBC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marrveshjes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.</w:t>
      </w:r>
    </w:p>
    <w:p w14:paraId="01071198" w14:textId="7DB00CAC" w:rsidR="004B1FBC" w:rsidRPr="00A77779" w:rsidRDefault="004B1FBC" w:rsidP="004B1FBC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Cs w:val="24"/>
        </w:rPr>
      </w:pP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rast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shkeljes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lejes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nd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rtimore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nga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ana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e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pun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kryesit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(me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apo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pa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dashje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), jam I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detyruar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q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t’ju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njoftoj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me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shkrim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dhe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elaborate special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nj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gj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till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juve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po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ashtu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edhe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organet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gjegj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shtetit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!</w:t>
      </w:r>
    </w:p>
    <w:p w14:paraId="11582820" w14:textId="3F94AE03" w:rsidR="004B1FBC" w:rsidRPr="00A77779" w:rsidRDefault="004B1FBC" w:rsidP="00721845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Cs w:val="24"/>
        </w:rPr>
      </w:pP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shkak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efiqienc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dhe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shkak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angagjimeve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mija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profesionale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tjera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pun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gjat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monitorimit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objektit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nd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rtim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duhet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njoftoni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ekipin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ton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terrenit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pun</w:t>
      </w:r>
      <w:r w:rsidR="00D31DDA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24h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para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kohe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!</w:t>
      </w:r>
    </w:p>
    <w:p w14:paraId="182DB5E7" w14:textId="7A646094" w:rsidR="00102F7D" w:rsidRPr="00A77779" w:rsidRDefault="00102F7D" w:rsidP="00721845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Cs w:val="24"/>
        </w:rPr>
      </w:pP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rast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kushteve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nduara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atmosferkike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(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reshje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atmosferike</w:t>
      </w:r>
      <w:proofErr w:type="spellEnd"/>
      <w:proofErr w:type="gram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) ,</w:t>
      </w:r>
      <w:proofErr w:type="gram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e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pamundru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dilet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terren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piketim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ndaj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so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raste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terminet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piketim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mund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shtyhen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koh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A77779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rshtatshme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!</w:t>
      </w:r>
    </w:p>
    <w:p w14:paraId="191E839C" w14:textId="60C99FA7" w:rsidR="00721845" w:rsidRPr="00A77779" w:rsidRDefault="00721845" w:rsidP="00673511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Cs w:val="24"/>
        </w:rPr>
      </w:pP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investitori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, (</w:t>
      </w:r>
      <w:r w:rsidR="00913939">
        <w:rPr>
          <w:rFonts w:ascii="Times New Roman" w:hAnsi="Times New Roman" w:cs="Times New Roman"/>
          <w:color w:val="000000"/>
          <w:spacing w:val="10"/>
          <w:szCs w:val="24"/>
        </w:rPr>
        <w:t>VËLLEZËRIT BEKTESHI SH.P.K.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),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rkon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q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ndonj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kat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banesor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mos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b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het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piketimi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I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shtyllave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at’her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ai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duhet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paguaj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vet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elaboratin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e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piketimit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(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kufirit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objektit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),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pasi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si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elaborate </w:t>
      </w:r>
      <w:proofErr w:type="spellStart"/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sht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I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domosdosh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r w:rsidRPr="00A77779">
        <w:rPr>
          <w:rFonts w:ascii="Times New Roman" w:hAnsi="Times New Roman" w:cs="Times New Roman"/>
          <w:color w:val="000000"/>
          <w:spacing w:val="10"/>
          <w:szCs w:val="24"/>
        </w:rPr>
        <w:t>r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pranim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teknik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t</w:t>
      </w:r>
      <w:r w:rsidR="00673511" w:rsidRPr="00A77779">
        <w:rPr>
          <w:rFonts w:ascii="Times New Roman" w:hAnsi="Times New Roman" w:cs="Times New Roman"/>
          <w:color w:val="000000"/>
          <w:spacing w:val="10"/>
          <w:szCs w:val="24"/>
        </w:rPr>
        <w:t>ë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 xml:space="preserve"> </w:t>
      </w:r>
      <w:proofErr w:type="spellStart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objektit</w:t>
      </w:r>
      <w:proofErr w:type="spellEnd"/>
      <w:r w:rsidRPr="00A77779">
        <w:rPr>
          <w:rFonts w:ascii="Times New Roman" w:hAnsi="Times New Roman" w:cs="Times New Roman"/>
          <w:color w:val="000000"/>
          <w:spacing w:val="10"/>
          <w:szCs w:val="24"/>
        </w:rPr>
        <w:t>!</w:t>
      </w:r>
    </w:p>
    <w:p w14:paraId="00712831" w14:textId="15CA0ABD" w:rsidR="00304CC5" w:rsidRDefault="00304CC5" w:rsidP="00673511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proofErr w:type="gramStart"/>
      <w:r w:rsidRP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Geo Coding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913939">
        <w:rPr>
          <w:rFonts w:ascii="Times New Roman" w:hAnsi="Times New Roman" w:cs="Times New Roman"/>
          <w:b/>
          <w:bCs/>
          <w:color w:val="000000"/>
          <w:spacing w:val="10"/>
          <w:szCs w:val="28"/>
        </w:rPr>
        <w:t>VËLLEZËRIT BEKTESHI SH.P.K.</w:t>
      </w:r>
      <w:proofErr w:type="gramEnd"/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</w:p>
    <w:p w14:paraId="0FDB405B" w14:textId="1D47A755" w:rsidR="000407FB" w:rsidRPr="00D31DDA" w:rsidRDefault="00304CC5" w:rsidP="00673511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_____________________</w:t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  <w:t>___________________</w:t>
      </w:r>
      <w:r w:rsidR="00673511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Data: ___/___/______</w:t>
      </w:r>
    </w:p>
    <w:sectPr w:rsidR="000407FB" w:rsidRPr="00D31D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9FD6F" w14:textId="77777777" w:rsidR="00D65DAB" w:rsidRDefault="00D65DAB" w:rsidP="00533E43">
      <w:r>
        <w:separator/>
      </w:r>
    </w:p>
  </w:endnote>
  <w:endnote w:type="continuationSeparator" w:id="0">
    <w:p w14:paraId="2256CAD4" w14:textId="77777777" w:rsidR="00D65DAB" w:rsidRDefault="00D65DAB" w:rsidP="0053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C8A1" w14:textId="77777777" w:rsidR="00D65DAB" w:rsidRDefault="00D65DAB" w:rsidP="00533E43">
      <w:r>
        <w:separator/>
      </w:r>
    </w:p>
  </w:footnote>
  <w:footnote w:type="continuationSeparator" w:id="0">
    <w:p w14:paraId="2A67F144" w14:textId="77777777" w:rsidR="00D65DAB" w:rsidRDefault="00D65DAB" w:rsidP="00533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AD91" w14:textId="21C2E914" w:rsidR="00533E43" w:rsidRDefault="00533E4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21505"/>
    <w:multiLevelType w:val="hybridMultilevel"/>
    <w:tmpl w:val="D1E26786"/>
    <w:lvl w:ilvl="0" w:tplc="D80026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D7EF6"/>
    <w:multiLevelType w:val="hybridMultilevel"/>
    <w:tmpl w:val="57CC93DC"/>
    <w:lvl w:ilvl="0" w:tplc="AD3A3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155C0"/>
    <w:multiLevelType w:val="multilevel"/>
    <w:tmpl w:val="DB62EDE6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Arial" w:hAnsi="Arial"/>
        <w:b/>
        <w:strike w:val="0"/>
        <w:color w:val="000000"/>
        <w:spacing w:val="-7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F750FA"/>
    <w:multiLevelType w:val="multilevel"/>
    <w:tmpl w:val="8AD8E83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eastAsiaTheme="minorHAnsi" w:hAnsi="Times New Roman" w:cs="Times New Roman"/>
        <w:strike w:val="0"/>
        <w:color w:val="000000"/>
        <w:spacing w:val="1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43"/>
    <w:rsid w:val="0004070A"/>
    <w:rsid w:val="000407FB"/>
    <w:rsid w:val="00091E95"/>
    <w:rsid w:val="000A0B56"/>
    <w:rsid w:val="000D2E2D"/>
    <w:rsid w:val="00102F7D"/>
    <w:rsid w:val="001B6B5E"/>
    <w:rsid w:val="001C1E30"/>
    <w:rsid w:val="00230F03"/>
    <w:rsid w:val="00237C84"/>
    <w:rsid w:val="002A255A"/>
    <w:rsid w:val="002C5713"/>
    <w:rsid w:val="002D638A"/>
    <w:rsid w:val="002F1E14"/>
    <w:rsid w:val="00304CC5"/>
    <w:rsid w:val="003661A6"/>
    <w:rsid w:val="0038129B"/>
    <w:rsid w:val="003D2E6D"/>
    <w:rsid w:val="003D7C4A"/>
    <w:rsid w:val="00440E15"/>
    <w:rsid w:val="00451D1C"/>
    <w:rsid w:val="00493C46"/>
    <w:rsid w:val="004B1FBC"/>
    <w:rsid w:val="004D272C"/>
    <w:rsid w:val="004D32C4"/>
    <w:rsid w:val="004E5102"/>
    <w:rsid w:val="004E76CE"/>
    <w:rsid w:val="00530D52"/>
    <w:rsid w:val="00533E43"/>
    <w:rsid w:val="00580DAA"/>
    <w:rsid w:val="005B6F97"/>
    <w:rsid w:val="006200FE"/>
    <w:rsid w:val="006468A3"/>
    <w:rsid w:val="0065598F"/>
    <w:rsid w:val="00673511"/>
    <w:rsid w:val="006F6366"/>
    <w:rsid w:val="00721845"/>
    <w:rsid w:val="007619F0"/>
    <w:rsid w:val="007632EE"/>
    <w:rsid w:val="007C2050"/>
    <w:rsid w:val="007C233E"/>
    <w:rsid w:val="007E2573"/>
    <w:rsid w:val="008302E6"/>
    <w:rsid w:val="0087778C"/>
    <w:rsid w:val="008A60DA"/>
    <w:rsid w:val="008B43C0"/>
    <w:rsid w:val="008D1195"/>
    <w:rsid w:val="00913939"/>
    <w:rsid w:val="00923436"/>
    <w:rsid w:val="0094705A"/>
    <w:rsid w:val="009F16D1"/>
    <w:rsid w:val="00A133B5"/>
    <w:rsid w:val="00A26EF8"/>
    <w:rsid w:val="00A37CB5"/>
    <w:rsid w:val="00A77779"/>
    <w:rsid w:val="00A97774"/>
    <w:rsid w:val="00B018D8"/>
    <w:rsid w:val="00B2012B"/>
    <w:rsid w:val="00B528E2"/>
    <w:rsid w:val="00BB52EC"/>
    <w:rsid w:val="00BC4ACB"/>
    <w:rsid w:val="00BE4525"/>
    <w:rsid w:val="00C1162D"/>
    <w:rsid w:val="00C40289"/>
    <w:rsid w:val="00CA210E"/>
    <w:rsid w:val="00CE44DA"/>
    <w:rsid w:val="00D31DDA"/>
    <w:rsid w:val="00D65DAB"/>
    <w:rsid w:val="00DD1FED"/>
    <w:rsid w:val="00DD5486"/>
    <w:rsid w:val="00E75D5C"/>
    <w:rsid w:val="00E908CB"/>
    <w:rsid w:val="00EB340C"/>
    <w:rsid w:val="00EC17BA"/>
    <w:rsid w:val="00F35772"/>
    <w:rsid w:val="00F6187E"/>
    <w:rsid w:val="00F75186"/>
    <w:rsid w:val="00F82F90"/>
    <w:rsid w:val="00F8668B"/>
    <w:rsid w:val="00FA043C"/>
    <w:rsid w:val="00FA2E7D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A3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E43"/>
  </w:style>
  <w:style w:type="paragraph" w:styleId="Footer">
    <w:name w:val="footer"/>
    <w:basedOn w:val="Normal"/>
    <w:link w:val="Foot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E43"/>
  </w:style>
  <w:style w:type="paragraph" w:styleId="ListParagraph">
    <w:name w:val="List Paragraph"/>
    <w:basedOn w:val="Normal"/>
    <w:uiPriority w:val="34"/>
    <w:qFormat/>
    <w:rsid w:val="00620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E43"/>
  </w:style>
  <w:style w:type="paragraph" w:styleId="Footer">
    <w:name w:val="footer"/>
    <w:basedOn w:val="Normal"/>
    <w:link w:val="Foot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E43"/>
  </w:style>
  <w:style w:type="paragraph" w:styleId="ListParagraph">
    <w:name w:val="List Paragraph"/>
    <w:basedOn w:val="Normal"/>
    <w:uiPriority w:val="34"/>
    <w:qFormat/>
    <w:rsid w:val="0062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C68DD-A61A-4A30-80F9-8236149E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</dc:creator>
  <cp:keywords/>
  <dc:description/>
  <cp:lastModifiedBy>Liridon Sejdiu</cp:lastModifiedBy>
  <cp:revision>36</cp:revision>
  <cp:lastPrinted>2024-02-01T17:12:00Z</cp:lastPrinted>
  <dcterms:created xsi:type="dcterms:W3CDTF">2023-06-08T18:26:00Z</dcterms:created>
  <dcterms:modified xsi:type="dcterms:W3CDTF">2024-02-01T17:12:00Z</dcterms:modified>
</cp:coreProperties>
</file>