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</w:pPr>
      <w:r>
        <w:rPr>
          <w:rFonts w:ascii="Arial" w:hAnsi="Arial"/>
          <w:b/>
          <w:color w:val="1B365D"/>
          <w:sz w:val="52"/>
        </w:rPr>
        <w:t>SME Compliance &amp; Statutory Audit AI Assistant</w:t>
      </w:r>
    </w:p>
    <w:p>
      <w:pPr>
        <w:spacing w:before="0" w:after="320"/>
      </w:pPr>
      <w:r>
        <w:rPr>
          <w:rFonts w:ascii="Arial" w:hAnsi="Arial"/>
          <w:color w:val="2B548A"/>
          <w:sz w:val="28"/>
        </w:rPr>
        <w:t>Comprehensive Technical Architecture, System Analysis &amp; Milestone 3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Project Name:</w:t>
            </w:r>
            <w:r>
              <w:rPr>
                <w:rFonts w:ascii="Arial" w:hAnsi="Arial"/>
                <w:color w:val="333333"/>
                <w:sz w:val="19"/>
              </w:rPr>
              <w:t xml:space="preserve"> SME Compliance Assistant (Macro Project-I)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Date:</w:t>
            </w:r>
            <w:r>
              <w:rPr>
                <w:rFonts w:ascii="Arial" w:hAnsi="Arial"/>
                <w:color w:val="333333"/>
                <w:sz w:val="19"/>
              </w:rPr>
              <w:t xml:space="preserve"> September 2026</w:t>
            </w:r>
          </w:p>
        </w:tc>
      </w:tr>
      <w:tr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Version / Milestone:</w:t>
            </w:r>
            <w:r>
              <w:rPr>
                <w:rFonts w:ascii="Arial" w:hAnsi="Arial"/>
                <w:color w:val="333333"/>
                <w:sz w:val="19"/>
              </w:rPr>
              <w:t xml:space="preserve"> 2.0.0 (Milestone 3 Completed)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Database Engine:</w:t>
            </w:r>
            <w:r>
              <w:rPr>
                <w:rFonts w:ascii="Arial" w:hAnsi="Arial"/>
                <w:color w:val="333333"/>
                <w:sz w:val="19"/>
              </w:rPr>
              <w:t xml:space="preserve"> PostgreSQL + SQLAlchemy 2.0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t>1. Executive Summary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SME Compliance &amp; Statutory Audit AI Assistant is an enterprise-grade agentic system designed to simplify, automate, and streamline Indian statutory compliance for Small and Medium Enterprises (SMEs), Chartered Accountants (CAs), and compliance officers. Navigating complex multi-tiered regulatory environments—including GST registration, Udyam MSME classification, Shops &amp; Establishments Act, Provident Fund (PF), and Employees' State Insurance (ESI)—presents a severe burden for business owners.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This project combines modern LLM tool-calling architectures (Google Gemini 2.5/1.5 Flash), hybrid Retrieval-Augmented Generation (ChromaDB dense vectors + BM25 sparse keyword search), vision OCR document parsing, a deterministic rules engine, and a state-machine workflow engine integrated into a full-stack web application backed by PostgreSQL.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2"/>
              </w:rPr>
              <w:t>📌 Core System Capabilities</w:t>
              <w:br/>
            </w:r>
            <w:r>
              <w:rPr>
                <w:rFonts w:ascii="Arial" w:hAnsi="Arial"/>
                <w:color w:val="333333"/>
                <w:sz w:val="20"/>
              </w:rPr>
              <w:t>• End-to-End Statutory Compliance Auditing: Evaluates turnover, employee count, state category, and business type against active Indian statutory thresholds.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Hybrid RAG Knowledge Base: Provides instant, evidence-grounded regulatory retrieval citing exact statute clauses (e.g., GST-001, MSME-002, LAB-001).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Multimodal Vision OCR: Extracts structured business entities directly from uploaded GST certificates, PAN cards, invoices, and utility bills.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Human-in-the-Loop Workflow Automation: Pre-fills portal applications (e.g. Udyam MSME) while strictly adhering to privacy boundary controls (Aadhaar OTP verification).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Enterprise PostgreSQL Persistence: Complete database layer managing users, business profiles, document uploads, audit findings, and auditable workflow state logs.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t>2. System Architecture &amp; Core Components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application follows a clean, decoupled multi-tier architecture. High-level requests from the responsive single-page Web UI are processed by a FastAPI backend server, which orchestrates specialized subsystems: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1. REST API Layer (server.py):</w:t>
      </w:r>
      <w:r>
        <w:rPr>
          <w:rFonts w:ascii="Arial" w:hAnsi="Arial"/>
          <w:color w:val="333333"/>
          <w:sz w:val="21"/>
        </w:rPr>
        <w:t xml:space="preserve"> FastAPI (Python 3.11+) delivering RESTful endpoints for authentication, business profile management, document ingestion, statutory audits, RAG search, interactive AI chat, and workflow execution.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2. Database Persistence Layer (core/database.py &amp; db_service.py):</w:t>
      </w:r>
      <w:r>
        <w:rPr>
          <w:rFonts w:ascii="Arial" w:hAnsi="Arial"/>
          <w:color w:val="333333"/>
          <w:sz w:val="21"/>
        </w:rPr>
        <w:t xml:space="preserve"> SQLAlchemy 2.0 ORM with PostgreSQL database managing five core schemas: Users, Businesses, DocumentUploads, AuditFindings, and WorkflowRecords.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3. Deterministic Rules Engine (core/rules_engine.py):</w:t>
      </w:r>
      <w:r>
        <w:rPr>
          <w:rFonts w:ascii="Arial" w:hAnsi="Arial"/>
          <w:color w:val="333333"/>
          <w:sz w:val="21"/>
        </w:rPr>
        <w:t xml:space="preserve"> Evaluates business dataclasses against 6 real statutory rule functions, generating structured findings with mandatory evidence IDs.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4. Hybrid RAG Retrieval Engine (rag/vector_store.py &amp; regulations.py):</w:t>
      </w:r>
      <w:r>
        <w:rPr>
          <w:rFonts w:ascii="Arial" w:hAnsi="Arial"/>
          <w:color w:val="333333"/>
          <w:sz w:val="21"/>
        </w:rPr>
        <w:t xml:space="preserve"> Combines ChromaDB dense vector embeddings with BM25 Okapi keyword ranking over an indexed Indian regulatory corpus.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5. Vision OCR Document Parsing (core/doc_extractor.py):</w:t>
      </w:r>
      <w:r>
        <w:rPr>
          <w:rFonts w:ascii="Arial" w:hAnsi="Arial"/>
          <w:color w:val="333333"/>
          <w:sz w:val="21"/>
        </w:rPr>
        <w:t xml:space="preserve"> Utilizes Gemini Vision API (or offline fallback) to parse document photos and automatically populate business profiles.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6. Automated Portal Workflow Engine (core/workflow.py):</w:t>
      </w:r>
      <w:r>
        <w:rPr>
          <w:rFonts w:ascii="Arial" w:hAnsi="Arial"/>
          <w:color w:val="333333"/>
          <w:sz w:val="21"/>
        </w:rPr>
        <w:t xml:space="preserve"> Implements a 6-stage lifecycle (READY, COLLECTING_DATA, VALIDATING, RUNNING, AWAITING_USER, COMPLETED) with sensitive data masking and pre-flight web structure checks.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7. Tool-Calling Agent Loop (agent_demo.py):</w:t>
      </w:r>
      <w:r>
        <w:rPr>
          <w:rFonts w:ascii="Arial" w:hAnsi="Arial"/>
          <w:color w:val="333333"/>
          <w:sz w:val="21"/>
        </w:rPr>
        <w:t xml:space="preserve"> Autonomous tool-calling agent enabling multi-step reasoning cycles (search_regulations, query_business_data, check_requirement).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t>3. Detailed Module Deep-Dive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B548A"/>
          <w:sz w:val="28"/>
        </w:rPr>
        <w:t>3.1 Relational Database Layer (PostgreSQL &amp; SQLAlchemy 2.0)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persistence layer is implemented in core/database.py and core/db_service.py. It connects to PostgreSQL via SQLAlchemy 2.0 and psycopg2, automatically creating tables and seeding sample data upon startup.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Keys / Foreign Keys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 &amp; Key Attributes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users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user_id (PK)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Application users (owners, CAs, compliance officers). Stores name, email, phone, role.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businesses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business_id (PK), user_id (FK)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SME profile parameters: turnover_lakh, employee_count, state, GSTIN, PAN, registration_status, special_category_state.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document_uploads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upload_id (PK), business_id (FK), user_id (FK)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Ingested files metadata, file_path, document_type, extracted_data (JSON), confidence_score.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findings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finding_id (PK), business_id (FK)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Persisted statutory audit results: requirement, applies (boolean), reason, evidence_id.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workflow_records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workflow_id (PK), business_id (FK)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Audit log for automated workflows: workflow_name, status, stage, steps_log (JSON execution trace).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B548A"/>
          <w:sz w:val="28"/>
        </w:rPr>
        <w:t>3.2 Statutory Rules Engine (core/rules_engine.py)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statutory rules engine evaluates a BusinessProfile against active Indian compliance thresholds. Rather than relying solely on LLM text generation, statutory applicability is computed deterministically to eliminate hallucinations and guarantee legal accuracy.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Compliance Requirement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Statutory Threshold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Evidence ID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Applicability Logic Summary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GST Mandatory Registration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Rs. 40L (Goods) / Rs. 20L (Services) [Special states: Rs. 20L / 10L]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GST-001 / GST-002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Applies if turnover &gt;= turnover threshold based on state category.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GST Composition Scheme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Turnover &lt;= Rs. 1.5 Crore [Special states: &lt;= Rs. 75L]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GST-003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Eligible for simplified tax compliance if turnover is below statutory ceiling.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Udyam MSME Classification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Micro: &lt;= 5Cr | Small: &lt;= 50Cr | Medium: &lt;= 250Cr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MSME-001/2/3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Categorizes business into Micro, Small, or Medium Enterprise tier.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Shops &amp; Establishments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Employee count &gt;= 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SE-001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Mandatory commercial establishment registration upon hiring 1 worker.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Provident Fund (PF)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Employee count &gt;= 20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LAB-001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Mandatory EPF registration once workforce reaches 20 employees.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ESI Insurance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Employee count &gt;= 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LAB-002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Mandatory ESIC employee health insurance at 10 or more employees.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B548A"/>
          <w:sz w:val="28"/>
        </w:rPr>
        <w:t>3.3 Multimodal Document Extractor &amp; Vision OCR (core/doc_extractor.py)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To remove manual data entry friction, doc_extractor.py enables business owners to upload photographs or scans of physical identity and statutory documents. It utilizes Google's Gemini Vision API (gemini-2.5-flash / gemini-1.5-flash) with structured JSON schema outputs.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Extracted fields (Business Name, PAN, GSTIN, Owner, Turnover, Employee Count, Address) are automatically parsed, assigned a confidence score, stored in document_uploads, and merged into the active Business profile in PostgreSQL.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B548A"/>
          <w:sz w:val="28"/>
        </w:rPr>
        <w:t>3.4 Regulatory RAG &amp; Knowledge Retrieval (rag/vector_store.py)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RAG system indexes structured statutory snippets (GST Act, MSME Development Act, Factories Act, PF/ESI Acts). To achieve high precision and recall, it uses a Hybrid Search strategy: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Dense Vector Retrieval (ChromaDB):</w:t>
      </w:r>
      <w:r>
        <w:rPr>
          <w:rFonts w:ascii="Arial" w:hAnsi="Arial"/>
          <w:color w:val="333333"/>
          <w:sz w:val="21"/>
        </w:rPr>
        <w:t xml:space="preserve"> Computes cosine similarity over dense vector embeddings stored in ChromaDB.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Sparse Keyword Retrieval (BM25):</w:t>
      </w:r>
      <w:r>
        <w:rPr>
          <w:rFonts w:ascii="Arial" w:hAnsi="Arial"/>
          <w:color w:val="333333"/>
          <w:sz w:val="21"/>
        </w:rPr>
        <w:t xml:space="preserve"> Uses BM25Okapi to match specific legal terms, section numbers, and threshold numbers.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Score Fusion:</w:t>
      </w:r>
      <w:r>
        <w:rPr>
          <w:rFonts w:ascii="Arial" w:hAnsi="Arial"/>
          <w:color w:val="333333"/>
          <w:sz w:val="21"/>
        </w:rPr>
        <w:t xml:space="preserve"> Merges and normalizes vector and keyword scores (Score = 0.6 * Dense + 0.4 * BM25), returning top-k grounded regulatory evidence.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B548A"/>
          <w:sz w:val="28"/>
        </w:rPr>
        <w:t>3.5 Workflow State Machine &amp; Privacy Safeguards (core/workflow.py)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Automating official portal filings (such as Udyam MSME registration) requires strict governance and data privacy controls: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1. State Machine:</w:t>
      </w:r>
      <w:r>
        <w:rPr>
          <w:rFonts w:ascii="Arial" w:hAnsi="Arial"/>
          <w:color w:val="333333"/>
          <w:sz w:val="21"/>
        </w:rPr>
        <w:t xml:space="preserve"> Deterministic status transitions prevent invalid states (e.g. attempting to submit without validation).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2. Data Privacy &amp; PII Masking:</w:t>
      </w:r>
      <w:r>
        <w:rPr>
          <w:rFonts w:ascii="Arial" w:hAnsi="Arial"/>
          <w:color w:val="333333"/>
          <w:sz w:val="21"/>
        </w:rPr>
        <w:t xml:space="preserve"> All sensitive data (Aadhaar numbers, PAN, mobile numbers, passwords, OTPs) are masked prior to writing to console logs or stored workflow state records (e.g. 123456789012 becomes XXXX-XXXX-9012).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3. Pre-flight Layout Verification:</w:t>
      </w:r>
      <w:r>
        <w:rPr>
          <w:rFonts w:ascii="Arial" w:hAnsi="Arial"/>
          <w:color w:val="333333"/>
          <w:sz w:val="21"/>
        </w:rPr>
        <w:t xml:space="preserve"> Before interacting with live external portals, the workflow verifies DOM layout integrity. If portal structures change, the script fails safely rather than submitting corrupted data.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4. Mandatory Human Verification Boundary:</w:t>
      </w:r>
      <w:r>
        <w:rPr>
          <w:rFonts w:ascii="Arial" w:hAnsi="Arial"/>
          <w:color w:val="333333"/>
          <w:sz w:val="21"/>
        </w:rPr>
        <w:t xml:space="preserve"> The workflow pauses at e-KYC boundaries, requiring explicit human OTP entry before proceeding.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5. Strict Status Honesty:</w:t>
      </w:r>
      <w:r>
        <w:rPr>
          <w:rFonts w:ascii="Arial" w:hAnsi="Arial"/>
          <w:color w:val="333333"/>
          <w:sz w:val="21"/>
        </w:rPr>
        <w:t xml:space="preserve"> The workflow engine never claims registration is COMPLETED without genuine portal acknowledgment receipts.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t>4. Web Frontend &amp; Dashboard Interface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project features a sleek, modern single-page web dashboard located in the web/ directory (index.html, styles.css, app.js). Built using responsive vanilla CSS and dynamic JavaScript, it provides: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Business Profile &amp; Compliance Scorecard:</w:t>
      </w:r>
      <w:r>
        <w:rPr>
          <w:rFonts w:ascii="Arial" w:hAnsi="Arial"/>
          <w:color w:val="333333"/>
          <w:sz w:val="21"/>
        </w:rPr>
        <w:t xml:space="preserve"> Displaying active business turnover, employee count, state classification, and total applicable compliance requirements.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Document Vault &amp; OCR Scanner:</w:t>
      </w:r>
      <w:r>
        <w:rPr>
          <w:rFonts w:ascii="Arial" w:hAnsi="Arial"/>
          <w:color w:val="333333"/>
          <w:sz w:val="21"/>
        </w:rPr>
        <w:t xml:space="preserve"> Drag-and-drop document uploader with instant OCR preview and field auto-population.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Statutory Audit Center:</w:t>
      </w:r>
      <w:r>
        <w:rPr>
          <w:rFonts w:ascii="Arial" w:hAnsi="Arial"/>
          <w:color w:val="333333"/>
          <w:sz w:val="21"/>
        </w:rPr>
        <w:t xml:space="preserve"> Live cards for all 6 compliance rules showing status tags (APPLIES / NOT APPLICABLE), rule logic, and evidence links.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Conversational Compliance Assistant:</w:t>
      </w:r>
      <w:r>
        <w:rPr>
          <w:rFonts w:ascii="Arial" w:hAnsi="Arial"/>
          <w:color w:val="333333"/>
          <w:sz w:val="21"/>
        </w:rPr>
        <w:t xml:space="preserve"> Interactive chat window connected to the RAG and agent engine for querying compliance queries.</w:t>
      </w:r>
    </w:p>
    <w:p>
      <w:pPr>
        <w:pStyle w:val="ListBullet"/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>• Automated Workflow Execution Panel:</w:t>
      </w:r>
      <w:r>
        <w:rPr>
          <w:rFonts w:ascii="Arial" w:hAnsi="Arial"/>
          <w:color w:val="333333"/>
          <w:sz w:val="21"/>
        </w:rPr>
        <w:t xml:space="preserve"> Interactive modal displaying step-by-step progress, pre-filled form fields, and OTP prompt dialogs.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t>5. System Verification &amp; Testing Suite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repository includes a comprehensive automated test suite (test_system.py and test_postgres_and_ocr.py) validating system integrity, database operations, RAG retrieval, rules calculation, and privacy masking.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Module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Verification Target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Result / Status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test_rag_search_regulations_not_empty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Ensures hybrid vector + BM25 search returns non-empty, relevant statutory snippets with valid regulation IDs.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8000"/>
                <w:sz w:val="18"/>
              </w:rPr>
              <w:t>PASSED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test_check_requirements_structured_json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Verifies rules engine outputs structured findings for all 6 rules and flags workflow availability for Udyam.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8000"/>
                <w:sz w:val="18"/>
              </w:rPr>
              <w:t>PASSED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test_sensitive_data_masking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Confirms masking logic correctly sanitizes Aadhaar, PAN, OTP, and mobile numbers in state logs.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8000"/>
                <w:sz w:val="18"/>
              </w:rPr>
              <w:t>PASSED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test_udyam_workflow_lifecycle_and_honesty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8"/>
              </w:rPr>
              <w:t>Validates 6-stage lifecycle transitions, human OTP pause boundary, and truthful status tracking.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8000"/>
                <w:sz w:val="18"/>
              </w:rPr>
              <w:t>PASSED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t>6. Progress Summary &amp; Future Roadmap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project has successfully completed Milestone 3, transforming initial prototype concepts into a production-grade, persistent compliance assistant.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2"/>
              </w:rPr>
              <w:t>📌 Project Milestones &amp; Future Development Horizon</w:t>
              <w:br/>
            </w:r>
            <w:r>
              <w:rPr>
                <w:rFonts w:ascii="Arial" w:hAnsi="Arial"/>
                <w:color w:val="333333"/>
                <w:sz w:val="20"/>
              </w:rPr>
              <w:t>• Milestone 1 (Completed): Hybrid RAG retrieval engine + statutory regulations corpus (10 core snippets).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Milestone 2 (Completed): BusinessProfile schema, deterministic rules engine (6 rules), and agentic tool-calling demo.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Milestone 3 (Completed): FastAPI backend server, PostgreSQL persistence layer (SQLAlchemy 2.0 ORM), Gemini Vision OCR document extractor, Udyam portal workflow state machine with e-KYC boundary controls, responsive Web UI dashboard, and automated test suite.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>• Milestone 4 (Planned Roadmap):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 xml:space="preserve">   1. Regulatory Corpus Expansion: Scale knowledge base from 10 to 50+ detailed statutory regulations across state-specific Shops &amp; Establishments rules.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 xml:space="preserve">   2. Multi-Portal Workflow Automation: Expand portal automation from Udyam to GST registration, Trade License application, and EPF/ESIC employer registration.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 xml:space="preserve">   3. Live Browser Headless Playwright Integration: Connect Playwright live browser automation with real portal captcha solving.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3333"/>
                <w:sz w:val="20"/>
              </w:rPr>
              <w:t xml:space="preserve">   4. Automated Statutory Calendar &amp; Reminders: Scheduled cron notifications for GST return deadlines (GSTR-1, GSTR-3B) and PF/ESI monthly payouts.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