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Communications Status Report for Areas Impacted by Hurricane Francine</w:t>
      </w:r>
    </w:p>
    <w:p>
      <w:r>
        <w:t xml:space="preserve">September 12, 2024</w:t>
      </w:r>
    </w:p>
    <w:p>
      <w:r>
        <w:t xml:space="preserve">The following is a summary of the status of communications services in the geographic areas impacted by Hurricane Francine as of September 12, 2024, at 10:00 a.m. EDT. This report incorporates network outage data submitted by communications providers to the Federal Communications Commission's (FCC) Disaster Information Reporting System (DIRS). Note that the operational status of communications services during a disaster may evolve rapidly, and this report represents a snapshot in time.</w:t>
      </w:r>
    </w:p>
    <w:p>
      <w:r>
        <w:rPr>
          <w:b/>
        </w:rPr>
        <w:t xml:space="preserve">911 Services</w:t>
      </w:r>
    </w:p>
    <w:p>
      <w:r>
        <w:t xml:space="preserve">The Public Safety and Homeland Security Bureau (PSHSB) learns the status of each Public Safety Answering Point (PSAP) through the PSAP's 911 Service Provider, state 911 Administrators, and, in some cases, individual PSAPs. The following PSAPs were reported as being affected:</w:t>
      </w:r>
    </w:p>
    <w:tbl>
      <w:tblPr>
        <w:tblStyle w:val="TableGrid"/>
      </w:tblPr>
      <w:tr>
        <w:trPr>
          <w:tblHeader/>
        </w:trPr>
        <w:tc>
          <w:p>
            <w:r>
              <w:t xml:space="preserve">State</w:t>
            </w:r>
          </w:p>
        </w:tc>
        <w:tc>
          <w:p>
            <w:r>
              <w:t xml:space="preserve">County/Parish</w:t>
            </w:r>
          </w:p>
        </w:tc>
        <w:tc>
          <w:p>
            <w:r>
              <w:t xml:space="preserve">PSAP Name</w:t>
            </w:r>
          </w:p>
        </w:tc>
        <w:tc>
          <w:p>
            <w:r>
              <w:t xml:space="preserve">Status</w:t>
            </w:r>
          </w:p>
        </w:tc>
      </w:tr>
      <w:tr>
        <w:tc>
          <w:p>
            <w:r>
              <w:t xml:space="preserve">Louisiana</w:t>
            </w:r>
          </w:p>
        </w:tc>
        <w:tc>
          <w:p>
            <w:r>
              <w:t xml:space="preserve">Terrebonne</w:t>
            </w:r>
          </w:p>
        </w:tc>
        <w:tc>
          <w:p>
            <w:r>
              <w:t xml:space="preserve">Terrebonne Parish 911 Communications District</w:t>
            </w:r>
          </w:p>
        </w:tc>
        <w:tc>
          <w:p>
            <w:r>
              <w:t xml:space="preserve">Rerouted without ALI</w:t>
            </w:r>
          </w:p>
        </w:tc>
      </w:tr>
      <w:tr>
        <w:tc>
          <w:p>
            <w:r>
              <w:t xml:space="preserve">Louisiana</w:t>
            </w:r>
          </w:p>
        </w:tc>
        <w:tc>
          <w:p>
            <w:r>
              <w:t xml:space="preserve">St. Mary</w:t>
            </w:r>
          </w:p>
        </w:tc>
        <w:tc>
          <w:p>
            <w:r>
              <w:t xml:space="preserve">St. Mary Parish Sheriff's Office</w:t>
            </w:r>
          </w:p>
        </w:tc>
        <w:tc>
          <w:p>
            <w:r>
              <w:t xml:space="preserve">Down</w:t>
            </w:r>
          </w:p>
        </w:tc>
      </w:tr>
    </w:tbl>
    <w:p>
      <w:r>
        <w:rPr>
          <w:b/>
        </w:rPr>
        <w:t xml:space="preserve">Wireless Services</w:t>
      </w:r>
    </w:p>
    <w:p>
      <w:r>
        <w:t xml:space="preserve">The following section describes the status of wireless communications services and restoration in the affected area as provided by wireless providers. The percentage of cell sites out of service for a given area does not necessarily correspond to the availability of wireless service to consumers in that area because wireless networks are often designed with numerous, overlapping cell sites that provide maximum capacity and continuity of service even when an individual site is inoperable.</w:t>
      </w:r>
    </w:p>
    <w:p>
      <w:r>
        <w:t xml:space="preserve">9.1% of the cell sites in the affected area are out of service.</w:t>
      </w:r>
    </w:p>
    <w:p>
      <w:r>
        <w:t xml:space="preserve">The following table provides cell sites out of service by state:</w:t>
      </w:r>
    </w:p>
    <w:tbl>
      <w:tblPr>
        <w:tblStyle w:val="TableGrid"/>
      </w:tblPr>
      <w:tr>
        <w:trPr>
          <w:tblHeader/>
        </w:trPr>
        <w:tc>
          <w:p>
            <w:r>
              <w:t xml:space="preserve">State</w:t>
            </w:r>
          </w:p>
        </w:tc>
        <w:tc>
          <w:p>
            <w:r>
              <w:t xml:space="preserve">Cell Sites Served</w:t>
            </w:r>
          </w:p>
        </w:tc>
        <w:tc>
          <w:p>
            <w:r>
              <w:t xml:space="preserve">Cell Sites Out</w:t>
            </w:r>
          </w:p>
        </w:tc>
        <w:tc>
          <w:p>
            <w:r>
              <w:t xml:space="preserve">Percent Cell Sites Out</w:t>
            </w:r>
          </w:p>
        </w:tc>
      </w:tr>
      <w:tr>
        <w:tc>
          <w:p>
            <w:r>
              <w:t xml:space="preserve">Louisiana</w:t>
            </w:r>
          </w:p>
        </w:tc>
        <w:tc>
          <w:p>
            <w:r>
              <w:t xml:space="preserve">2,944</w:t>
            </w:r>
          </w:p>
        </w:tc>
        <w:tc>
          <w:p>
            <w:r>
              <w:t xml:space="preserve">283</w:t>
            </w:r>
          </w:p>
        </w:tc>
        <w:tc>
          <w:p>
            <w:r>
              <w:t xml:space="preserve">9.6%</w:t>
            </w:r>
          </w:p>
        </w:tc>
      </w:tr>
      <w:tr>
        <w:tc>
          <w:p>
            <w:r>
              <w:t xml:space="preserve">Mississippi</w:t>
            </w:r>
          </w:p>
        </w:tc>
        <w:tc>
          <w:p>
            <w:r>
              <w:t xml:space="preserve">412</w:t>
            </w:r>
          </w:p>
        </w:tc>
        <w:tc>
          <w:p>
            <w:r>
              <w:t xml:space="preserve">22</w:t>
            </w:r>
          </w:p>
        </w:tc>
        <w:tc>
          <w:p>
            <w:r>
              <w:t xml:space="preserve">5.3%</w:t>
            </w:r>
          </w:p>
        </w:tc>
      </w:tr>
      <w:tr>
        <w:tc>
          <w:p>
            <w:r>
              <w:t xml:space="preserve">Total</w:t>
            </w:r>
          </w:p>
        </w:tc>
        <w:tc>
          <w:p>
            <w:r>
              <w:t xml:space="preserve">3,356</w:t>
            </w:r>
          </w:p>
        </w:tc>
        <w:tc>
          <w:p>
            <w:r>
              <w:t xml:space="preserve">305</w:t>
            </w:r>
          </w:p>
        </w:tc>
        <w:tc>
          <w:p>
            <w:r>
              <w:t xml:space="preserve">9.1%</w:t>
            </w:r>
          </w:p>
        </w:tc>
      </w:tr>
    </w:tbl>
    <w:p>
      <w:r>
        <w:rPr>
          <w:b/>
        </w:rPr>
        <w:t xml:space="preserve">Percent Cell Sites Out-Of-Service By County/Parish</w:t>
      </w:r>
    </w:p>
    <w:tbl>
      <w:tblPr>
        <w:tblStyle w:val="TableGrid"/>
      </w:tblPr>
      <w:tr>
        <w:trPr>
          <w:tblHeader/>
        </w:trPr>
        <w:tc>
          <w:p>
            <w:r>
              <w:t xml:space="preserve">State</w:t>
            </w:r>
          </w:p>
        </w:tc>
        <w:tc>
          <w:p>
            <w:r>
              <w:t xml:space="preserve">County/Parish</w:t>
            </w:r>
          </w:p>
        </w:tc>
        <w:tc>
          <w:p>
            <w:r>
              <w:t xml:space="preserve">Cell Sites Served</w:t>
            </w:r>
          </w:p>
        </w:tc>
        <w:tc>
          <w:p>
            <w:r>
              <w:t xml:space="preserve">Cell Sites Out</w:t>
            </w:r>
          </w:p>
        </w:tc>
        <w:tc>
          <w:p>
            <w:r>
              <w:t xml:space="preserve">Percent Cell Sites Out</w:t>
            </w:r>
          </w:p>
        </w:tc>
        <w:tc>
          <w:p>
            <w:r>
              <w:t xml:space="preserve">Cell Sites Out</w:t>
            </w:r>
          </w:p>
          <w:p>
            <w:r>
              <w:t xml:space="preserve">Due to Damage</w:t>
            </w:r>
          </w:p>
        </w:tc>
        <w:tc>
          <w:p>
            <w:r>
              <w:t xml:space="preserve">Cell Sites Out</w:t>
            </w:r>
          </w:p>
          <w:p>
            <w:r>
              <w:t xml:space="preserve">Due to Transport</w:t>
            </w:r>
          </w:p>
        </w:tc>
        <w:tc>
          <w:p>
            <w:r>
              <w:t xml:space="preserve">Cell Sites Out</w:t>
            </w:r>
          </w:p>
          <w:p>
            <w:r>
              <w:t xml:space="preserve">Due to Power</w:t>
            </w:r>
          </w:p>
        </w:tc>
      </w:tr>
      <w:tr>
        <w:tc>
          <w:tcPr>
            <w:vMerge w:val="restart"/>
          </w:tcPr>
          <w:p>
            <w:r>
              <w:t xml:space="preserve">Louisiana</w:t>
            </w:r>
          </w:p>
        </w:tc>
        <w:tc>
          <w:p>
            <w:r>
              <w:t xml:space="preserve">Terrebonne</w:t>
            </w:r>
          </w:p>
        </w:tc>
        <w:tc>
          <w:p>
            <w:r>
              <w:t xml:space="preserve">212</w:t>
            </w:r>
          </w:p>
        </w:tc>
        <w:tc>
          <w:p>
            <w:r>
              <w:t xml:space="preserve">118</w:t>
            </w:r>
          </w:p>
        </w:tc>
        <w:tc>
          <w:p>
            <w:r>
              <w:t xml:space="preserve">55.7%</w:t>
            </w:r>
          </w:p>
        </w:tc>
        <w:tc>
          <w:p>
            <w:r>
              <w:t xml:space="preserve">2</w:t>
            </w:r>
          </w:p>
        </w:tc>
        <w:tc>
          <w:p>
            <w:r>
              <w:t xml:space="preserve">31</w:t>
            </w:r>
          </w:p>
        </w:tc>
        <w:tc>
          <w:p>
            <w:r>
              <w:t xml:space="preserve">85</w:t>
            </w:r>
          </w:p>
        </w:tc>
      </w:tr>
      <w:tr>
        <w:tc>
          <w:tcPr>
            <w:vMerge/>
          </w:tcPr>
          <w:p/>
        </w:tc>
        <w:tc>
          <w:p>
            <w:r>
              <w:t xml:space="preserve">Lafourche</w:t>
            </w:r>
          </w:p>
        </w:tc>
        <w:tc>
          <w:p>
            <w:r>
              <w:t xml:space="preserve">186</w:t>
            </w:r>
          </w:p>
        </w:tc>
        <w:tc>
          <w:p>
            <w:r>
              <w:t xml:space="preserve">63</w:t>
            </w:r>
          </w:p>
        </w:tc>
        <w:tc>
          <w:p>
            <w:r>
              <w:t xml:space="preserve">33.9%</w:t>
            </w:r>
          </w:p>
        </w:tc>
        <w:tc>
          <w:p>
            <w:r>
              <w:t xml:space="preserve">0</w:t>
            </w:r>
          </w:p>
        </w:tc>
        <w:tc>
          <w:p>
            <w:r>
              <w:t xml:space="preserve">20</w:t>
            </w:r>
          </w:p>
        </w:tc>
        <w:tc>
          <w:p>
            <w:r>
              <w:t xml:space="preserve">43</w:t>
            </w:r>
          </w:p>
        </w:tc>
      </w:tr>
      <w:tr>
        <w:tc>
          <w:tcPr>
            <w:vMerge/>
          </w:tcPr>
          <w:p/>
        </w:tc>
        <w:tc>
          <w:p>
            <w:r>
              <w:t xml:space="preserve">St. Mary</w:t>
            </w:r>
          </w:p>
        </w:tc>
        <w:tc>
          <w:p>
            <w:r>
              <w:t xml:space="preserve">97</w:t>
            </w:r>
          </w:p>
        </w:tc>
        <w:tc>
          <w:p>
            <w:r>
              <w:t xml:space="preserve">18</w:t>
            </w:r>
          </w:p>
        </w:tc>
        <w:tc>
          <w:p>
            <w:r>
              <w:t xml:space="preserve">18.6%</w:t>
            </w:r>
          </w:p>
        </w:tc>
        <w:tc>
          <w:p>
            <w:r>
              <w:t xml:space="preserve">1</w:t>
            </w:r>
          </w:p>
        </w:tc>
        <w:tc>
          <w:p>
            <w:r>
              <w:t xml:space="preserve">5</w:t>
            </w:r>
          </w:p>
        </w:tc>
        <w:tc>
          <w:p>
            <w:r>
              <w:t xml:space="preserve">12</w:t>
            </w:r>
          </w:p>
        </w:tc>
      </w:tr>
      <w:tr>
        <w:tc>
          <w:tcPr>
            <w:vMerge/>
          </w:tcPr>
          <w:p/>
        </w:tc>
        <w:tc>
          <w:p>
            <w:r>
              <w:t xml:space="preserve">St. John the Baptist</w:t>
            </w:r>
          </w:p>
        </w:tc>
        <w:tc>
          <w:p>
            <w:r>
              <w:t xml:space="preserve">71</w:t>
            </w:r>
          </w:p>
        </w:tc>
        <w:tc>
          <w:p>
            <w:r>
              <w:t xml:space="preserve">4</w:t>
            </w:r>
          </w:p>
        </w:tc>
        <w:tc>
          <w:p>
            <w:r>
              <w:t xml:space="preserve">5.6%</w:t>
            </w:r>
          </w:p>
        </w:tc>
        <w:tc>
          <w:p>
            <w:r>
              <w:t xml:space="preserve">0</w:t>
            </w:r>
          </w:p>
        </w:tc>
        <w:tc>
          <w:p>
            <w:r>
              <w:t xml:space="preserve">1</w:t>
            </w:r>
          </w:p>
        </w:tc>
        <w:tc>
          <w:p>
            <w:r>
              <w:t xml:space="preserve">3</w:t>
            </w:r>
          </w:p>
        </w:tc>
      </w:tr>
      <w:tr>
        <w:tc>
          <w:tcPr>
            <w:vMerge/>
          </w:tcPr>
          <w:p/>
        </w:tc>
        <w:tc>
          <w:p>
            <w:r>
              <w:t xml:space="preserve">Orleans</w:t>
            </w:r>
          </w:p>
        </w:tc>
        <w:tc>
          <w:p>
            <w:r>
              <w:t xml:space="preserve">480</w:t>
            </w:r>
          </w:p>
        </w:tc>
        <w:tc>
          <w:p>
            <w:r>
              <w:t xml:space="preserve">0</w:t>
            </w:r>
          </w:p>
        </w:tc>
        <w:tc>
          <w:p>
            <w:r>
              <w:t xml:space="preserve">0.0%</w:t>
            </w:r>
          </w:p>
        </w:tc>
        <w:tc>
          <w:p>
            <w:r>
              <w:t xml:space="preserve">0</w:t>
            </w:r>
          </w:p>
        </w:tc>
        <w:tc>
          <w:p>
            <w:r>
              <w:t xml:space="preserve">0</w:t>
            </w:r>
          </w:p>
        </w:tc>
        <w:tc>
          <w:p>
            <w:r>
              <w:t xml:space="preserve">0</w:t>
            </w:r>
          </w:p>
        </w:tc>
      </w:tr>
      <w:tr>
        <w:tc>
          <w:tcPr>
            <w:vMerge/>
          </w:tcPr>
          <w:p/>
        </w:tc>
        <w:tc>
          <w:p>
            <w:r>
              <w:t xml:space="preserve">Assumption</w:t>
            </w:r>
          </w:p>
        </w:tc>
        <w:tc>
          <w:p>
            <w:r>
              <w:t xml:space="preserve">38</w:t>
            </w:r>
          </w:p>
        </w:tc>
        <w:tc>
          <w:p>
            <w:r>
              <w:t xml:space="preserve">11</w:t>
            </w:r>
          </w:p>
        </w:tc>
        <w:tc>
          <w:p>
            <w:r>
              <w:t xml:space="preserve">28.9%</w:t>
            </w:r>
          </w:p>
        </w:tc>
        <w:tc>
          <w:p>
            <w:r>
              <w:t xml:space="preserve">0</w:t>
            </w:r>
          </w:p>
        </w:tc>
        <w:tc>
          <w:p>
            <w:r>
              <w:t xml:space="preserve">3</w:t>
            </w:r>
          </w:p>
        </w:tc>
        <w:tc>
          <w:p>
            <w:r>
              <w:t xml:space="preserve">8</w:t>
            </w:r>
          </w:p>
        </w:tc>
      </w:tr>
      <w:tr>
        <w:tc>
          <w:p>
            <w:r>
              <w:t xml:space="preserve">Mississippi</w:t>
            </w:r>
          </w:p>
        </w:tc>
        <w:tc>
          <w:p>
            <w:r>
              <w:t xml:space="preserve">Hancock</w:t>
            </w:r>
          </w:p>
        </w:tc>
        <w:tc>
          <w:p>
            <w:r>
              <w:t xml:space="preserve">64</w:t>
            </w:r>
          </w:p>
        </w:tc>
        <w:tc>
          <w:p>
            <w:r>
              <w:t xml:space="preserve">9</w:t>
            </w:r>
          </w:p>
        </w:tc>
        <w:tc>
          <w:p>
            <w:r>
              <w:t xml:space="preserve">14.1%</w:t>
            </w:r>
          </w:p>
        </w:tc>
        <w:tc>
          <w:p>
            <w:r>
              <w:t xml:space="preserve">0</w:t>
            </w:r>
          </w:p>
        </w:tc>
        <w:tc>
          <w:p>
            <w:r>
              <w:t xml:space="preserve">2</w:t>
            </w:r>
          </w:p>
        </w:tc>
        <w:tc>
          <w:p>
            <w:r>
              <w:t xml:space="preserve">7</w:t>
            </w:r>
          </w:p>
        </w:tc>
      </w:tr>
      <w:tr>
        <w:tc>
          <w:p>
            <w:r>
              <w:t xml:space="preserve">Mississippi</w:t>
            </w:r>
          </w:p>
        </w:tc>
        <w:tc>
          <w:p>
            <w:r>
              <w:t xml:space="preserve">Harrison</w:t>
            </w:r>
          </w:p>
        </w:tc>
        <w:tc>
          <w:p>
            <w:r>
              <w:t xml:space="preserve">198</w:t>
            </w:r>
          </w:p>
        </w:tc>
        <w:tc>
          <w:p>
            <w:r>
              <w:t xml:space="preserve">0</w:t>
            </w:r>
          </w:p>
        </w:tc>
        <w:tc>
          <w:p>
            <w:r>
              <w:t xml:space="preserve">0.0%</w:t>
            </w:r>
          </w:p>
        </w:tc>
        <w:tc>
          <w:p>
            <w:r>
              <w:t xml:space="preserve">0</w:t>
            </w:r>
          </w:p>
        </w:tc>
        <w:tc>
          <w:p>
            <w:r>
              <w:t xml:space="preserve">0</w:t>
            </w:r>
          </w:p>
        </w:tc>
        <w:tc>
          <w:p>
            <w:r>
              <w:t xml:space="preserve">0</w:t>
            </w:r>
          </w:p>
        </w:tc>
      </w:tr>
      <w:tr>
        <w:tc>
          <w:tcPr>
            <w:gridSpan w:val="2"/>
          </w:tcPr>
          <w:p>
            <w:r>
              <w:t xml:space="preserve">Total</w:t>
            </w:r>
          </w:p>
        </w:tc>
        <w:tc>
          <w:p>
            <w:r>
              <w:t xml:space="preserve">1,346</w:t>
            </w:r>
          </w:p>
        </w:tc>
        <w:tc>
          <w:p>
            <w:r>
              <w:t xml:space="preserve">223</w:t>
            </w:r>
          </w:p>
        </w:tc>
        <w:tc>
          <w:p>
            <w:r>
              <w:t xml:space="preserve">16.6%</w:t>
            </w:r>
          </w:p>
        </w:tc>
        <w:tc>
          <w:p>
            <w:r>
              <w:t xml:space="preserve">3</w:t>
            </w:r>
          </w:p>
        </w:tc>
        <w:tc>
          <w:p>
            <w:r>
              <w:t xml:space="preserve">62</w:t>
            </w:r>
          </w:p>
        </w:tc>
        <w:tc>
          <w:p>
            <w:r>
              <w:t xml:space="preserve">158</w:t>
            </w:r>
          </w:p>
        </w:tc>
      </w:tr>
    </w:tbl>
    <w:p>
      <w:r>
        <w:rPr>
          <w:b/>
        </w:rPr>
        <w:t xml:space="preserve">Cable Systems, Wireline and Broadcast</w:t>
      </w:r>
    </w:p>
    <w:p>
      <w:r>
        <w:t xml:space="preserve">Cable and wireline companies reported 142,387 subscribers out of service in the disaster area. This may include the loss of telephone, television, and/or Internet services.</w:t>
      </w:r>
    </w:p>
    <w:tbl>
      <w:tblPr>
        <w:tblStyle w:val="TableGrid"/>
      </w:tblPr>
      <w:tr>
        <w:trPr>
          <w:tblHeader/>
        </w:trPr>
        <w:tc>
          <w:p>
            <w:r>
              <w:t xml:space="preserve">State</w:t>
            </w:r>
          </w:p>
        </w:tc>
        <w:tc>
          <w:p>
            <w:r>
              <w:t xml:space="preserve">Total Subscribers Out of Service</w:t>
            </w:r>
          </w:p>
        </w:tc>
      </w:tr>
      <w:tr>
        <w:tc>
          <w:p>
            <w:r>
              <w:t xml:space="preserve">Louisiana</w:t>
            </w:r>
          </w:p>
        </w:tc>
        <w:tc>
          <w:p>
            <w:r>
              <w:t xml:space="preserve">139,860</w:t>
            </w:r>
          </w:p>
        </w:tc>
      </w:tr>
      <w:tr>
        <w:tc>
          <w:p>
            <w:r>
              <w:t xml:space="preserve">Mississippi</w:t>
            </w:r>
          </w:p>
        </w:tc>
        <w:tc>
          <w:p>
            <w:r>
              <w:t xml:space="preserve">2,527</w:t>
            </w:r>
          </w:p>
        </w:tc>
      </w:tr>
      <w:tr>
        <w:tc>
          <w:p>
            <w:r>
              <w:t xml:space="preserve">Total</w:t>
            </w:r>
          </w:p>
        </w:tc>
        <w:tc>
          <w:p>
            <w:r>
              <w:t xml:space="preserve">142,387</w:t>
            </w:r>
          </w:p>
        </w:tc>
      </w:tr>
    </w:tbl>
    <w:p>
      <w:r>
        <w:t xml:space="preserve">Broadcast: 1 TV station, 4 FM radio stations and 0 AM radio stations are reported out of service.</w:t>
      </w:r>
    </w:p>
    <w:p>
      <w:r>
        <w:t xml:space="preserve">[emagg test fixture: document structure modeled on FCC DIRS reports; numbers are illustrative, not FCC data.]</w:t>
      </w:r>
    </w:p>
    <w:sectPr>
      <w:pgSz w:w="12240" w:h="15840"/>
    </w:sectPr>
  </w:body>
</w:document>
</file>