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E1" w:rsidRDefault="002C5EC6">
      <w:pPr>
        <w:rPr>
          <w:b/>
        </w:rPr>
      </w:pPr>
      <w:r>
        <w:rPr>
          <w:b/>
        </w:rPr>
        <w:t>INDICATOR 1: Altitudi</w:t>
      </w:r>
      <w:r w:rsidR="00F648C9">
        <w:rPr>
          <w:b/>
        </w:rPr>
        <w:t>nal Trends of Demographic Aging</w:t>
      </w:r>
    </w:p>
    <w:p w:rsidR="00F648C9" w:rsidRPr="00F648C9" w:rsidRDefault="00F648C9"/>
    <w:p w:rsidR="00F648C9" w:rsidRPr="00F648C9" w:rsidRDefault="00F648C9">
      <w:pPr>
        <w:rPr>
          <w:b/>
        </w:rPr>
      </w:pPr>
    </w:p>
    <w:p w:rsidR="009D1AE1" w:rsidRPr="00F648C9" w:rsidRDefault="002C5EC6">
      <w:pPr>
        <w:rPr>
          <w:b/>
        </w:rPr>
      </w:pPr>
      <w:r w:rsidRPr="00F648C9">
        <w:rPr>
          <w:b/>
        </w:rPr>
        <w:t>File Name: Alt_Trends_Demog_Age</w:t>
      </w:r>
    </w:p>
    <w:p w:rsidR="009D1AE1" w:rsidRDefault="002C5EC6" w:rsidP="00F648C9">
      <w:pPr>
        <w:pStyle w:val="ListParagraph"/>
        <w:numPr>
          <w:ilvl w:val="0"/>
          <w:numId w:val="1"/>
        </w:numPr>
      </w:pPr>
      <w:r>
        <w:t>Coordinate Reference Systems: WGS 84 / UTM zone 34N (EPSG:32634)</w:t>
      </w:r>
    </w:p>
    <w:p w:rsidR="009D1AE1" w:rsidRDefault="009D1AE1"/>
    <w:tbl>
      <w:tblPr>
        <w:tblStyle w:val="a"/>
        <w:tblW w:w="9072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570"/>
        <w:gridCol w:w="3732"/>
      </w:tblGrid>
      <w:tr w:rsidR="009D1AE1" w:rsidTr="000F1D1E">
        <w:trPr>
          <w:trHeight w:val="30"/>
        </w:trPr>
        <w:tc>
          <w:tcPr>
            <w:tcW w:w="177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C5EC6" w:rsidP="0050020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57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C5EC6" w:rsidP="0050020C">
            <w:pPr>
              <w:widowControl w:val="0"/>
              <w:ind w:right="-49"/>
              <w:jc w:val="center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732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C5EC6" w:rsidP="0050020C">
            <w:pPr>
              <w:widowControl w:val="0"/>
              <w:ind w:right="-49"/>
              <w:jc w:val="center"/>
              <w:rPr>
                <w:b/>
              </w:rPr>
            </w:pPr>
            <w:r>
              <w:rPr>
                <w:b/>
              </w:rPr>
              <w:t>Pseudonim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MatBrO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Municipality identification number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Matični broj opštine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MatBrNas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Settlement identification number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Matični broj naselja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ImeNasCir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Name of the settlement in Cyrillic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Ime naselja (ćirilica)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ImeNasLat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Name of the settlement in Latin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Ime naselja (latinica)</w:t>
            </w:r>
          </w:p>
        </w:tc>
      </w:tr>
      <w:tr w:rsidR="009D1AE1" w:rsidTr="0050020C">
        <w:trPr>
          <w:trHeight w:val="495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ImeOpsCir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Name of the municipality in Cyrillic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Ime opštine (ćirilica)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ImeOpsLat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Name of the municipality in Latin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Ime opštine (latinica)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Mean_ELEV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Mean elevation of settlement (m a.s.l.)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Prosečna nadmorska visina naselja (m a.s.l.)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P_0–14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Share of the age group 0–14 (%) in total population of settlement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Učešće starosne grupe 0–14 (%) u ukupnoj populaciji naselja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P_15–39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Share of the age group 15–39 (%) in total population of settlement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Učešće starosne grupe 15–14 (%) u ukupnoj populaciji naselja</w:t>
            </w:r>
          </w:p>
        </w:tc>
      </w:tr>
      <w:tr w:rsidR="009D1AE1" w:rsidTr="0050020C">
        <w:trPr>
          <w:trHeight w:val="47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P_40–64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Share of the age group 40–64 (%) in total population of settlement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Učešće starosne grupe 40–14 (%) u ukupnoj populaciji naselja</w:t>
            </w:r>
          </w:p>
        </w:tc>
      </w:tr>
      <w:tr w:rsidR="009D1AE1" w:rsidTr="0050020C">
        <w:trPr>
          <w:trHeight w:val="691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</w:pPr>
            <w:r>
              <w:t>P_65+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 xml:space="preserve">Share of the age 65+ </w:t>
            </w:r>
            <w:r w:rsidR="000115DF">
              <w:t xml:space="preserve">group </w:t>
            </w:r>
            <w:r>
              <w:t>(%) in total population of settlement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>
            <w:pPr>
              <w:widowControl w:val="0"/>
              <w:ind w:right="-49"/>
            </w:pPr>
            <w:r>
              <w:t>Učešće starosne grupe 65+ (%) u ukupnoj populaciji naselja</w:t>
            </w:r>
          </w:p>
        </w:tc>
      </w:tr>
      <w:tr w:rsidR="00351B6B" w:rsidTr="0050020C">
        <w:trPr>
          <w:trHeight w:val="648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B6B" w:rsidRDefault="00351B6B">
            <w:pPr>
              <w:widowControl w:val="0"/>
            </w:pPr>
            <w:r>
              <w:t>TDR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B6B" w:rsidRDefault="00351B6B">
            <w:pPr>
              <w:widowControl w:val="0"/>
              <w:ind w:right="-49"/>
            </w:pPr>
            <w:r>
              <w:t>Total Dependency Ratio (%) for settlement</w:t>
            </w:r>
          </w:p>
        </w:tc>
        <w:tc>
          <w:tcPr>
            <w:tcW w:w="3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B6B" w:rsidRDefault="00351B6B">
            <w:pPr>
              <w:widowControl w:val="0"/>
              <w:ind w:right="-49"/>
            </w:pPr>
            <w:r>
              <w:t>Indeks demografske zavisnosti (%) za naselje</w:t>
            </w:r>
          </w:p>
        </w:tc>
      </w:tr>
    </w:tbl>
    <w:p w:rsidR="004B47D1" w:rsidRDefault="004B47D1" w:rsidP="004B47D1">
      <w:pPr>
        <w:spacing w:before="240" w:after="240"/>
        <w:jc w:val="both"/>
      </w:pPr>
      <w:r w:rsidRPr="00F648C9">
        <w:rPr>
          <w:i/>
        </w:rPr>
        <w:t>Note.</w:t>
      </w:r>
      <w:r>
        <w:rPr>
          <w:b/>
        </w:rPr>
        <w:t xml:space="preserve">  </w:t>
      </w:r>
      <w:r>
        <w:t>9999 = No permanent inhabitants; 99999 = Incomplete data</w:t>
      </w:r>
    </w:p>
    <w:p w:rsidR="009D1AE1" w:rsidRDefault="009D1AE1"/>
    <w:p w:rsidR="00F648C9" w:rsidRDefault="00F648C9">
      <w:pPr>
        <w:spacing w:after="240"/>
        <w:jc w:val="both"/>
        <w:rPr>
          <w:b/>
        </w:rPr>
      </w:pPr>
    </w:p>
    <w:p w:rsidR="004B47D1" w:rsidRDefault="002C5EC6" w:rsidP="001A39DC">
      <w:pPr>
        <w:jc w:val="both"/>
      </w:pPr>
      <w:r>
        <w:rPr>
          <w:b/>
        </w:rPr>
        <w:lastRenderedPageBreak/>
        <w:t xml:space="preserve">Description of Indicator: </w:t>
      </w:r>
      <w:r>
        <w:t xml:space="preserve">Altitudinal trends of demographic aging indicate the spatial distribution of age </w:t>
      </w:r>
      <w:r w:rsidR="00260E9E">
        <w:t>groups</w:t>
      </w:r>
      <w:r>
        <w:t xml:space="preserve"> (0</w:t>
      </w:r>
      <w:r w:rsidR="00260E9E">
        <w:t>–</w:t>
      </w:r>
      <w:r>
        <w:t>14, 15</w:t>
      </w:r>
      <w:r w:rsidR="00260E9E">
        <w:t>–</w:t>
      </w:r>
      <w:r>
        <w:t>39, 40</w:t>
      </w:r>
      <w:r w:rsidR="00260E9E">
        <w:t>–</w:t>
      </w:r>
      <w:r>
        <w:t xml:space="preserve">65, 65+) and Total </w:t>
      </w:r>
      <w:r w:rsidR="007C3596">
        <w:t>Dependency Ratio</w:t>
      </w:r>
      <w:r w:rsidR="00764F09">
        <w:t xml:space="preserve"> (%)</w:t>
      </w:r>
      <w:r w:rsidR="007C3596">
        <w:t xml:space="preserve"> </w:t>
      </w:r>
      <w:r>
        <w:t>according to altitudes.</w:t>
      </w:r>
      <w:r w:rsidR="00260E9E">
        <w:t xml:space="preserve"> The share</w:t>
      </w:r>
      <w:r w:rsidR="00351B6B">
        <w:t>s</w:t>
      </w:r>
      <w:r w:rsidR="00260E9E">
        <w:t xml:space="preserve"> of age groups in </w:t>
      </w:r>
      <w:r w:rsidR="002F08DD">
        <w:t xml:space="preserve">the </w:t>
      </w:r>
      <w:r w:rsidR="00260E9E">
        <w:t>total population (%)</w:t>
      </w:r>
      <w:r w:rsidR="007C3596">
        <w:t xml:space="preserve"> w</w:t>
      </w:r>
      <w:r w:rsidR="00351B6B">
        <w:t>ere</w:t>
      </w:r>
      <w:r w:rsidR="007C3596">
        <w:t xml:space="preserve"> calculated for settlement</w:t>
      </w:r>
      <w:r w:rsidR="00351B6B">
        <w:t>s</w:t>
      </w:r>
      <w:r w:rsidR="00260E9E">
        <w:t xml:space="preserve">. </w:t>
      </w:r>
      <w:r w:rsidR="008863A7">
        <w:t xml:space="preserve">The Total Dependency Ratio was calculated as </w:t>
      </w:r>
      <w:r w:rsidR="007C3596">
        <w:t xml:space="preserve">a </w:t>
      </w:r>
      <w:r w:rsidR="008863A7">
        <w:t xml:space="preserve">sum of </w:t>
      </w:r>
      <w:r w:rsidR="007C3596">
        <w:t xml:space="preserve">values for </w:t>
      </w:r>
      <w:r w:rsidR="008863A7">
        <w:t>age groups 0–14 and 65+ d</w:t>
      </w:r>
      <w:r w:rsidR="007C3596">
        <w:t>i</w:t>
      </w:r>
      <w:r w:rsidR="008863A7">
        <w:t>vided by age group 15–40</w:t>
      </w:r>
      <w:r w:rsidR="007C3596">
        <w:t xml:space="preserve"> values</w:t>
      </w:r>
      <w:r w:rsidR="008863A7">
        <w:t xml:space="preserve"> and </w:t>
      </w:r>
      <w:r w:rsidR="002F08DD">
        <w:t>myltiplied by 100</w:t>
      </w:r>
      <w:r w:rsidR="008863A7">
        <w:t>. The mean elevation</w:t>
      </w:r>
      <w:r w:rsidR="000115DF">
        <w:t>s</w:t>
      </w:r>
      <w:r w:rsidR="008863A7">
        <w:t xml:space="preserve"> (m a.s.l.) w</w:t>
      </w:r>
      <w:r w:rsidR="000115DF">
        <w:t>ere</w:t>
      </w:r>
      <w:r w:rsidR="008863A7">
        <w:t xml:space="preserve"> calculated for settlements. T</w:t>
      </w:r>
      <w:r>
        <w:t xml:space="preserve">his indicator enables monitoring of the </w:t>
      </w:r>
      <w:r w:rsidR="00723668">
        <w:t>trend of “</w:t>
      </w:r>
      <w:r>
        <w:t>aging” and potential shrinking of the area depending on t</w:t>
      </w:r>
      <w:r w:rsidR="00723668">
        <w:t>he morphometric of the terrain.</w:t>
      </w:r>
    </w:p>
    <w:p w:rsidR="001A39DC" w:rsidRDefault="001A39DC" w:rsidP="001A39DC">
      <w:pPr>
        <w:jc w:val="both"/>
      </w:pPr>
    </w:p>
    <w:p w:rsidR="001A39DC" w:rsidRDefault="001A39DC" w:rsidP="001A39DC">
      <w:pPr>
        <w:jc w:val="both"/>
      </w:pPr>
      <w:bookmarkStart w:id="0" w:name="_GoBack"/>
      <w:bookmarkEnd w:id="0"/>
    </w:p>
    <w:p w:rsidR="009D1AE1" w:rsidRDefault="002C5EC6">
      <w:pPr>
        <w:spacing w:after="240"/>
        <w:jc w:val="both"/>
        <w:rPr>
          <w:b/>
        </w:rPr>
      </w:pPr>
      <w:r>
        <w:rPr>
          <w:b/>
        </w:rPr>
        <w:t xml:space="preserve">Source data for </w:t>
      </w:r>
      <w:r w:rsidR="002F08DD">
        <w:rPr>
          <w:b/>
        </w:rPr>
        <w:t xml:space="preserve">Indicator </w:t>
      </w:r>
      <w:r>
        <w:rPr>
          <w:b/>
        </w:rPr>
        <w:t>calculation</w:t>
      </w:r>
    </w:p>
    <w:tbl>
      <w:tblPr>
        <w:tblStyle w:val="a0"/>
        <w:tblW w:w="900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9D1AE1" w:rsidTr="000F1D1E">
        <w:tc>
          <w:tcPr>
            <w:tcW w:w="249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 w:rsidP="00F64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 of data</w:t>
            </w:r>
          </w:p>
        </w:tc>
        <w:tc>
          <w:tcPr>
            <w:tcW w:w="65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AE1" w:rsidRDefault="002C5EC6" w:rsidP="00F64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9D1AE1" w:rsidTr="00F648C9">
        <w:trPr>
          <w:trHeight w:val="789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C5EC6" w:rsidP="00F64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Elevation data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25CFA" w:rsidP="00F648C9">
            <w:pPr>
              <w:spacing w:line="240" w:lineRule="auto"/>
              <w:rPr>
                <w:b/>
              </w:rPr>
            </w:pPr>
            <w:hyperlink r:id="rId8" w:history="1">
              <w:r w:rsidR="002C5EC6" w:rsidRPr="005D1988">
                <w:rPr>
                  <w:rStyle w:val="Hyperlink"/>
                </w:rPr>
                <w:t>European Digital Elevation Model (EU-DEM) version 1.1 [Eur</w:t>
              </w:r>
              <w:r w:rsidR="00260E9E" w:rsidRPr="005D1988">
                <w:rPr>
                  <w:rStyle w:val="Hyperlink"/>
                </w:rPr>
                <w:t>opean Environment Agency, 2016]</w:t>
              </w:r>
            </w:hyperlink>
          </w:p>
        </w:tc>
      </w:tr>
      <w:tr w:rsidR="009D1AE1" w:rsidTr="00F648C9">
        <w:trPr>
          <w:trHeight w:val="789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C5EC6" w:rsidP="00F64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Population data</w:t>
            </w:r>
            <w:r w:rsidR="004B47D1">
              <w:t>*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25CFA" w:rsidP="00F648C9">
            <w:pPr>
              <w:spacing w:line="240" w:lineRule="auto"/>
              <w:rPr>
                <w:b/>
              </w:rPr>
            </w:pPr>
            <w:hyperlink r:id="rId9" w:history="1">
              <w:r w:rsidR="002C5EC6" w:rsidRPr="008C5FC4">
                <w:rPr>
                  <w:rStyle w:val="Hyperlink"/>
                </w:rPr>
                <w:t>“2011 Census of Population, Households and Dwellings in the Republic of Serbia (BOOK 2): AGE AND SEX ”[Statistical Office of the Republic of Serbia, 2012]</w:t>
              </w:r>
            </w:hyperlink>
          </w:p>
        </w:tc>
      </w:tr>
      <w:tr w:rsidR="009D1AE1" w:rsidTr="00F648C9">
        <w:trPr>
          <w:trHeight w:val="789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C5EC6" w:rsidP="00F64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Administrative units</w:t>
            </w:r>
            <w:r w:rsidR="004B47D1">
              <w:t>**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1AE1" w:rsidRDefault="00225CFA" w:rsidP="00F648C9">
            <w:pPr>
              <w:spacing w:line="240" w:lineRule="auto"/>
              <w:rPr>
                <w:b/>
              </w:rPr>
            </w:pPr>
            <w:hyperlink r:id="rId10" w:history="1">
              <w:r w:rsidR="002C5EC6" w:rsidRPr="005D1988">
                <w:rPr>
                  <w:rStyle w:val="Hyperlink"/>
                </w:rPr>
                <w:t>GeoSrbija [Open data of the National Data Infrastructure, Republic Geodetic Aut</w:t>
              </w:r>
              <w:r w:rsidR="00260E9E" w:rsidRPr="005D1988">
                <w:rPr>
                  <w:rStyle w:val="Hyperlink"/>
                </w:rPr>
                <w:t>hority, n.d.]</w:t>
              </w:r>
            </w:hyperlink>
          </w:p>
        </w:tc>
      </w:tr>
    </w:tbl>
    <w:p w:rsidR="004B47D1" w:rsidRDefault="004B47D1" w:rsidP="00F648C9">
      <w:pPr>
        <w:spacing w:before="240"/>
        <w:jc w:val="both"/>
      </w:pPr>
      <w:r>
        <w:t>*</w:t>
      </w:r>
      <w:r w:rsidR="002F08DD">
        <w:t xml:space="preserve">  </w:t>
      </w:r>
      <w:r w:rsidR="00351B6B">
        <w:rPr>
          <w:rStyle w:val="publicationtitle"/>
        </w:rPr>
        <w:t xml:space="preserve">According to the 2011 Census of Population, Households and Dwellings in the Republic of Serbia, the </w:t>
      </w:r>
      <w:r>
        <w:t xml:space="preserve">data for the municipalities from Kosovo and Metohija was not included, and for the municipalities of Bujanovac and </w:t>
      </w:r>
      <w:r w:rsidR="002F08DD">
        <w:t xml:space="preserve">Preševo </w:t>
      </w:r>
      <w:r>
        <w:t xml:space="preserve">the data were incomplete. Accordingly, these administrative units were not included in the analysis, as well as 11 settlements in which there were no </w:t>
      </w:r>
      <w:r w:rsidR="002C5EC6">
        <w:t xml:space="preserve">permanent </w:t>
      </w:r>
      <w:r>
        <w:t xml:space="preserve">inhabitants. </w:t>
      </w:r>
    </w:p>
    <w:p w:rsidR="004B47D1" w:rsidRPr="008C5FC4" w:rsidRDefault="004B47D1" w:rsidP="00F648C9">
      <w:pPr>
        <w:spacing w:before="240" w:after="240"/>
        <w:jc w:val="both"/>
        <w:rPr>
          <w:lang w:val="sr-Latn-RS"/>
        </w:rPr>
      </w:pPr>
      <w:r>
        <w:t xml:space="preserve">** </w:t>
      </w:r>
      <w:r w:rsidR="002F08DD">
        <w:t xml:space="preserve"> </w:t>
      </w:r>
      <w:r w:rsidR="00351B6B">
        <w:t>GeoSrbija</w:t>
      </w:r>
      <w:r>
        <w:t xml:space="preserve"> (Open Data of the National Data Infrastructure, Republic Geodetic Authority, n.d.) from which the administrative settlements boundaries were taken have no data for the province Kosovo and Metohija.</w:t>
      </w:r>
      <w:r w:rsidR="002F08DD" w:rsidRPr="002F08DD">
        <w:t xml:space="preserve"> </w:t>
      </w:r>
      <w:r w:rsidR="002F08DD">
        <w:t>Accordingly, these administrative units were not included in the analysis</w:t>
      </w:r>
      <w:r w:rsidR="008C5FC4">
        <w:t>.</w:t>
      </w:r>
    </w:p>
    <w:p w:rsidR="009D1AE1" w:rsidRDefault="009D1AE1">
      <w:pPr>
        <w:spacing w:after="240"/>
        <w:jc w:val="both"/>
      </w:pPr>
    </w:p>
    <w:sectPr w:rsidR="009D1AE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CFA" w:rsidRDefault="00225CFA" w:rsidP="00351B6B">
      <w:pPr>
        <w:spacing w:line="240" w:lineRule="auto"/>
      </w:pPr>
      <w:r>
        <w:separator/>
      </w:r>
    </w:p>
  </w:endnote>
  <w:endnote w:type="continuationSeparator" w:id="0">
    <w:p w:rsidR="00225CFA" w:rsidRDefault="00225CFA" w:rsidP="00351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271777"/>
      <w:docPartObj>
        <w:docPartGallery w:val="Page Numbers (Bottom of Page)"/>
        <w:docPartUnique/>
      </w:docPartObj>
    </w:sdtPr>
    <w:sdtEndPr>
      <w:rPr>
        <w:noProof/>
        <w:color w:val="996633"/>
        <w:sz w:val="16"/>
        <w:szCs w:val="16"/>
      </w:rPr>
    </w:sdtEndPr>
    <w:sdtContent>
      <w:p w:rsidR="00351B6B" w:rsidRPr="001C1268" w:rsidRDefault="00351B6B" w:rsidP="001C1268">
        <w:pPr>
          <w:pStyle w:val="Footer"/>
          <w:jc w:val="center"/>
          <w:rPr>
            <w:color w:val="996633"/>
            <w:sz w:val="16"/>
            <w:szCs w:val="16"/>
          </w:rPr>
        </w:pPr>
        <w:r w:rsidRPr="001C1268">
          <w:rPr>
            <w:color w:val="996633"/>
            <w:sz w:val="16"/>
            <w:szCs w:val="16"/>
          </w:rPr>
          <w:fldChar w:fldCharType="begin"/>
        </w:r>
        <w:r w:rsidRPr="001C1268">
          <w:rPr>
            <w:color w:val="996633"/>
            <w:sz w:val="16"/>
            <w:szCs w:val="16"/>
          </w:rPr>
          <w:instrText xml:space="preserve"> PAGE   \* MERGEFORMAT </w:instrText>
        </w:r>
        <w:r w:rsidRPr="001C1268">
          <w:rPr>
            <w:color w:val="996633"/>
            <w:sz w:val="16"/>
            <w:szCs w:val="16"/>
          </w:rPr>
          <w:fldChar w:fldCharType="separate"/>
        </w:r>
        <w:r w:rsidR="00225CFA">
          <w:rPr>
            <w:noProof/>
            <w:color w:val="996633"/>
            <w:sz w:val="16"/>
            <w:szCs w:val="16"/>
          </w:rPr>
          <w:t>1</w:t>
        </w:r>
        <w:r w:rsidRPr="001C1268">
          <w:rPr>
            <w:noProof/>
            <w:color w:val="996633"/>
            <w:sz w:val="16"/>
            <w:szCs w:val="16"/>
          </w:rPr>
          <w:fldChar w:fldCharType="end"/>
        </w:r>
        <w:r w:rsidR="001C1268" w:rsidRPr="001C1268">
          <w:rPr>
            <w:noProof/>
            <w:color w:val="996633"/>
            <w:sz w:val="16"/>
            <w:szCs w:val="16"/>
          </w:rPr>
          <w:t xml:space="preserve"> of </w:t>
        </w:r>
        <w:r w:rsidR="002E1C79">
          <w:rPr>
            <w:noProof/>
            <w:color w:val="996633"/>
            <w:sz w:val="16"/>
            <w:szCs w:val="16"/>
          </w:rPr>
          <w:t>2</w:t>
        </w:r>
      </w:p>
    </w:sdtContent>
  </w:sdt>
  <w:p w:rsidR="00351B6B" w:rsidRDefault="00351B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CFA" w:rsidRDefault="00225CFA" w:rsidP="00351B6B">
      <w:pPr>
        <w:spacing w:line="240" w:lineRule="auto"/>
      </w:pPr>
      <w:r>
        <w:separator/>
      </w:r>
    </w:p>
  </w:footnote>
  <w:footnote w:type="continuationSeparator" w:id="0">
    <w:p w:rsidR="00225CFA" w:rsidRDefault="00225CFA" w:rsidP="00351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668" w:rsidRPr="00723668" w:rsidRDefault="001B0FB0" w:rsidP="005866BA">
    <w:pPr>
      <w:pStyle w:val="Header"/>
      <w:jc w:val="center"/>
      <w:rPr>
        <w:b/>
        <w:color w:val="996633"/>
        <w:sz w:val="14"/>
        <w:szCs w:val="14"/>
      </w:rPr>
    </w:pPr>
    <w:r w:rsidRPr="005866BA">
      <w:rPr>
        <w:b/>
        <w:color w:val="996633"/>
        <w:sz w:val="12"/>
        <w:szCs w:val="12"/>
      </w:rPr>
      <w:br/>
    </w:r>
    <w:r w:rsidR="00723668"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C0105E" wp14:editId="5C40C77B">
              <wp:simplePos x="0" y="0"/>
              <wp:positionH relativeFrom="column">
                <wp:posOffset>5432425</wp:posOffset>
              </wp:positionH>
              <wp:positionV relativeFrom="paragraph">
                <wp:posOffset>0</wp:posOffset>
              </wp:positionV>
              <wp:extent cx="297815" cy="257175"/>
              <wp:effectExtent l="0" t="0" r="6985" b="9525"/>
              <wp:wrapNone/>
              <wp:docPr id="11" name="Hexag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style="position:absolute;margin-left:427.75pt;margin-top:0;width:23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" adj="4663" fillcolor="#9bbb59 [3206]" stroked="f" strokeweight="2pt"/>
          </w:pict>
        </mc:Fallback>
      </mc:AlternateContent>
    </w:r>
    <w:r w:rsidR="00723668"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3191A6" wp14:editId="54AD7095">
              <wp:simplePos x="0" y="0"/>
              <wp:positionH relativeFrom="column">
                <wp:posOffset>5180965</wp:posOffset>
              </wp:positionH>
              <wp:positionV relativeFrom="paragraph">
                <wp:posOffset>155575</wp:posOffset>
              </wp:positionV>
              <wp:extent cx="297815" cy="257175"/>
              <wp:effectExtent l="0" t="0" r="6985" b="9525"/>
              <wp:wrapNone/>
              <wp:docPr id="10" name="Hexago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10" o:spid="_x0000_s1026" type="#_x0000_t9" style="position:absolute;margin-left:407.95pt;margin-top:12.25pt;width:23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" adj="4663" fillcolor="#963" stroked="f" strokeweight="2pt"/>
          </w:pict>
        </mc:Fallback>
      </mc:AlternateContent>
    </w:r>
    <w:r w:rsidR="00723668"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C4F7D2" wp14:editId="4B63F826">
              <wp:simplePos x="0" y="0"/>
              <wp:positionH relativeFrom="column">
                <wp:posOffset>4929812</wp:posOffset>
              </wp:positionH>
              <wp:positionV relativeFrom="paragraph">
                <wp:posOffset>187</wp:posOffset>
              </wp:positionV>
              <wp:extent cx="297815" cy="257175"/>
              <wp:effectExtent l="0" t="0" r="6985" b="9525"/>
              <wp:wrapNone/>
              <wp:docPr id="9" name="Hexag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9" o:spid="_x0000_s1026" type="#_x0000_t9" style="position:absolute;margin-left:388.15pt;margin-top:0;width:23.4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" adj="4663" fillcolor="#9bbb59 [3206]" stroked="f" strokeweight="2pt"/>
          </w:pict>
        </mc:Fallback>
      </mc:AlternateContent>
    </w:r>
    <w:r w:rsidR="00723668"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33A0DF" wp14:editId="38AF6766">
              <wp:simplePos x="0" y="0"/>
              <wp:positionH relativeFrom="column">
                <wp:posOffset>256233</wp:posOffset>
              </wp:positionH>
              <wp:positionV relativeFrom="paragraph">
                <wp:posOffset>163369</wp:posOffset>
              </wp:positionV>
              <wp:extent cx="297815" cy="257175"/>
              <wp:effectExtent l="0" t="0" r="6985" b="9525"/>
              <wp:wrapNone/>
              <wp:docPr id="4" name="Hex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4" o:spid="_x0000_s1026" type="#_x0000_t9" style="position:absolute;margin-left:20.2pt;margin-top:12.85pt;width:23.4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" adj="4663" fillcolor="#9bbb59 [3206]" stroked="f" strokeweight="2pt"/>
          </w:pict>
        </mc:Fallback>
      </mc:AlternateContent>
    </w:r>
    <w:r w:rsidR="00723668" w:rsidRPr="00723668">
      <w:rPr>
        <w:b/>
        <w:noProof/>
        <w:color w:val="996633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E8C78" wp14:editId="7AFFBE51">
              <wp:simplePos x="0" y="0"/>
              <wp:positionH relativeFrom="column">
                <wp:posOffset>4445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2" name="Hex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2" o:spid="_x0000_s1026" type="#_x0000_t9" style="position:absolute;margin-left:.35pt;margin-top:.6pt;width:23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" adj="4663" fillcolor="#963" stroked="f" strokeweight="2pt"/>
          </w:pict>
        </mc:Fallback>
      </mc:AlternateContent>
    </w:r>
    <w:r w:rsidR="00723668"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52AC1" wp14:editId="52B5F538">
              <wp:simplePos x="0" y="0"/>
              <wp:positionH relativeFrom="column">
                <wp:posOffset>507365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6" o:spid="_x0000_s1026" type="#_x0000_t9" style="position:absolute;margin-left:39.95pt;margin-top:.6pt;width:23.4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" adj="4663" fillcolor="#963" stroked="f" strokeweight="2pt"/>
          </w:pict>
        </mc:Fallback>
      </mc:AlternateContent>
    </w:r>
    <w:r w:rsidR="00723668" w:rsidRPr="00723668">
      <w:rPr>
        <w:b/>
        <w:color w:val="996633"/>
        <w:sz w:val="14"/>
        <w:szCs w:val="14"/>
      </w:rPr>
      <w:t>REMOTE DETECTION OF (DE)POPULATION PROCESSES—</w:t>
    </w:r>
    <w:r w:rsidRPr="001B0FB0">
      <w:rPr>
        <w:b/>
        <w:color w:val="996633"/>
        <w:sz w:val="14"/>
        <w:szCs w:val="14"/>
      </w:rPr>
      <w:t>PRODUCT DOCUMENTATION</w:t>
    </w:r>
  </w:p>
  <w:p w:rsidR="00723668" w:rsidRPr="00723668" w:rsidRDefault="000F1D1E" w:rsidP="000F1D1E">
    <w:pPr>
      <w:pStyle w:val="Header"/>
      <w:tabs>
        <w:tab w:val="left" w:pos="1365"/>
        <w:tab w:val="center" w:pos="4514"/>
      </w:tabs>
      <w:rPr>
        <w:b/>
        <w:color w:val="365F91" w:themeColor="accent1" w:themeShade="BF"/>
        <w:sz w:val="14"/>
        <w:szCs w:val="14"/>
      </w:rPr>
    </w:pPr>
    <w:r>
      <w:rPr>
        <w:b/>
        <w:color w:val="996633"/>
        <w:sz w:val="14"/>
        <w:szCs w:val="14"/>
      </w:rPr>
      <w:tab/>
    </w:r>
    <w:r>
      <w:rPr>
        <w:b/>
        <w:color w:val="996633"/>
        <w:sz w:val="14"/>
        <w:szCs w:val="14"/>
      </w:rPr>
      <w:tab/>
    </w:r>
    <w:r w:rsidR="001B0FB0" w:rsidRPr="001C1268">
      <w:rPr>
        <w:b/>
        <w:color w:val="996633"/>
        <w:sz w:val="14"/>
        <w:szCs w:val="14"/>
      </w:rPr>
      <w:t>INDICATOR</w:t>
    </w:r>
    <w:r w:rsidR="001B0FB0" w:rsidRPr="001B0FB0">
      <w:rPr>
        <w:b/>
        <w:color w:val="996633"/>
        <w:sz w:val="14"/>
        <w:szCs w:val="14"/>
      </w:rPr>
      <w:t xml:space="preserve"> 1: </w:t>
    </w:r>
    <w:r w:rsidR="001B0FB0" w:rsidRPr="001B0FB0">
      <w:rPr>
        <w:b/>
        <w:i/>
        <w:color w:val="996633"/>
        <w:sz w:val="14"/>
        <w:szCs w:val="14"/>
      </w:rPr>
      <w:t>Altitudinal Trends of Demographic Aging</w:t>
    </w:r>
  </w:p>
  <w:p w:rsidR="00723668" w:rsidRDefault="00723668" w:rsidP="00723668">
    <w:pPr>
      <w:pStyle w:val="Header"/>
      <w:jc w:val="center"/>
      <w:rPr>
        <w:sz w:val="14"/>
        <w:szCs w:val="14"/>
      </w:rPr>
    </w:pPr>
  </w:p>
  <w:p w:rsidR="001B0FB0" w:rsidRDefault="001B0FB0" w:rsidP="001B0FB0">
    <w:pPr>
      <w:pStyle w:val="Header"/>
      <w:rPr>
        <w:sz w:val="14"/>
        <w:szCs w:val="14"/>
      </w:rPr>
    </w:pPr>
  </w:p>
  <w:p w:rsidR="001B0FB0" w:rsidRPr="00F648C9" w:rsidRDefault="001B0FB0" w:rsidP="001B0FB0">
    <w:pPr>
      <w:pStyle w:val="Header"/>
    </w:pPr>
  </w:p>
  <w:p w:rsidR="0050020C" w:rsidRPr="00F648C9" w:rsidRDefault="0050020C" w:rsidP="000F1D1E">
    <w:pPr>
      <w:pStyle w:val="Header"/>
      <w:tabs>
        <w:tab w:val="clear" w:pos="4680"/>
        <w:tab w:val="clear" w:pos="9360"/>
        <w:tab w:val="left" w:pos="3555"/>
      </w:tabs>
    </w:pPr>
  </w:p>
  <w:p w:rsidR="001B0FB0" w:rsidRPr="00F648C9" w:rsidRDefault="001B0FB0" w:rsidP="00F648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32AE"/>
    <w:multiLevelType w:val="hybridMultilevel"/>
    <w:tmpl w:val="F11416CC"/>
    <w:lvl w:ilvl="0" w:tplc="697C3774">
      <w:start w:val="1"/>
      <w:numFmt w:val="bullet"/>
      <w:lvlText w:val=""/>
      <w:lvlJc w:val="left"/>
      <w:pPr>
        <w:ind w:left="360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1AE1"/>
    <w:rsid w:val="000115DF"/>
    <w:rsid w:val="000F1D1E"/>
    <w:rsid w:val="001A39DC"/>
    <w:rsid w:val="001B0FB0"/>
    <w:rsid w:val="001C1268"/>
    <w:rsid w:val="001C15E4"/>
    <w:rsid w:val="00220933"/>
    <w:rsid w:val="00225CFA"/>
    <w:rsid w:val="00260E9E"/>
    <w:rsid w:val="002C5EC6"/>
    <w:rsid w:val="002D5790"/>
    <w:rsid w:val="002E1C79"/>
    <w:rsid w:val="002F08DD"/>
    <w:rsid w:val="00351B6B"/>
    <w:rsid w:val="0035482A"/>
    <w:rsid w:val="00430257"/>
    <w:rsid w:val="004B47D1"/>
    <w:rsid w:val="0050020C"/>
    <w:rsid w:val="005866BA"/>
    <w:rsid w:val="005D1988"/>
    <w:rsid w:val="00602FBA"/>
    <w:rsid w:val="00723668"/>
    <w:rsid w:val="00764F09"/>
    <w:rsid w:val="007C3596"/>
    <w:rsid w:val="008863A7"/>
    <w:rsid w:val="008C5FC4"/>
    <w:rsid w:val="009D1AE1"/>
    <w:rsid w:val="00B07B88"/>
    <w:rsid w:val="00B647CA"/>
    <w:rsid w:val="00BD7619"/>
    <w:rsid w:val="00E54DC3"/>
    <w:rsid w:val="00F6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19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761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6B"/>
  </w:style>
  <w:style w:type="paragraph" w:styleId="Footer">
    <w:name w:val="footer"/>
    <w:basedOn w:val="Normal"/>
    <w:link w:val="FooterChar"/>
    <w:uiPriority w:val="99"/>
    <w:unhideWhenUsed/>
    <w:rsid w:val="00351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6B"/>
  </w:style>
  <w:style w:type="character" w:customStyle="1" w:styleId="publicationtitle">
    <w:name w:val="publication__title"/>
    <w:basedOn w:val="DefaultParagraphFont"/>
    <w:rsid w:val="00351B6B"/>
  </w:style>
  <w:style w:type="paragraph" w:styleId="ListParagraph">
    <w:name w:val="List Paragraph"/>
    <w:basedOn w:val="Normal"/>
    <w:uiPriority w:val="34"/>
    <w:qFormat/>
    <w:rsid w:val="00F64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19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761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6B"/>
  </w:style>
  <w:style w:type="paragraph" w:styleId="Footer">
    <w:name w:val="footer"/>
    <w:basedOn w:val="Normal"/>
    <w:link w:val="FooterChar"/>
    <w:uiPriority w:val="99"/>
    <w:unhideWhenUsed/>
    <w:rsid w:val="00351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6B"/>
  </w:style>
  <w:style w:type="character" w:customStyle="1" w:styleId="publicationtitle">
    <w:name w:val="publication__title"/>
    <w:basedOn w:val="DefaultParagraphFont"/>
    <w:rsid w:val="00351B6B"/>
  </w:style>
  <w:style w:type="paragraph" w:styleId="ListParagraph">
    <w:name w:val="List Paragraph"/>
    <w:basedOn w:val="Normal"/>
    <w:uiPriority w:val="34"/>
    <w:qFormat/>
    <w:rsid w:val="00F6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.copernicus.eu/imagery-in-situ/eu-dem/eu-dem-v1.1/vie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eosrbija.rs/usluge/otvoreni-podaci-nig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.gov.rs/sr-Latn/oblasti/popis/popis-20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Gorica</dc:creator>
  <cp:lastModifiedBy>Tech. ed.</cp:lastModifiedBy>
  <cp:revision>7</cp:revision>
  <cp:lastPrinted>2020-10-25T18:37:00Z</cp:lastPrinted>
  <dcterms:created xsi:type="dcterms:W3CDTF">2020-10-25T18:27:00Z</dcterms:created>
  <dcterms:modified xsi:type="dcterms:W3CDTF">2020-10-26T00:05:00Z</dcterms:modified>
</cp:coreProperties>
</file>