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C34" w:rsidRDefault="00285B47">
      <w:pPr>
        <w:rPr>
          <w:b/>
        </w:rPr>
      </w:pPr>
      <w:r>
        <w:rPr>
          <w:b/>
        </w:rPr>
        <w:t xml:space="preserve">INDICATOR 10: </w:t>
      </w:r>
      <w:bookmarkStart w:id="0" w:name="_GoBack"/>
      <w:r>
        <w:rPr>
          <w:b/>
        </w:rPr>
        <w:t xml:space="preserve">Altitudinal Conditionality of the Population Density’ Changes </w:t>
      </w:r>
      <w:bookmarkEnd w:id="0"/>
    </w:p>
    <w:p w:rsidR="003D0C34" w:rsidRDefault="003D0C34"/>
    <w:p w:rsidR="00595DF7" w:rsidRDefault="00595DF7"/>
    <w:p w:rsidR="003D0C34" w:rsidRPr="00595DF7" w:rsidRDefault="00285B47">
      <w:pPr>
        <w:numPr>
          <w:ilvl w:val="0"/>
          <w:numId w:val="1"/>
        </w:numPr>
        <w:rPr>
          <w:b/>
        </w:rPr>
      </w:pPr>
      <w:r w:rsidRPr="00595DF7">
        <w:rPr>
          <w:b/>
        </w:rPr>
        <w:t>File Name: Alt_Pop_Dens_Settl</w:t>
      </w:r>
    </w:p>
    <w:p w:rsidR="003D0C34" w:rsidRDefault="00285B47" w:rsidP="00595DF7">
      <w:pPr>
        <w:pStyle w:val="ListParagraph"/>
        <w:numPr>
          <w:ilvl w:val="0"/>
          <w:numId w:val="2"/>
        </w:numPr>
      </w:pPr>
      <w:r>
        <w:t>Coordinate Reference Systems: WGS 84 / UTM zone 34N (EPSG:32634)</w:t>
      </w:r>
    </w:p>
    <w:p w:rsidR="003D0C34" w:rsidRDefault="003D0C34">
      <w:pPr>
        <w:ind w:left="720" w:hanging="436"/>
      </w:pPr>
    </w:p>
    <w:p w:rsidR="003D0C34" w:rsidRPr="00595DF7" w:rsidRDefault="00285B47">
      <w:pPr>
        <w:numPr>
          <w:ilvl w:val="0"/>
          <w:numId w:val="1"/>
        </w:numPr>
        <w:rPr>
          <w:b/>
        </w:rPr>
      </w:pPr>
      <w:r w:rsidRPr="00595DF7">
        <w:rPr>
          <w:b/>
        </w:rPr>
        <w:t>File Name: Alt_Pop_Dens_Mun</w:t>
      </w:r>
    </w:p>
    <w:p w:rsidR="003D0C34" w:rsidRDefault="00285B47" w:rsidP="00595DF7">
      <w:pPr>
        <w:pStyle w:val="ListParagraph"/>
        <w:numPr>
          <w:ilvl w:val="0"/>
          <w:numId w:val="2"/>
        </w:numPr>
      </w:pPr>
      <w:r>
        <w:t>Coordinate Reference Systems: WGS 84 / UTM zone 34N (EPSG:32634)</w:t>
      </w:r>
    </w:p>
    <w:p w:rsidR="003D0C34" w:rsidRDefault="003D0C34"/>
    <w:tbl>
      <w:tblPr>
        <w:tblStyle w:val="a"/>
        <w:tblW w:w="90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tblPr>
      <w:tblGrid>
        <w:gridCol w:w="1179"/>
        <w:gridCol w:w="3782"/>
        <w:gridCol w:w="4066"/>
      </w:tblGrid>
      <w:tr w:rsidR="003D0C34" w:rsidRPr="00595DF7" w:rsidTr="00C056CF">
        <w:trPr>
          <w:trHeight w:val="30"/>
          <w:tblHeader/>
          <w:jc w:val="center"/>
        </w:trPr>
        <w:tc>
          <w:tcPr>
            <w:tcW w:w="653" w:type="pct"/>
            <w:tcBorders>
              <w:top w:val="single" w:sz="4" w:space="0" w:color="000000"/>
              <w:left w:val="single" w:sz="4" w:space="0" w:color="000000"/>
              <w:bottom w:val="single" w:sz="4" w:space="0" w:color="000000"/>
              <w:right w:val="single" w:sz="4" w:space="0" w:color="000000"/>
            </w:tcBorders>
            <w:shd w:val="clear" w:color="auto" w:fill="9BBB59" w:themeFill="accent3"/>
            <w:tcMar>
              <w:top w:w="100" w:type="dxa"/>
              <w:left w:w="100" w:type="dxa"/>
              <w:bottom w:w="100" w:type="dxa"/>
              <w:right w:w="100" w:type="dxa"/>
            </w:tcMar>
          </w:tcPr>
          <w:p w:rsidR="003D0C34" w:rsidRPr="00595DF7" w:rsidRDefault="00285B47">
            <w:pPr>
              <w:widowControl w:val="0"/>
              <w:spacing w:line="240" w:lineRule="auto"/>
              <w:jc w:val="center"/>
              <w:rPr>
                <w:b/>
                <w:sz w:val="20"/>
                <w:szCs w:val="20"/>
              </w:rPr>
            </w:pPr>
            <w:r w:rsidRPr="00595DF7">
              <w:rPr>
                <w:b/>
                <w:sz w:val="20"/>
                <w:szCs w:val="20"/>
              </w:rPr>
              <w:t>Attribute</w:t>
            </w:r>
          </w:p>
        </w:tc>
        <w:tc>
          <w:tcPr>
            <w:tcW w:w="2095" w:type="pct"/>
            <w:tcBorders>
              <w:top w:val="single" w:sz="4" w:space="0" w:color="000000"/>
              <w:left w:val="single" w:sz="4" w:space="0" w:color="000000"/>
              <w:bottom w:val="single" w:sz="4" w:space="0" w:color="000000"/>
              <w:right w:val="single" w:sz="4" w:space="0" w:color="000000"/>
            </w:tcBorders>
            <w:shd w:val="clear" w:color="auto" w:fill="9BBB59" w:themeFill="accent3"/>
            <w:tcMar>
              <w:top w:w="100" w:type="dxa"/>
              <w:left w:w="100" w:type="dxa"/>
              <w:bottom w:w="100" w:type="dxa"/>
              <w:right w:w="100" w:type="dxa"/>
            </w:tcMar>
          </w:tcPr>
          <w:p w:rsidR="003D0C34" w:rsidRPr="00595DF7" w:rsidRDefault="00285B47">
            <w:pPr>
              <w:widowControl w:val="0"/>
              <w:spacing w:line="240" w:lineRule="auto"/>
              <w:ind w:right="-49"/>
              <w:jc w:val="center"/>
              <w:rPr>
                <w:b/>
                <w:sz w:val="20"/>
                <w:szCs w:val="20"/>
              </w:rPr>
            </w:pPr>
            <w:r w:rsidRPr="00595DF7">
              <w:rPr>
                <w:b/>
                <w:sz w:val="20"/>
                <w:szCs w:val="20"/>
              </w:rPr>
              <w:t xml:space="preserve"> Alias</w:t>
            </w:r>
          </w:p>
        </w:tc>
        <w:tc>
          <w:tcPr>
            <w:tcW w:w="2252" w:type="pct"/>
            <w:tcBorders>
              <w:top w:val="single" w:sz="4" w:space="0" w:color="000000"/>
              <w:left w:val="single" w:sz="4" w:space="0" w:color="000000"/>
              <w:bottom w:val="single" w:sz="4" w:space="0" w:color="000000"/>
              <w:right w:val="single" w:sz="4" w:space="0" w:color="000000"/>
            </w:tcBorders>
            <w:shd w:val="clear" w:color="auto" w:fill="9BBB59" w:themeFill="accent3"/>
            <w:tcMar>
              <w:top w:w="100" w:type="dxa"/>
              <w:left w:w="100" w:type="dxa"/>
              <w:bottom w:w="100" w:type="dxa"/>
              <w:right w:w="100" w:type="dxa"/>
            </w:tcMar>
          </w:tcPr>
          <w:p w:rsidR="003D0C34" w:rsidRPr="00595DF7" w:rsidRDefault="00285B47">
            <w:pPr>
              <w:widowControl w:val="0"/>
              <w:spacing w:line="240" w:lineRule="auto"/>
              <w:ind w:right="-49"/>
              <w:jc w:val="center"/>
              <w:rPr>
                <w:b/>
                <w:sz w:val="20"/>
                <w:szCs w:val="20"/>
              </w:rPr>
            </w:pPr>
            <w:r w:rsidRPr="00595DF7">
              <w:rPr>
                <w:b/>
                <w:sz w:val="20"/>
                <w:szCs w:val="20"/>
              </w:rPr>
              <w:t>Pseudonim</w:t>
            </w:r>
          </w:p>
        </w:tc>
      </w:tr>
      <w:tr w:rsidR="003D0C34" w:rsidRPr="00595DF7" w:rsidTr="00C056CF">
        <w:trPr>
          <w:jc w:val="center"/>
        </w:trPr>
        <w:tc>
          <w:tcPr>
            <w:tcW w:w="65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rPr>
                <w:sz w:val="20"/>
                <w:szCs w:val="20"/>
              </w:rPr>
            </w:pPr>
            <w:r w:rsidRPr="00595DF7">
              <w:rPr>
                <w:sz w:val="20"/>
                <w:szCs w:val="20"/>
              </w:rPr>
              <w:t>MatBrO</w:t>
            </w:r>
          </w:p>
        </w:tc>
        <w:tc>
          <w:tcPr>
            <w:tcW w:w="209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ind w:right="-49"/>
              <w:rPr>
                <w:sz w:val="20"/>
                <w:szCs w:val="20"/>
              </w:rPr>
            </w:pPr>
            <w:r w:rsidRPr="00595DF7">
              <w:rPr>
                <w:sz w:val="20"/>
                <w:szCs w:val="20"/>
              </w:rPr>
              <w:t>Municipality identification number</w:t>
            </w:r>
          </w:p>
        </w:tc>
        <w:tc>
          <w:tcPr>
            <w:tcW w:w="225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ind w:right="-49"/>
              <w:rPr>
                <w:sz w:val="20"/>
                <w:szCs w:val="20"/>
              </w:rPr>
            </w:pPr>
            <w:r w:rsidRPr="00595DF7">
              <w:rPr>
                <w:sz w:val="20"/>
                <w:szCs w:val="20"/>
              </w:rPr>
              <w:t>Matični broj opštine</w:t>
            </w:r>
          </w:p>
        </w:tc>
      </w:tr>
      <w:tr w:rsidR="003D0C34" w:rsidRPr="00595DF7" w:rsidTr="00C056CF">
        <w:trPr>
          <w:jc w:val="center"/>
        </w:trPr>
        <w:tc>
          <w:tcPr>
            <w:tcW w:w="65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rPr>
                <w:sz w:val="20"/>
                <w:szCs w:val="20"/>
              </w:rPr>
            </w:pPr>
            <w:r w:rsidRPr="00595DF7">
              <w:rPr>
                <w:sz w:val="20"/>
                <w:szCs w:val="20"/>
              </w:rPr>
              <w:t>MatBrNas</w:t>
            </w:r>
          </w:p>
        </w:tc>
        <w:tc>
          <w:tcPr>
            <w:tcW w:w="209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ind w:right="-49"/>
              <w:rPr>
                <w:sz w:val="20"/>
                <w:szCs w:val="20"/>
              </w:rPr>
            </w:pPr>
            <w:r w:rsidRPr="00595DF7">
              <w:rPr>
                <w:sz w:val="20"/>
                <w:szCs w:val="20"/>
              </w:rPr>
              <w:t>Settlement identification number</w:t>
            </w:r>
          </w:p>
        </w:tc>
        <w:tc>
          <w:tcPr>
            <w:tcW w:w="225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ind w:right="-49"/>
              <w:rPr>
                <w:sz w:val="20"/>
                <w:szCs w:val="20"/>
              </w:rPr>
            </w:pPr>
            <w:r w:rsidRPr="00595DF7">
              <w:rPr>
                <w:sz w:val="20"/>
                <w:szCs w:val="20"/>
              </w:rPr>
              <w:t>Matični broj naselja</w:t>
            </w:r>
          </w:p>
        </w:tc>
      </w:tr>
      <w:tr w:rsidR="003D0C34" w:rsidRPr="00595DF7" w:rsidTr="00C056CF">
        <w:trPr>
          <w:jc w:val="center"/>
        </w:trPr>
        <w:tc>
          <w:tcPr>
            <w:tcW w:w="65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rPr>
                <w:sz w:val="20"/>
                <w:szCs w:val="20"/>
              </w:rPr>
            </w:pPr>
            <w:r w:rsidRPr="00595DF7">
              <w:rPr>
                <w:sz w:val="20"/>
                <w:szCs w:val="20"/>
              </w:rPr>
              <w:t>ImeNasCir</w:t>
            </w:r>
          </w:p>
        </w:tc>
        <w:tc>
          <w:tcPr>
            <w:tcW w:w="209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ind w:right="-49"/>
              <w:rPr>
                <w:sz w:val="20"/>
                <w:szCs w:val="20"/>
              </w:rPr>
            </w:pPr>
            <w:r w:rsidRPr="00595DF7">
              <w:rPr>
                <w:sz w:val="20"/>
                <w:szCs w:val="20"/>
              </w:rPr>
              <w:t>Name of the settlement in Cyrillic</w:t>
            </w:r>
          </w:p>
        </w:tc>
        <w:tc>
          <w:tcPr>
            <w:tcW w:w="225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ind w:right="-49"/>
              <w:rPr>
                <w:sz w:val="20"/>
                <w:szCs w:val="20"/>
              </w:rPr>
            </w:pPr>
            <w:r w:rsidRPr="00595DF7">
              <w:rPr>
                <w:sz w:val="20"/>
                <w:szCs w:val="20"/>
              </w:rPr>
              <w:t>Ime naselja (ćirilica)</w:t>
            </w:r>
          </w:p>
        </w:tc>
      </w:tr>
      <w:tr w:rsidR="003D0C34" w:rsidRPr="00595DF7" w:rsidTr="00C056CF">
        <w:trPr>
          <w:jc w:val="center"/>
        </w:trPr>
        <w:tc>
          <w:tcPr>
            <w:tcW w:w="65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rPr>
                <w:sz w:val="20"/>
                <w:szCs w:val="20"/>
              </w:rPr>
            </w:pPr>
            <w:r w:rsidRPr="00595DF7">
              <w:rPr>
                <w:sz w:val="20"/>
                <w:szCs w:val="20"/>
              </w:rPr>
              <w:t>ImeNasLat</w:t>
            </w:r>
          </w:p>
        </w:tc>
        <w:tc>
          <w:tcPr>
            <w:tcW w:w="209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ind w:right="-49"/>
              <w:rPr>
                <w:sz w:val="20"/>
                <w:szCs w:val="20"/>
              </w:rPr>
            </w:pPr>
            <w:r w:rsidRPr="00595DF7">
              <w:rPr>
                <w:sz w:val="20"/>
                <w:szCs w:val="20"/>
              </w:rPr>
              <w:t>Name of the settlement in Latin</w:t>
            </w:r>
          </w:p>
        </w:tc>
        <w:tc>
          <w:tcPr>
            <w:tcW w:w="225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ind w:right="-49"/>
              <w:rPr>
                <w:sz w:val="20"/>
                <w:szCs w:val="20"/>
              </w:rPr>
            </w:pPr>
            <w:r w:rsidRPr="00595DF7">
              <w:rPr>
                <w:sz w:val="20"/>
                <w:szCs w:val="20"/>
              </w:rPr>
              <w:t>Ime naselja (latinica)</w:t>
            </w:r>
          </w:p>
        </w:tc>
      </w:tr>
      <w:tr w:rsidR="003D0C34" w:rsidRPr="00595DF7" w:rsidTr="00C056CF">
        <w:trPr>
          <w:jc w:val="center"/>
        </w:trPr>
        <w:tc>
          <w:tcPr>
            <w:tcW w:w="65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rPr>
                <w:sz w:val="20"/>
                <w:szCs w:val="20"/>
              </w:rPr>
            </w:pPr>
            <w:r w:rsidRPr="00595DF7">
              <w:rPr>
                <w:sz w:val="20"/>
                <w:szCs w:val="20"/>
              </w:rPr>
              <w:t>ImeOpsCir</w:t>
            </w:r>
          </w:p>
        </w:tc>
        <w:tc>
          <w:tcPr>
            <w:tcW w:w="209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ind w:right="-49"/>
              <w:rPr>
                <w:sz w:val="20"/>
                <w:szCs w:val="20"/>
              </w:rPr>
            </w:pPr>
            <w:r w:rsidRPr="00595DF7">
              <w:rPr>
                <w:sz w:val="20"/>
                <w:szCs w:val="20"/>
              </w:rPr>
              <w:t>Name of the municipality in Cyrillic</w:t>
            </w:r>
          </w:p>
        </w:tc>
        <w:tc>
          <w:tcPr>
            <w:tcW w:w="225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ind w:right="-49"/>
              <w:rPr>
                <w:sz w:val="20"/>
                <w:szCs w:val="20"/>
              </w:rPr>
            </w:pPr>
            <w:r w:rsidRPr="00595DF7">
              <w:rPr>
                <w:sz w:val="20"/>
                <w:szCs w:val="20"/>
              </w:rPr>
              <w:t>Ime opštine (ćirilica)</w:t>
            </w:r>
          </w:p>
        </w:tc>
      </w:tr>
      <w:tr w:rsidR="003D0C34" w:rsidRPr="00595DF7" w:rsidTr="00C056CF">
        <w:trPr>
          <w:jc w:val="center"/>
        </w:trPr>
        <w:tc>
          <w:tcPr>
            <w:tcW w:w="65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rPr>
                <w:sz w:val="20"/>
                <w:szCs w:val="20"/>
              </w:rPr>
            </w:pPr>
            <w:r w:rsidRPr="00595DF7">
              <w:rPr>
                <w:sz w:val="20"/>
                <w:szCs w:val="20"/>
              </w:rPr>
              <w:t>ImeOpsLat</w:t>
            </w:r>
          </w:p>
        </w:tc>
        <w:tc>
          <w:tcPr>
            <w:tcW w:w="209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ind w:right="-49"/>
              <w:rPr>
                <w:sz w:val="20"/>
                <w:szCs w:val="20"/>
              </w:rPr>
            </w:pPr>
            <w:r w:rsidRPr="00595DF7">
              <w:rPr>
                <w:sz w:val="20"/>
                <w:szCs w:val="20"/>
              </w:rPr>
              <w:t>Name of the municipality in Latin</w:t>
            </w:r>
          </w:p>
        </w:tc>
        <w:tc>
          <w:tcPr>
            <w:tcW w:w="225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ind w:right="-49"/>
              <w:rPr>
                <w:sz w:val="20"/>
                <w:szCs w:val="20"/>
              </w:rPr>
            </w:pPr>
            <w:r w:rsidRPr="00595DF7">
              <w:rPr>
                <w:sz w:val="20"/>
                <w:szCs w:val="20"/>
              </w:rPr>
              <w:t>Ime opštine (latinica)</w:t>
            </w:r>
          </w:p>
        </w:tc>
      </w:tr>
      <w:tr w:rsidR="003D0C34" w:rsidRPr="00595DF7" w:rsidTr="00C056CF">
        <w:trPr>
          <w:jc w:val="center"/>
        </w:trPr>
        <w:tc>
          <w:tcPr>
            <w:tcW w:w="65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rPr>
                <w:sz w:val="20"/>
                <w:szCs w:val="20"/>
              </w:rPr>
            </w:pPr>
            <w:r w:rsidRPr="00595DF7">
              <w:rPr>
                <w:sz w:val="20"/>
                <w:szCs w:val="20"/>
              </w:rPr>
              <w:t>AREA_1</w:t>
            </w:r>
          </w:p>
        </w:tc>
        <w:tc>
          <w:tcPr>
            <w:tcW w:w="209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ind w:right="-49"/>
              <w:rPr>
                <w:sz w:val="20"/>
                <w:szCs w:val="20"/>
              </w:rPr>
            </w:pPr>
            <w:r w:rsidRPr="00595DF7">
              <w:rPr>
                <w:sz w:val="20"/>
                <w:szCs w:val="20"/>
              </w:rPr>
              <w:t>Area of altitudinal zone up to 200 m a.s.l. (km</w:t>
            </w:r>
            <w:r w:rsidRPr="00595DF7">
              <w:rPr>
                <w:sz w:val="20"/>
                <w:szCs w:val="20"/>
                <w:vertAlign w:val="superscript"/>
              </w:rPr>
              <w:t>2</w:t>
            </w:r>
            <w:r w:rsidRPr="00595DF7">
              <w:rPr>
                <w:sz w:val="20"/>
                <w:szCs w:val="20"/>
              </w:rPr>
              <w:t>)</w:t>
            </w:r>
          </w:p>
        </w:tc>
        <w:tc>
          <w:tcPr>
            <w:tcW w:w="225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ind w:right="-49"/>
              <w:rPr>
                <w:sz w:val="20"/>
                <w:szCs w:val="20"/>
              </w:rPr>
            </w:pPr>
            <w:r w:rsidRPr="00595DF7">
              <w:rPr>
                <w:sz w:val="20"/>
                <w:szCs w:val="20"/>
              </w:rPr>
              <w:t>Površina visinske zone do 200 m a.s.l. (km</w:t>
            </w:r>
            <w:r w:rsidRPr="00595DF7">
              <w:rPr>
                <w:sz w:val="20"/>
                <w:szCs w:val="20"/>
                <w:vertAlign w:val="superscript"/>
              </w:rPr>
              <w:t>2</w:t>
            </w:r>
            <w:r w:rsidRPr="00595DF7">
              <w:rPr>
                <w:sz w:val="20"/>
                <w:szCs w:val="20"/>
              </w:rPr>
              <w:t>)</w:t>
            </w:r>
          </w:p>
        </w:tc>
      </w:tr>
      <w:tr w:rsidR="003D0C34" w:rsidRPr="00595DF7" w:rsidTr="00C056CF">
        <w:trPr>
          <w:jc w:val="center"/>
        </w:trPr>
        <w:tc>
          <w:tcPr>
            <w:tcW w:w="65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rPr>
                <w:sz w:val="20"/>
                <w:szCs w:val="20"/>
              </w:rPr>
            </w:pPr>
            <w:r w:rsidRPr="00595DF7">
              <w:rPr>
                <w:sz w:val="20"/>
                <w:szCs w:val="20"/>
              </w:rPr>
              <w:t>AREA_2</w:t>
            </w:r>
          </w:p>
        </w:tc>
        <w:tc>
          <w:tcPr>
            <w:tcW w:w="209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ind w:right="-49"/>
              <w:rPr>
                <w:sz w:val="20"/>
                <w:szCs w:val="20"/>
              </w:rPr>
            </w:pPr>
            <w:r w:rsidRPr="00595DF7">
              <w:rPr>
                <w:sz w:val="20"/>
                <w:szCs w:val="20"/>
              </w:rPr>
              <w:t>Area of altitudinal zone 200–500 m a.s.l. (km</w:t>
            </w:r>
            <w:r w:rsidRPr="00595DF7">
              <w:rPr>
                <w:sz w:val="20"/>
                <w:szCs w:val="20"/>
                <w:vertAlign w:val="superscript"/>
              </w:rPr>
              <w:t>2</w:t>
            </w:r>
            <w:r w:rsidRPr="00595DF7">
              <w:rPr>
                <w:sz w:val="20"/>
                <w:szCs w:val="20"/>
              </w:rPr>
              <w:t>)</w:t>
            </w:r>
          </w:p>
        </w:tc>
        <w:tc>
          <w:tcPr>
            <w:tcW w:w="225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ind w:right="-49"/>
              <w:rPr>
                <w:sz w:val="20"/>
                <w:szCs w:val="20"/>
              </w:rPr>
            </w:pPr>
            <w:r w:rsidRPr="00595DF7">
              <w:rPr>
                <w:sz w:val="20"/>
                <w:szCs w:val="20"/>
              </w:rPr>
              <w:t>Površina visinske zone 200–500 m a.s.l (km</w:t>
            </w:r>
            <w:r w:rsidRPr="00595DF7">
              <w:rPr>
                <w:sz w:val="20"/>
                <w:szCs w:val="20"/>
                <w:vertAlign w:val="superscript"/>
              </w:rPr>
              <w:t>2</w:t>
            </w:r>
            <w:r w:rsidRPr="00595DF7">
              <w:rPr>
                <w:sz w:val="20"/>
                <w:szCs w:val="20"/>
              </w:rPr>
              <w:t>)</w:t>
            </w:r>
          </w:p>
        </w:tc>
      </w:tr>
      <w:tr w:rsidR="003D0C34" w:rsidRPr="00595DF7" w:rsidTr="00C056CF">
        <w:trPr>
          <w:jc w:val="center"/>
        </w:trPr>
        <w:tc>
          <w:tcPr>
            <w:tcW w:w="65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rPr>
                <w:sz w:val="20"/>
                <w:szCs w:val="20"/>
              </w:rPr>
            </w:pPr>
            <w:r w:rsidRPr="00595DF7">
              <w:rPr>
                <w:sz w:val="20"/>
                <w:szCs w:val="20"/>
              </w:rPr>
              <w:t>AREA_3</w:t>
            </w:r>
          </w:p>
        </w:tc>
        <w:tc>
          <w:tcPr>
            <w:tcW w:w="209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ind w:right="-49"/>
              <w:rPr>
                <w:sz w:val="20"/>
                <w:szCs w:val="20"/>
              </w:rPr>
            </w:pPr>
            <w:r w:rsidRPr="00595DF7">
              <w:rPr>
                <w:sz w:val="20"/>
                <w:szCs w:val="20"/>
              </w:rPr>
              <w:t>Area of altitudinal zone 500–800 m a.s.l. (km</w:t>
            </w:r>
            <w:r w:rsidRPr="00595DF7">
              <w:rPr>
                <w:sz w:val="20"/>
                <w:szCs w:val="20"/>
                <w:vertAlign w:val="superscript"/>
              </w:rPr>
              <w:t>2</w:t>
            </w:r>
            <w:r w:rsidRPr="00595DF7">
              <w:rPr>
                <w:sz w:val="20"/>
                <w:szCs w:val="20"/>
              </w:rPr>
              <w:t>)</w:t>
            </w:r>
          </w:p>
        </w:tc>
        <w:tc>
          <w:tcPr>
            <w:tcW w:w="225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ind w:right="-49"/>
              <w:rPr>
                <w:sz w:val="20"/>
                <w:szCs w:val="20"/>
              </w:rPr>
            </w:pPr>
            <w:r w:rsidRPr="00595DF7">
              <w:rPr>
                <w:sz w:val="20"/>
                <w:szCs w:val="20"/>
              </w:rPr>
              <w:t>Površina visinske zone 500–800 m a.s.l (km</w:t>
            </w:r>
            <w:r w:rsidRPr="00595DF7">
              <w:rPr>
                <w:sz w:val="20"/>
                <w:szCs w:val="20"/>
                <w:vertAlign w:val="superscript"/>
              </w:rPr>
              <w:t>2</w:t>
            </w:r>
            <w:r w:rsidRPr="00595DF7">
              <w:rPr>
                <w:sz w:val="20"/>
                <w:szCs w:val="20"/>
              </w:rPr>
              <w:t>)</w:t>
            </w:r>
          </w:p>
        </w:tc>
      </w:tr>
      <w:tr w:rsidR="003D0C34" w:rsidRPr="00595DF7" w:rsidTr="00C056CF">
        <w:trPr>
          <w:jc w:val="center"/>
        </w:trPr>
        <w:tc>
          <w:tcPr>
            <w:tcW w:w="65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rPr>
                <w:sz w:val="20"/>
                <w:szCs w:val="20"/>
              </w:rPr>
            </w:pPr>
            <w:r w:rsidRPr="00595DF7">
              <w:rPr>
                <w:sz w:val="20"/>
                <w:szCs w:val="20"/>
              </w:rPr>
              <w:t>AREA_4</w:t>
            </w:r>
          </w:p>
        </w:tc>
        <w:tc>
          <w:tcPr>
            <w:tcW w:w="209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ind w:right="-49"/>
              <w:rPr>
                <w:sz w:val="20"/>
                <w:szCs w:val="20"/>
              </w:rPr>
            </w:pPr>
            <w:r w:rsidRPr="00595DF7">
              <w:rPr>
                <w:sz w:val="20"/>
                <w:szCs w:val="20"/>
              </w:rPr>
              <w:t>Area of altitudinal zone 800–1000 m a.s.l. (km</w:t>
            </w:r>
            <w:r w:rsidRPr="00595DF7">
              <w:rPr>
                <w:sz w:val="20"/>
                <w:szCs w:val="20"/>
                <w:vertAlign w:val="superscript"/>
              </w:rPr>
              <w:t>2</w:t>
            </w:r>
            <w:r w:rsidRPr="00595DF7">
              <w:rPr>
                <w:sz w:val="20"/>
                <w:szCs w:val="20"/>
              </w:rPr>
              <w:t>)</w:t>
            </w:r>
          </w:p>
        </w:tc>
        <w:tc>
          <w:tcPr>
            <w:tcW w:w="225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ind w:right="-49"/>
              <w:rPr>
                <w:sz w:val="20"/>
                <w:szCs w:val="20"/>
              </w:rPr>
            </w:pPr>
            <w:r w:rsidRPr="00595DF7">
              <w:rPr>
                <w:sz w:val="20"/>
                <w:szCs w:val="20"/>
              </w:rPr>
              <w:t>Površina visinske zone 800–1000 m a.s.l (km</w:t>
            </w:r>
            <w:r w:rsidRPr="00595DF7">
              <w:rPr>
                <w:sz w:val="20"/>
                <w:szCs w:val="20"/>
                <w:vertAlign w:val="superscript"/>
              </w:rPr>
              <w:t>2</w:t>
            </w:r>
            <w:r w:rsidRPr="00595DF7">
              <w:rPr>
                <w:sz w:val="20"/>
                <w:szCs w:val="20"/>
              </w:rPr>
              <w:t>)</w:t>
            </w:r>
          </w:p>
        </w:tc>
      </w:tr>
      <w:tr w:rsidR="003D0C34" w:rsidRPr="00595DF7" w:rsidTr="00C056CF">
        <w:trPr>
          <w:jc w:val="center"/>
        </w:trPr>
        <w:tc>
          <w:tcPr>
            <w:tcW w:w="65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rPr>
                <w:sz w:val="20"/>
                <w:szCs w:val="20"/>
              </w:rPr>
            </w:pPr>
            <w:r w:rsidRPr="00595DF7">
              <w:rPr>
                <w:sz w:val="20"/>
                <w:szCs w:val="20"/>
              </w:rPr>
              <w:t>AREA_5</w:t>
            </w:r>
          </w:p>
        </w:tc>
        <w:tc>
          <w:tcPr>
            <w:tcW w:w="209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rsidP="00C056CF">
            <w:pPr>
              <w:widowControl w:val="0"/>
              <w:spacing w:line="240" w:lineRule="auto"/>
              <w:ind w:right="-49"/>
              <w:rPr>
                <w:sz w:val="20"/>
                <w:szCs w:val="20"/>
              </w:rPr>
            </w:pPr>
            <w:r w:rsidRPr="00595DF7">
              <w:rPr>
                <w:sz w:val="20"/>
                <w:szCs w:val="20"/>
              </w:rPr>
              <w:t>Area of altitudinal zone 1000–1500 m</w:t>
            </w:r>
            <w:r w:rsidR="00C056CF">
              <w:rPr>
                <w:sz w:val="20"/>
                <w:szCs w:val="20"/>
              </w:rPr>
              <w:t> </w:t>
            </w:r>
            <w:r w:rsidRPr="00595DF7">
              <w:rPr>
                <w:sz w:val="20"/>
                <w:szCs w:val="20"/>
              </w:rPr>
              <w:t>a.s.l. (km</w:t>
            </w:r>
            <w:r w:rsidRPr="00595DF7">
              <w:rPr>
                <w:sz w:val="20"/>
                <w:szCs w:val="20"/>
                <w:vertAlign w:val="superscript"/>
              </w:rPr>
              <w:t>2</w:t>
            </w:r>
            <w:r w:rsidRPr="00595DF7">
              <w:rPr>
                <w:sz w:val="20"/>
                <w:szCs w:val="20"/>
              </w:rPr>
              <w:t>)</w:t>
            </w:r>
          </w:p>
        </w:tc>
        <w:tc>
          <w:tcPr>
            <w:tcW w:w="225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rsidP="00C056CF">
            <w:pPr>
              <w:widowControl w:val="0"/>
              <w:spacing w:line="240" w:lineRule="auto"/>
              <w:ind w:right="-49"/>
              <w:rPr>
                <w:sz w:val="20"/>
                <w:szCs w:val="20"/>
              </w:rPr>
            </w:pPr>
            <w:r w:rsidRPr="00595DF7">
              <w:rPr>
                <w:sz w:val="20"/>
                <w:szCs w:val="20"/>
              </w:rPr>
              <w:t>Površina visinske zone 1000–1500 m</w:t>
            </w:r>
            <w:r w:rsidR="00C056CF">
              <w:rPr>
                <w:sz w:val="20"/>
                <w:szCs w:val="20"/>
              </w:rPr>
              <w:t> </w:t>
            </w:r>
            <w:r w:rsidRPr="00595DF7">
              <w:rPr>
                <w:sz w:val="20"/>
                <w:szCs w:val="20"/>
              </w:rPr>
              <w:t>a.s.l (km</w:t>
            </w:r>
            <w:r w:rsidRPr="00595DF7">
              <w:rPr>
                <w:sz w:val="20"/>
                <w:szCs w:val="20"/>
                <w:vertAlign w:val="superscript"/>
              </w:rPr>
              <w:t>2</w:t>
            </w:r>
            <w:r w:rsidRPr="00595DF7">
              <w:rPr>
                <w:sz w:val="20"/>
                <w:szCs w:val="20"/>
              </w:rPr>
              <w:t>)</w:t>
            </w:r>
          </w:p>
        </w:tc>
      </w:tr>
      <w:tr w:rsidR="003D0C34" w:rsidRPr="00595DF7" w:rsidTr="00C056CF">
        <w:trPr>
          <w:jc w:val="center"/>
        </w:trPr>
        <w:tc>
          <w:tcPr>
            <w:tcW w:w="65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rPr>
                <w:sz w:val="20"/>
                <w:szCs w:val="20"/>
              </w:rPr>
            </w:pPr>
            <w:r w:rsidRPr="00595DF7">
              <w:rPr>
                <w:sz w:val="20"/>
                <w:szCs w:val="20"/>
              </w:rPr>
              <w:t>AREA_6</w:t>
            </w:r>
          </w:p>
        </w:tc>
        <w:tc>
          <w:tcPr>
            <w:tcW w:w="209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ind w:right="-49"/>
              <w:rPr>
                <w:sz w:val="20"/>
                <w:szCs w:val="20"/>
              </w:rPr>
            </w:pPr>
            <w:r w:rsidRPr="00595DF7">
              <w:rPr>
                <w:sz w:val="20"/>
                <w:szCs w:val="20"/>
              </w:rPr>
              <w:t>Area of altitudinal zone over 1500 m a.s.l. (km</w:t>
            </w:r>
            <w:r w:rsidRPr="00595DF7">
              <w:rPr>
                <w:sz w:val="20"/>
                <w:szCs w:val="20"/>
                <w:vertAlign w:val="superscript"/>
              </w:rPr>
              <w:t>2</w:t>
            </w:r>
            <w:r w:rsidRPr="00595DF7">
              <w:rPr>
                <w:sz w:val="20"/>
                <w:szCs w:val="20"/>
              </w:rPr>
              <w:t>)</w:t>
            </w:r>
          </w:p>
        </w:tc>
        <w:tc>
          <w:tcPr>
            <w:tcW w:w="225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rsidP="00C056CF">
            <w:pPr>
              <w:widowControl w:val="0"/>
              <w:spacing w:line="240" w:lineRule="auto"/>
              <w:ind w:right="-49"/>
              <w:rPr>
                <w:sz w:val="20"/>
                <w:szCs w:val="20"/>
              </w:rPr>
            </w:pPr>
            <w:r w:rsidRPr="00595DF7">
              <w:rPr>
                <w:sz w:val="20"/>
                <w:szCs w:val="20"/>
              </w:rPr>
              <w:t>Površina visinske zone preko 1500 m</w:t>
            </w:r>
            <w:r w:rsidR="00C056CF">
              <w:rPr>
                <w:sz w:val="20"/>
                <w:szCs w:val="20"/>
              </w:rPr>
              <w:t> </w:t>
            </w:r>
            <w:r w:rsidRPr="00595DF7">
              <w:rPr>
                <w:sz w:val="20"/>
                <w:szCs w:val="20"/>
              </w:rPr>
              <w:t>a.s.l (km</w:t>
            </w:r>
            <w:r w:rsidRPr="00595DF7">
              <w:rPr>
                <w:sz w:val="20"/>
                <w:szCs w:val="20"/>
                <w:vertAlign w:val="superscript"/>
              </w:rPr>
              <w:t>2</w:t>
            </w:r>
            <w:r w:rsidRPr="00595DF7">
              <w:rPr>
                <w:sz w:val="20"/>
                <w:szCs w:val="20"/>
              </w:rPr>
              <w:t>)</w:t>
            </w:r>
          </w:p>
        </w:tc>
      </w:tr>
      <w:tr w:rsidR="003D0C34" w:rsidRPr="00595DF7" w:rsidTr="00C056CF">
        <w:trPr>
          <w:jc w:val="center"/>
        </w:trPr>
        <w:tc>
          <w:tcPr>
            <w:tcW w:w="65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rPr>
                <w:sz w:val="20"/>
                <w:szCs w:val="20"/>
              </w:rPr>
            </w:pPr>
            <w:r w:rsidRPr="00595DF7">
              <w:rPr>
                <w:sz w:val="20"/>
                <w:szCs w:val="20"/>
              </w:rPr>
              <w:t>POP_1</w:t>
            </w:r>
          </w:p>
        </w:tc>
        <w:tc>
          <w:tcPr>
            <w:tcW w:w="209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ind w:right="-49"/>
              <w:rPr>
                <w:sz w:val="20"/>
                <w:szCs w:val="20"/>
              </w:rPr>
            </w:pPr>
            <w:r w:rsidRPr="00595DF7">
              <w:rPr>
                <w:sz w:val="20"/>
                <w:szCs w:val="20"/>
              </w:rPr>
              <w:t>Population count in altitudinal zone up to 200 m a.s.l.</w:t>
            </w:r>
          </w:p>
        </w:tc>
        <w:tc>
          <w:tcPr>
            <w:tcW w:w="225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rsidP="00C056CF">
            <w:pPr>
              <w:widowControl w:val="0"/>
              <w:spacing w:line="240" w:lineRule="auto"/>
              <w:ind w:right="-49"/>
              <w:rPr>
                <w:sz w:val="20"/>
                <w:szCs w:val="20"/>
              </w:rPr>
            </w:pPr>
            <w:r w:rsidRPr="00595DF7">
              <w:rPr>
                <w:sz w:val="20"/>
                <w:szCs w:val="20"/>
              </w:rPr>
              <w:t>Broj stanovnika u visinskoj zoni do 200 m</w:t>
            </w:r>
            <w:r w:rsidR="00C056CF">
              <w:rPr>
                <w:sz w:val="20"/>
                <w:szCs w:val="20"/>
              </w:rPr>
              <w:t> </w:t>
            </w:r>
            <w:r w:rsidRPr="00595DF7">
              <w:rPr>
                <w:sz w:val="20"/>
                <w:szCs w:val="20"/>
              </w:rPr>
              <w:t xml:space="preserve">a.s.l. </w:t>
            </w:r>
          </w:p>
        </w:tc>
      </w:tr>
      <w:tr w:rsidR="003D0C34" w:rsidRPr="00595DF7" w:rsidTr="00C056CF">
        <w:trPr>
          <w:jc w:val="center"/>
        </w:trPr>
        <w:tc>
          <w:tcPr>
            <w:tcW w:w="65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rPr>
                <w:sz w:val="20"/>
                <w:szCs w:val="20"/>
              </w:rPr>
            </w:pPr>
            <w:r w:rsidRPr="00595DF7">
              <w:rPr>
                <w:sz w:val="20"/>
                <w:szCs w:val="20"/>
              </w:rPr>
              <w:t>POP_2</w:t>
            </w:r>
          </w:p>
        </w:tc>
        <w:tc>
          <w:tcPr>
            <w:tcW w:w="209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ind w:right="-49"/>
              <w:rPr>
                <w:sz w:val="20"/>
                <w:szCs w:val="20"/>
              </w:rPr>
            </w:pPr>
            <w:r w:rsidRPr="00595DF7">
              <w:rPr>
                <w:sz w:val="20"/>
                <w:szCs w:val="20"/>
              </w:rPr>
              <w:t>Population count in altitudinal zone 200–500 m a.s.l.</w:t>
            </w:r>
          </w:p>
        </w:tc>
        <w:tc>
          <w:tcPr>
            <w:tcW w:w="225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ind w:right="-49"/>
              <w:rPr>
                <w:sz w:val="20"/>
                <w:szCs w:val="20"/>
              </w:rPr>
            </w:pPr>
            <w:r w:rsidRPr="00595DF7">
              <w:rPr>
                <w:sz w:val="20"/>
                <w:szCs w:val="20"/>
              </w:rPr>
              <w:t>Broj stanovnika u visinskoj zoni 200–500 m a.s.l</w:t>
            </w:r>
          </w:p>
        </w:tc>
      </w:tr>
      <w:tr w:rsidR="003D0C34" w:rsidRPr="00595DF7" w:rsidTr="00C056CF">
        <w:trPr>
          <w:jc w:val="center"/>
        </w:trPr>
        <w:tc>
          <w:tcPr>
            <w:tcW w:w="65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rPr>
                <w:sz w:val="20"/>
                <w:szCs w:val="20"/>
              </w:rPr>
            </w:pPr>
            <w:r w:rsidRPr="00595DF7">
              <w:rPr>
                <w:sz w:val="20"/>
                <w:szCs w:val="20"/>
              </w:rPr>
              <w:t>POP_3</w:t>
            </w:r>
          </w:p>
        </w:tc>
        <w:tc>
          <w:tcPr>
            <w:tcW w:w="209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ind w:right="-49"/>
              <w:rPr>
                <w:sz w:val="20"/>
                <w:szCs w:val="20"/>
              </w:rPr>
            </w:pPr>
            <w:r w:rsidRPr="00595DF7">
              <w:rPr>
                <w:sz w:val="20"/>
                <w:szCs w:val="20"/>
              </w:rPr>
              <w:t>Population count in altitudinal zone 500–800 m a.s.l</w:t>
            </w:r>
          </w:p>
        </w:tc>
        <w:tc>
          <w:tcPr>
            <w:tcW w:w="225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ind w:right="-49"/>
              <w:rPr>
                <w:sz w:val="20"/>
                <w:szCs w:val="20"/>
              </w:rPr>
            </w:pPr>
            <w:r w:rsidRPr="00595DF7">
              <w:rPr>
                <w:sz w:val="20"/>
                <w:szCs w:val="20"/>
              </w:rPr>
              <w:t>Broj stanovnika u visinskoj zoni 500–800 m a.s.l</w:t>
            </w:r>
          </w:p>
        </w:tc>
      </w:tr>
      <w:tr w:rsidR="003D0C34" w:rsidRPr="00595DF7" w:rsidTr="00C056CF">
        <w:trPr>
          <w:jc w:val="center"/>
        </w:trPr>
        <w:tc>
          <w:tcPr>
            <w:tcW w:w="65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rPr>
                <w:sz w:val="20"/>
                <w:szCs w:val="20"/>
              </w:rPr>
            </w:pPr>
            <w:r w:rsidRPr="00595DF7">
              <w:rPr>
                <w:sz w:val="20"/>
                <w:szCs w:val="20"/>
              </w:rPr>
              <w:t>POP_4</w:t>
            </w:r>
          </w:p>
        </w:tc>
        <w:tc>
          <w:tcPr>
            <w:tcW w:w="209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ind w:right="-49"/>
              <w:rPr>
                <w:sz w:val="20"/>
                <w:szCs w:val="20"/>
              </w:rPr>
            </w:pPr>
            <w:r w:rsidRPr="00595DF7">
              <w:rPr>
                <w:sz w:val="20"/>
                <w:szCs w:val="20"/>
              </w:rPr>
              <w:t>Population count in altitudinal zone 800–1000 m a.s.l</w:t>
            </w:r>
          </w:p>
        </w:tc>
        <w:tc>
          <w:tcPr>
            <w:tcW w:w="225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ind w:right="-49"/>
              <w:rPr>
                <w:sz w:val="20"/>
                <w:szCs w:val="20"/>
              </w:rPr>
            </w:pPr>
            <w:r w:rsidRPr="00595DF7">
              <w:rPr>
                <w:sz w:val="20"/>
                <w:szCs w:val="20"/>
              </w:rPr>
              <w:t>Broj stanovnika u visinskoj zoni 800–1000 m a.s.l</w:t>
            </w:r>
          </w:p>
        </w:tc>
      </w:tr>
      <w:tr w:rsidR="003D0C34" w:rsidRPr="00595DF7" w:rsidTr="00C056CF">
        <w:trPr>
          <w:jc w:val="center"/>
        </w:trPr>
        <w:tc>
          <w:tcPr>
            <w:tcW w:w="65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rPr>
                <w:sz w:val="20"/>
                <w:szCs w:val="20"/>
              </w:rPr>
            </w:pPr>
            <w:r w:rsidRPr="00595DF7">
              <w:rPr>
                <w:sz w:val="20"/>
                <w:szCs w:val="20"/>
              </w:rPr>
              <w:t>POP_5</w:t>
            </w:r>
          </w:p>
        </w:tc>
        <w:tc>
          <w:tcPr>
            <w:tcW w:w="209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ind w:right="-49"/>
              <w:rPr>
                <w:sz w:val="20"/>
                <w:szCs w:val="20"/>
              </w:rPr>
            </w:pPr>
            <w:r w:rsidRPr="00595DF7">
              <w:rPr>
                <w:sz w:val="20"/>
                <w:szCs w:val="20"/>
              </w:rPr>
              <w:t>Population count in altitudinal zone 1000–1500 m a.s.l</w:t>
            </w:r>
          </w:p>
        </w:tc>
        <w:tc>
          <w:tcPr>
            <w:tcW w:w="225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ind w:right="-49"/>
              <w:rPr>
                <w:sz w:val="20"/>
                <w:szCs w:val="20"/>
              </w:rPr>
            </w:pPr>
            <w:r w:rsidRPr="00595DF7">
              <w:rPr>
                <w:sz w:val="20"/>
                <w:szCs w:val="20"/>
              </w:rPr>
              <w:t>Broj stanovnika u visinskoj zoni 1000–1500 m a.s.l</w:t>
            </w:r>
          </w:p>
        </w:tc>
      </w:tr>
      <w:tr w:rsidR="003D0C34" w:rsidRPr="00595DF7" w:rsidTr="00C056CF">
        <w:trPr>
          <w:jc w:val="center"/>
        </w:trPr>
        <w:tc>
          <w:tcPr>
            <w:tcW w:w="65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rPr>
                <w:sz w:val="20"/>
                <w:szCs w:val="20"/>
              </w:rPr>
            </w:pPr>
            <w:r w:rsidRPr="00595DF7">
              <w:rPr>
                <w:sz w:val="20"/>
                <w:szCs w:val="20"/>
              </w:rPr>
              <w:lastRenderedPageBreak/>
              <w:t>POP_6</w:t>
            </w:r>
          </w:p>
        </w:tc>
        <w:tc>
          <w:tcPr>
            <w:tcW w:w="209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ind w:right="-49"/>
              <w:rPr>
                <w:sz w:val="20"/>
                <w:szCs w:val="20"/>
              </w:rPr>
            </w:pPr>
            <w:r w:rsidRPr="00595DF7">
              <w:rPr>
                <w:sz w:val="20"/>
                <w:szCs w:val="20"/>
              </w:rPr>
              <w:t>Population count in altitudinal over 1500 m a.s.l.</w:t>
            </w:r>
          </w:p>
        </w:tc>
        <w:tc>
          <w:tcPr>
            <w:tcW w:w="225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ind w:right="-49"/>
              <w:rPr>
                <w:sz w:val="20"/>
                <w:szCs w:val="20"/>
              </w:rPr>
            </w:pPr>
            <w:r w:rsidRPr="00595DF7">
              <w:rPr>
                <w:sz w:val="20"/>
                <w:szCs w:val="20"/>
              </w:rPr>
              <w:t xml:space="preserve">Broj stanovnika u visinskoj zoni preko 1500 m a.s.l </w:t>
            </w:r>
          </w:p>
        </w:tc>
      </w:tr>
      <w:tr w:rsidR="003D0C34" w:rsidRPr="00595DF7" w:rsidTr="00C056CF">
        <w:trPr>
          <w:jc w:val="center"/>
        </w:trPr>
        <w:tc>
          <w:tcPr>
            <w:tcW w:w="65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rPr>
                <w:sz w:val="20"/>
                <w:szCs w:val="20"/>
              </w:rPr>
            </w:pPr>
            <w:r w:rsidRPr="00595DF7">
              <w:rPr>
                <w:sz w:val="20"/>
                <w:szCs w:val="20"/>
              </w:rPr>
              <w:t>DENS_1</w:t>
            </w:r>
          </w:p>
        </w:tc>
        <w:tc>
          <w:tcPr>
            <w:tcW w:w="209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ind w:right="-49"/>
              <w:rPr>
                <w:sz w:val="20"/>
                <w:szCs w:val="20"/>
              </w:rPr>
            </w:pPr>
            <w:r w:rsidRPr="00595DF7">
              <w:rPr>
                <w:sz w:val="20"/>
                <w:szCs w:val="20"/>
              </w:rPr>
              <w:t>Population density in altitudinal zone up to 200 m a.s.l. (inh./km</w:t>
            </w:r>
            <w:r w:rsidRPr="00595DF7">
              <w:rPr>
                <w:sz w:val="20"/>
                <w:szCs w:val="20"/>
                <w:vertAlign w:val="superscript"/>
              </w:rPr>
              <w:t>2</w:t>
            </w:r>
            <w:r w:rsidRPr="00595DF7">
              <w:rPr>
                <w:sz w:val="20"/>
                <w:szCs w:val="20"/>
              </w:rPr>
              <w:t>)</w:t>
            </w:r>
          </w:p>
        </w:tc>
        <w:tc>
          <w:tcPr>
            <w:tcW w:w="225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ind w:right="-49"/>
              <w:rPr>
                <w:sz w:val="20"/>
                <w:szCs w:val="20"/>
              </w:rPr>
            </w:pPr>
            <w:r w:rsidRPr="00595DF7">
              <w:rPr>
                <w:sz w:val="20"/>
                <w:szCs w:val="20"/>
              </w:rPr>
              <w:t>Gustina naseljenosti u visinskoj zoni do 200 m a.s.l. (st/km</w:t>
            </w:r>
            <w:r w:rsidRPr="00595DF7">
              <w:rPr>
                <w:sz w:val="20"/>
                <w:szCs w:val="20"/>
                <w:vertAlign w:val="superscript"/>
              </w:rPr>
              <w:t>2</w:t>
            </w:r>
            <w:r w:rsidRPr="00595DF7">
              <w:rPr>
                <w:sz w:val="20"/>
                <w:szCs w:val="20"/>
              </w:rPr>
              <w:t>)</w:t>
            </w:r>
          </w:p>
        </w:tc>
      </w:tr>
      <w:tr w:rsidR="003D0C34" w:rsidRPr="00595DF7" w:rsidTr="00C056CF">
        <w:trPr>
          <w:jc w:val="center"/>
        </w:trPr>
        <w:tc>
          <w:tcPr>
            <w:tcW w:w="65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rPr>
                <w:sz w:val="20"/>
                <w:szCs w:val="20"/>
              </w:rPr>
            </w:pPr>
            <w:r w:rsidRPr="00595DF7">
              <w:rPr>
                <w:sz w:val="20"/>
                <w:szCs w:val="20"/>
              </w:rPr>
              <w:t>DENS_2</w:t>
            </w:r>
          </w:p>
        </w:tc>
        <w:tc>
          <w:tcPr>
            <w:tcW w:w="209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ind w:right="-49"/>
              <w:rPr>
                <w:sz w:val="20"/>
                <w:szCs w:val="20"/>
              </w:rPr>
            </w:pPr>
            <w:r w:rsidRPr="00595DF7">
              <w:rPr>
                <w:sz w:val="20"/>
                <w:szCs w:val="20"/>
              </w:rPr>
              <w:t>Population density in altitudinal zone 200–500 m a.s.l. (inh./km</w:t>
            </w:r>
            <w:r w:rsidRPr="00595DF7">
              <w:rPr>
                <w:sz w:val="20"/>
                <w:szCs w:val="20"/>
                <w:vertAlign w:val="superscript"/>
              </w:rPr>
              <w:t>2</w:t>
            </w:r>
            <w:r w:rsidRPr="00595DF7">
              <w:rPr>
                <w:sz w:val="20"/>
                <w:szCs w:val="20"/>
              </w:rPr>
              <w:t>)</w:t>
            </w:r>
          </w:p>
        </w:tc>
        <w:tc>
          <w:tcPr>
            <w:tcW w:w="225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ind w:right="-49"/>
              <w:rPr>
                <w:sz w:val="20"/>
                <w:szCs w:val="20"/>
              </w:rPr>
            </w:pPr>
            <w:r w:rsidRPr="00595DF7">
              <w:rPr>
                <w:sz w:val="20"/>
                <w:szCs w:val="20"/>
              </w:rPr>
              <w:t>Gustina naseljenosti u visinskoj zoni 200–500 m a.s.l (st/km</w:t>
            </w:r>
            <w:r w:rsidRPr="00595DF7">
              <w:rPr>
                <w:sz w:val="20"/>
                <w:szCs w:val="20"/>
                <w:vertAlign w:val="superscript"/>
              </w:rPr>
              <w:t>2</w:t>
            </w:r>
            <w:r w:rsidRPr="00595DF7">
              <w:rPr>
                <w:sz w:val="20"/>
                <w:szCs w:val="20"/>
              </w:rPr>
              <w:t>)</w:t>
            </w:r>
          </w:p>
        </w:tc>
      </w:tr>
      <w:tr w:rsidR="003D0C34" w:rsidRPr="00595DF7" w:rsidTr="00C056CF">
        <w:trPr>
          <w:jc w:val="center"/>
        </w:trPr>
        <w:tc>
          <w:tcPr>
            <w:tcW w:w="65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rPr>
                <w:sz w:val="20"/>
                <w:szCs w:val="20"/>
              </w:rPr>
            </w:pPr>
            <w:r w:rsidRPr="00595DF7">
              <w:rPr>
                <w:sz w:val="20"/>
                <w:szCs w:val="20"/>
              </w:rPr>
              <w:t>DENS_3</w:t>
            </w:r>
          </w:p>
        </w:tc>
        <w:tc>
          <w:tcPr>
            <w:tcW w:w="209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ind w:right="-49"/>
              <w:rPr>
                <w:sz w:val="20"/>
                <w:szCs w:val="20"/>
              </w:rPr>
            </w:pPr>
            <w:r w:rsidRPr="00595DF7">
              <w:rPr>
                <w:sz w:val="20"/>
                <w:szCs w:val="20"/>
              </w:rPr>
              <w:t>Population density in altitudinal zone 500–800 m a.s.l (inh./km</w:t>
            </w:r>
            <w:r w:rsidRPr="00595DF7">
              <w:rPr>
                <w:sz w:val="20"/>
                <w:szCs w:val="20"/>
                <w:vertAlign w:val="superscript"/>
              </w:rPr>
              <w:t>2</w:t>
            </w:r>
            <w:r w:rsidRPr="00595DF7">
              <w:rPr>
                <w:sz w:val="20"/>
                <w:szCs w:val="20"/>
              </w:rPr>
              <w:t>)</w:t>
            </w:r>
          </w:p>
        </w:tc>
        <w:tc>
          <w:tcPr>
            <w:tcW w:w="225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ind w:right="-49"/>
              <w:rPr>
                <w:sz w:val="20"/>
                <w:szCs w:val="20"/>
              </w:rPr>
            </w:pPr>
            <w:r w:rsidRPr="00595DF7">
              <w:rPr>
                <w:sz w:val="20"/>
                <w:szCs w:val="20"/>
              </w:rPr>
              <w:t>Gustina naseljenosti u visinskoj zoni 500–800 m a.s.l (st/km</w:t>
            </w:r>
            <w:r w:rsidRPr="00595DF7">
              <w:rPr>
                <w:sz w:val="20"/>
                <w:szCs w:val="20"/>
                <w:vertAlign w:val="superscript"/>
              </w:rPr>
              <w:t>2</w:t>
            </w:r>
            <w:r w:rsidRPr="00595DF7">
              <w:rPr>
                <w:sz w:val="20"/>
                <w:szCs w:val="20"/>
              </w:rPr>
              <w:t>)</w:t>
            </w:r>
          </w:p>
        </w:tc>
      </w:tr>
      <w:tr w:rsidR="003D0C34" w:rsidRPr="00595DF7" w:rsidTr="00C056CF">
        <w:trPr>
          <w:jc w:val="center"/>
        </w:trPr>
        <w:tc>
          <w:tcPr>
            <w:tcW w:w="65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rPr>
                <w:sz w:val="20"/>
                <w:szCs w:val="20"/>
              </w:rPr>
            </w:pPr>
            <w:r w:rsidRPr="00595DF7">
              <w:rPr>
                <w:sz w:val="20"/>
                <w:szCs w:val="20"/>
              </w:rPr>
              <w:t>DENS_4</w:t>
            </w:r>
          </w:p>
        </w:tc>
        <w:tc>
          <w:tcPr>
            <w:tcW w:w="209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ind w:right="-49"/>
              <w:rPr>
                <w:sz w:val="20"/>
                <w:szCs w:val="20"/>
              </w:rPr>
            </w:pPr>
            <w:r w:rsidRPr="00595DF7">
              <w:rPr>
                <w:sz w:val="20"/>
                <w:szCs w:val="20"/>
              </w:rPr>
              <w:t>Population density in altitudinal zone 800–1000 m a.s.l (inh./km</w:t>
            </w:r>
            <w:r w:rsidRPr="00595DF7">
              <w:rPr>
                <w:sz w:val="20"/>
                <w:szCs w:val="20"/>
                <w:vertAlign w:val="superscript"/>
              </w:rPr>
              <w:t>2</w:t>
            </w:r>
            <w:r w:rsidRPr="00595DF7">
              <w:rPr>
                <w:sz w:val="20"/>
                <w:szCs w:val="20"/>
              </w:rPr>
              <w:t>)</w:t>
            </w:r>
          </w:p>
        </w:tc>
        <w:tc>
          <w:tcPr>
            <w:tcW w:w="225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ind w:right="-49"/>
              <w:rPr>
                <w:sz w:val="20"/>
                <w:szCs w:val="20"/>
              </w:rPr>
            </w:pPr>
            <w:r w:rsidRPr="00595DF7">
              <w:rPr>
                <w:sz w:val="20"/>
                <w:szCs w:val="20"/>
              </w:rPr>
              <w:t>Gustina naseljenosti u visinskoj zoni 800–1000 m a.s.l (st/km</w:t>
            </w:r>
            <w:r w:rsidRPr="00595DF7">
              <w:rPr>
                <w:sz w:val="20"/>
                <w:szCs w:val="20"/>
                <w:vertAlign w:val="superscript"/>
              </w:rPr>
              <w:t>2</w:t>
            </w:r>
            <w:r w:rsidRPr="00595DF7">
              <w:rPr>
                <w:sz w:val="20"/>
                <w:szCs w:val="20"/>
              </w:rPr>
              <w:t>)</w:t>
            </w:r>
          </w:p>
        </w:tc>
      </w:tr>
      <w:tr w:rsidR="003D0C34" w:rsidRPr="00595DF7" w:rsidTr="00C056CF">
        <w:trPr>
          <w:jc w:val="center"/>
        </w:trPr>
        <w:tc>
          <w:tcPr>
            <w:tcW w:w="65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rPr>
                <w:sz w:val="20"/>
                <w:szCs w:val="20"/>
              </w:rPr>
            </w:pPr>
            <w:r w:rsidRPr="00595DF7">
              <w:rPr>
                <w:sz w:val="20"/>
                <w:szCs w:val="20"/>
              </w:rPr>
              <w:t>DENS_5</w:t>
            </w:r>
          </w:p>
        </w:tc>
        <w:tc>
          <w:tcPr>
            <w:tcW w:w="209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ind w:right="-49"/>
              <w:rPr>
                <w:sz w:val="20"/>
                <w:szCs w:val="20"/>
              </w:rPr>
            </w:pPr>
            <w:r w:rsidRPr="00595DF7">
              <w:rPr>
                <w:sz w:val="20"/>
                <w:szCs w:val="20"/>
              </w:rPr>
              <w:t>Population density in altitudinal zone 1000–1500 m a.s.l (inh./km</w:t>
            </w:r>
            <w:r w:rsidRPr="00595DF7">
              <w:rPr>
                <w:sz w:val="20"/>
                <w:szCs w:val="20"/>
                <w:vertAlign w:val="superscript"/>
              </w:rPr>
              <w:t>2</w:t>
            </w:r>
            <w:r w:rsidRPr="00595DF7">
              <w:rPr>
                <w:sz w:val="20"/>
                <w:szCs w:val="20"/>
              </w:rPr>
              <w:t>)</w:t>
            </w:r>
          </w:p>
        </w:tc>
        <w:tc>
          <w:tcPr>
            <w:tcW w:w="225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ind w:right="-49"/>
              <w:rPr>
                <w:sz w:val="20"/>
                <w:szCs w:val="20"/>
              </w:rPr>
            </w:pPr>
            <w:r w:rsidRPr="00595DF7">
              <w:rPr>
                <w:sz w:val="20"/>
                <w:szCs w:val="20"/>
              </w:rPr>
              <w:t>Gustina naseljenosti u visinskoj zoni 1000–1500 m a.s.l (st/km</w:t>
            </w:r>
            <w:r w:rsidRPr="00595DF7">
              <w:rPr>
                <w:sz w:val="20"/>
                <w:szCs w:val="20"/>
                <w:vertAlign w:val="superscript"/>
              </w:rPr>
              <w:t>2</w:t>
            </w:r>
            <w:r w:rsidRPr="00595DF7">
              <w:rPr>
                <w:sz w:val="20"/>
                <w:szCs w:val="20"/>
              </w:rPr>
              <w:t>)</w:t>
            </w:r>
          </w:p>
        </w:tc>
      </w:tr>
      <w:tr w:rsidR="003D0C34" w:rsidRPr="00595DF7" w:rsidTr="00C056CF">
        <w:trPr>
          <w:jc w:val="center"/>
        </w:trPr>
        <w:tc>
          <w:tcPr>
            <w:tcW w:w="65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rPr>
                <w:sz w:val="20"/>
                <w:szCs w:val="20"/>
              </w:rPr>
            </w:pPr>
            <w:r w:rsidRPr="00595DF7">
              <w:rPr>
                <w:sz w:val="20"/>
                <w:szCs w:val="20"/>
              </w:rPr>
              <w:t>DENS_6</w:t>
            </w:r>
          </w:p>
        </w:tc>
        <w:tc>
          <w:tcPr>
            <w:tcW w:w="209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ind w:right="-49"/>
              <w:rPr>
                <w:sz w:val="20"/>
                <w:szCs w:val="20"/>
              </w:rPr>
            </w:pPr>
            <w:r w:rsidRPr="00595DF7">
              <w:rPr>
                <w:sz w:val="20"/>
                <w:szCs w:val="20"/>
              </w:rPr>
              <w:t>Population count in altitudinal over 1500 m a.s.l. (inh./km</w:t>
            </w:r>
            <w:r w:rsidRPr="00595DF7">
              <w:rPr>
                <w:sz w:val="20"/>
                <w:szCs w:val="20"/>
                <w:vertAlign w:val="superscript"/>
              </w:rPr>
              <w:t>2</w:t>
            </w:r>
            <w:r w:rsidRPr="00595DF7">
              <w:rPr>
                <w:sz w:val="20"/>
                <w:szCs w:val="20"/>
              </w:rPr>
              <w:t>)</w:t>
            </w:r>
          </w:p>
        </w:tc>
        <w:tc>
          <w:tcPr>
            <w:tcW w:w="225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0C34" w:rsidRPr="00595DF7" w:rsidRDefault="00285B47">
            <w:pPr>
              <w:widowControl w:val="0"/>
              <w:spacing w:line="240" w:lineRule="auto"/>
              <w:ind w:right="-49"/>
              <w:rPr>
                <w:sz w:val="20"/>
                <w:szCs w:val="20"/>
              </w:rPr>
            </w:pPr>
            <w:r w:rsidRPr="00595DF7">
              <w:rPr>
                <w:sz w:val="20"/>
                <w:szCs w:val="20"/>
              </w:rPr>
              <w:t>Gustina naseljenosti u visinskoj zoni preko 1500 m a.s.l (st/km</w:t>
            </w:r>
            <w:r w:rsidRPr="00595DF7">
              <w:rPr>
                <w:sz w:val="20"/>
                <w:szCs w:val="20"/>
                <w:vertAlign w:val="superscript"/>
              </w:rPr>
              <w:t>2</w:t>
            </w:r>
            <w:r w:rsidRPr="00595DF7">
              <w:rPr>
                <w:sz w:val="20"/>
                <w:szCs w:val="20"/>
              </w:rPr>
              <w:t>)</w:t>
            </w:r>
          </w:p>
        </w:tc>
      </w:tr>
    </w:tbl>
    <w:p w:rsidR="003D0C34" w:rsidRDefault="003D0C34"/>
    <w:p w:rsidR="00F60BCF" w:rsidRDefault="00A67419" w:rsidP="00A67419">
      <w:r w:rsidRPr="007B781E">
        <w:rPr>
          <w:rFonts w:eastAsia="Cambria"/>
          <w:i/>
        </w:rPr>
        <w:t>Note</w:t>
      </w:r>
      <w:r w:rsidRPr="007B781E">
        <w:rPr>
          <w:rFonts w:eastAsia="Cambria"/>
        </w:rPr>
        <w:t>.</w:t>
      </w:r>
      <w:r w:rsidRPr="007B781E">
        <w:rPr>
          <w:rFonts w:ascii="Cambria" w:eastAsia="Cambria" w:hAnsi="Cambria" w:cs="Cambria"/>
        </w:rPr>
        <w:t xml:space="preserve"> </w:t>
      </w:r>
      <w:r w:rsidR="00285B47">
        <w:rPr>
          <w:rFonts w:ascii="Cambria" w:eastAsia="Cambria" w:hAnsi="Cambria" w:cs="Cambria"/>
        </w:rPr>
        <w:t>–</w:t>
      </w:r>
      <w:r w:rsidR="00285B47">
        <w:t xml:space="preserve">9999 </w:t>
      </w:r>
      <w:r w:rsidR="00595DF7">
        <w:t xml:space="preserve">= </w:t>
      </w:r>
      <w:r w:rsidR="00285B47">
        <w:t>No permanent inhabitants</w:t>
      </w:r>
      <w:r>
        <w:t xml:space="preserve">; </w:t>
      </w:r>
      <w:r w:rsidR="00285B47">
        <w:rPr>
          <w:rFonts w:ascii="Cambria" w:eastAsia="Cambria" w:hAnsi="Cambria" w:cs="Cambria"/>
        </w:rPr>
        <w:t>–</w:t>
      </w:r>
      <w:r w:rsidR="00285B47">
        <w:t>99999</w:t>
      </w:r>
      <w:r w:rsidR="00595DF7">
        <w:t xml:space="preserve"> =</w:t>
      </w:r>
      <w:r w:rsidR="00285B47">
        <w:t xml:space="preserve"> No Data</w:t>
      </w:r>
    </w:p>
    <w:p w:rsidR="00595DF7" w:rsidRDefault="00595DF7" w:rsidP="00A67419"/>
    <w:p w:rsidR="00A67419" w:rsidRDefault="00A67419" w:rsidP="00285B47">
      <w:pPr>
        <w:jc w:val="both"/>
      </w:pPr>
      <w:r w:rsidRPr="00FB47B2">
        <w:rPr>
          <w:b/>
        </w:rPr>
        <w:t>Description of Indicator</w:t>
      </w:r>
      <w:r>
        <w:rPr>
          <w:b/>
        </w:rPr>
        <w:t>:</w:t>
      </w:r>
      <w:r w:rsidR="00692EE2">
        <w:rPr>
          <w:b/>
        </w:rPr>
        <w:t xml:space="preserve"> </w:t>
      </w:r>
      <w:r w:rsidR="00F60BCF" w:rsidRPr="00F60BCF">
        <w:t>Altitudinal Conditionality of the Population Density’ Changes</w:t>
      </w:r>
      <w:r w:rsidR="00A75076">
        <w:t xml:space="preserve"> </w:t>
      </w:r>
      <w:r w:rsidR="00F60BCF">
        <w:t xml:space="preserve"> </w:t>
      </w:r>
      <w:r w:rsidR="0020067A">
        <w:t xml:space="preserve"> indicator shows the population density (inh./km</w:t>
      </w:r>
      <w:r w:rsidR="0020067A" w:rsidRPr="0020067A">
        <w:rPr>
          <w:vertAlign w:val="superscript"/>
        </w:rPr>
        <w:t>2</w:t>
      </w:r>
      <w:r w:rsidR="00B475EE">
        <w:t>) by hypsometric zones (&lt;</w:t>
      </w:r>
      <w:r w:rsidR="00285B47">
        <w:t xml:space="preserve"> </w:t>
      </w:r>
      <w:r w:rsidR="00B475EE">
        <w:t xml:space="preserve">200 </w:t>
      </w:r>
      <w:r w:rsidR="00B475EE" w:rsidRPr="00B475EE">
        <w:t>m a.s.l.,</w:t>
      </w:r>
      <w:r w:rsidR="00B475EE">
        <w:t xml:space="preserve"> 200–</w:t>
      </w:r>
      <w:r w:rsidR="00B475EE" w:rsidRPr="00B475EE">
        <w:t>500 m a.s.l., 500–800 m a.s.l., 800–1000 m a.s.l., 1000–1500 m a.s.l., &gt; 1500 m a.s.l.</w:t>
      </w:r>
      <w:r w:rsidR="00B475EE">
        <w:t xml:space="preserve">) </w:t>
      </w:r>
      <w:r w:rsidR="00285B47">
        <w:t>within settlement</w:t>
      </w:r>
      <w:r w:rsidR="009D2928">
        <w:t>/municipality</w:t>
      </w:r>
      <w:r w:rsidR="00285B47">
        <w:t xml:space="preserve">. </w:t>
      </w:r>
      <w:r w:rsidR="00A75076" w:rsidRPr="006855F0">
        <w:t>Altitude is usually treated as one of the limiting factors of the population’s spatial distribution. With the change of altitude, the morphological types of settlements also change, and as a result, the concentration of the population in an area varies.</w:t>
      </w:r>
      <w:r w:rsidR="00285B47">
        <w:t xml:space="preserve"> For</w:t>
      </w:r>
      <w:r w:rsidR="008A37E0">
        <w:t xml:space="preserve"> the</w:t>
      </w:r>
      <w:r w:rsidR="00285B47">
        <w:t xml:space="preserve"> indicator calculation, the area under </w:t>
      </w:r>
      <w:r w:rsidR="001062C2">
        <w:t xml:space="preserve">a </w:t>
      </w:r>
      <w:r w:rsidR="00285B47">
        <w:t xml:space="preserve">certain hypsometric zone and population count for </w:t>
      </w:r>
      <w:r w:rsidR="001062C2">
        <w:t xml:space="preserve">the </w:t>
      </w:r>
      <w:r w:rsidR="00285B47">
        <w:t>same zone were calculated. The density (inh./km</w:t>
      </w:r>
      <w:r w:rsidR="00285B47" w:rsidRPr="00285B47">
        <w:rPr>
          <w:vertAlign w:val="superscript"/>
        </w:rPr>
        <w:t>2</w:t>
      </w:r>
      <w:r w:rsidR="00285B47">
        <w:t>) is calculated</w:t>
      </w:r>
      <w:r w:rsidR="001062C2">
        <w:t xml:space="preserve"> by</w:t>
      </w:r>
      <w:r w:rsidR="00285B47">
        <w:t xml:space="preserve"> dividing the population count by </w:t>
      </w:r>
      <w:r w:rsidR="001062C2">
        <w:t xml:space="preserve">the </w:t>
      </w:r>
      <w:r w:rsidR="00285B47">
        <w:t xml:space="preserve">area of </w:t>
      </w:r>
      <w:r w:rsidR="001062C2">
        <w:t xml:space="preserve">the </w:t>
      </w:r>
      <w:r w:rsidR="00285B47">
        <w:t>hypsometric zone for settlement</w:t>
      </w:r>
      <w:r w:rsidR="009D2928">
        <w:t>/municipality</w:t>
      </w:r>
      <w:r w:rsidR="00285B47">
        <w:t>.</w:t>
      </w:r>
    </w:p>
    <w:p w:rsidR="00285B47" w:rsidRDefault="00285B47" w:rsidP="00285B47">
      <w:pPr>
        <w:jc w:val="both"/>
        <w:rPr>
          <w:b/>
        </w:rPr>
      </w:pPr>
    </w:p>
    <w:p w:rsidR="00595DF7" w:rsidRDefault="00595DF7" w:rsidP="00285B47">
      <w:pPr>
        <w:jc w:val="both"/>
        <w:rPr>
          <w:b/>
        </w:rPr>
      </w:pPr>
    </w:p>
    <w:p w:rsidR="00A67419" w:rsidRPr="00FB47B2" w:rsidRDefault="00A67419" w:rsidP="00A67419">
      <w:pPr>
        <w:rPr>
          <w:b/>
        </w:rPr>
      </w:pPr>
      <w:r w:rsidRPr="00FB47B2">
        <w:rPr>
          <w:b/>
        </w:rPr>
        <w:t>Source data for indicator calculation</w:t>
      </w:r>
    </w:p>
    <w:tbl>
      <w:tblPr>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510"/>
      </w:tblGrid>
      <w:tr w:rsidR="00A67419" w:rsidTr="000844F1">
        <w:tc>
          <w:tcPr>
            <w:tcW w:w="2490" w:type="dxa"/>
            <w:shd w:val="clear" w:color="auto" w:fill="9BBB59" w:themeFill="accent3"/>
            <w:tcMar>
              <w:top w:w="100" w:type="dxa"/>
              <w:left w:w="100" w:type="dxa"/>
              <w:bottom w:w="100" w:type="dxa"/>
              <w:right w:w="100" w:type="dxa"/>
            </w:tcMar>
          </w:tcPr>
          <w:p w:rsidR="00A67419" w:rsidRDefault="00A67419" w:rsidP="00595DF7">
            <w:pPr>
              <w:widowControl w:val="0"/>
              <w:pBdr>
                <w:top w:val="nil"/>
                <w:left w:val="nil"/>
                <w:bottom w:val="nil"/>
                <w:right w:val="nil"/>
                <w:between w:val="nil"/>
              </w:pBdr>
              <w:spacing w:line="240" w:lineRule="auto"/>
              <w:jc w:val="center"/>
              <w:rPr>
                <w:b/>
              </w:rPr>
            </w:pPr>
            <w:r>
              <w:rPr>
                <w:b/>
              </w:rPr>
              <w:t>Type of data</w:t>
            </w:r>
          </w:p>
        </w:tc>
        <w:tc>
          <w:tcPr>
            <w:tcW w:w="6510" w:type="dxa"/>
            <w:shd w:val="clear" w:color="auto" w:fill="9BBB59" w:themeFill="accent3"/>
            <w:tcMar>
              <w:top w:w="100" w:type="dxa"/>
              <w:left w:w="100" w:type="dxa"/>
              <w:bottom w:w="100" w:type="dxa"/>
              <w:right w:w="100" w:type="dxa"/>
            </w:tcMar>
          </w:tcPr>
          <w:p w:rsidR="00A67419" w:rsidRDefault="00A67419" w:rsidP="00595DF7">
            <w:pPr>
              <w:widowControl w:val="0"/>
              <w:pBdr>
                <w:top w:val="nil"/>
                <w:left w:val="nil"/>
                <w:bottom w:val="nil"/>
                <w:right w:val="nil"/>
                <w:between w:val="nil"/>
              </w:pBdr>
              <w:spacing w:line="240" w:lineRule="auto"/>
              <w:jc w:val="center"/>
              <w:rPr>
                <w:b/>
              </w:rPr>
            </w:pPr>
            <w:r>
              <w:rPr>
                <w:b/>
              </w:rPr>
              <w:t>Source</w:t>
            </w:r>
          </w:p>
        </w:tc>
      </w:tr>
      <w:tr w:rsidR="00285B47" w:rsidTr="00595DF7">
        <w:trPr>
          <w:trHeight w:val="20"/>
        </w:trPr>
        <w:tc>
          <w:tcPr>
            <w:tcW w:w="2490" w:type="dxa"/>
            <w:shd w:val="clear" w:color="auto" w:fill="auto"/>
            <w:tcMar>
              <w:top w:w="100" w:type="dxa"/>
              <w:left w:w="100" w:type="dxa"/>
              <w:bottom w:w="100" w:type="dxa"/>
              <w:right w:w="100" w:type="dxa"/>
            </w:tcMar>
            <w:vAlign w:val="center"/>
          </w:tcPr>
          <w:p w:rsidR="00285B47" w:rsidRDefault="00285B47" w:rsidP="00595DF7">
            <w:pPr>
              <w:widowControl w:val="0"/>
              <w:pBdr>
                <w:top w:val="nil"/>
                <w:left w:val="nil"/>
                <w:bottom w:val="nil"/>
                <w:right w:val="nil"/>
                <w:between w:val="nil"/>
              </w:pBdr>
              <w:spacing w:line="240" w:lineRule="auto"/>
            </w:pPr>
            <w:r>
              <w:t>Elevation data</w:t>
            </w:r>
          </w:p>
        </w:tc>
        <w:tc>
          <w:tcPr>
            <w:tcW w:w="6510" w:type="dxa"/>
            <w:shd w:val="clear" w:color="auto" w:fill="auto"/>
            <w:tcMar>
              <w:top w:w="100" w:type="dxa"/>
              <w:left w:w="100" w:type="dxa"/>
              <w:bottom w:w="100" w:type="dxa"/>
              <w:right w:w="100" w:type="dxa"/>
            </w:tcMar>
            <w:vAlign w:val="center"/>
          </w:tcPr>
          <w:p w:rsidR="00285B47" w:rsidRDefault="005A6C9B" w:rsidP="00595DF7">
            <w:pPr>
              <w:spacing w:line="240" w:lineRule="auto"/>
              <w:rPr>
                <w:b/>
              </w:rPr>
            </w:pPr>
            <w:hyperlink r:id="rId9" w:history="1">
              <w:r w:rsidR="00285B47" w:rsidRPr="001062C2">
                <w:rPr>
                  <w:rStyle w:val="Hyperlink"/>
                </w:rPr>
                <w:t>European Digital Elevation Model (EU-DEM) version 1.1 [European Environment Agency, 2016]</w:t>
              </w:r>
            </w:hyperlink>
          </w:p>
        </w:tc>
      </w:tr>
      <w:tr w:rsidR="00285B47" w:rsidTr="00595DF7">
        <w:trPr>
          <w:trHeight w:val="20"/>
        </w:trPr>
        <w:tc>
          <w:tcPr>
            <w:tcW w:w="2490" w:type="dxa"/>
            <w:shd w:val="clear" w:color="auto" w:fill="auto"/>
            <w:tcMar>
              <w:top w:w="100" w:type="dxa"/>
              <w:left w:w="100" w:type="dxa"/>
              <w:bottom w:w="100" w:type="dxa"/>
              <w:right w:w="100" w:type="dxa"/>
            </w:tcMar>
            <w:vAlign w:val="center"/>
          </w:tcPr>
          <w:p w:rsidR="00285B47" w:rsidRDefault="00285B47" w:rsidP="00595DF7">
            <w:pPr>
              <w:widowControl w:val="0"/>
              <w:pBdr>
                <w:top w:val="nil"/>
                <w:left w:val="nil"/>
                <w:bottom w:val="nil"/>
                <w:right w:val="nil"/>
                <w:between w:val="nil"/>
              </w:pBdr>
              <w:spacing w:line="240" w:lineRule="auto"/>
            </w:pPr>
            <w:r>
              <w:t>Population count*</w:t>
            </w:r>
          </w:p>
        </w:tc>
        <w:tc>
          <w:tcPr>
            <w:tcW w:w="6510" w:type="dxa"/>
            <w:shd w:val="clear" w:color="auto" w:fill="auto"/>
            <w:tcMar>
              <w:top w:w="100" w:type="dxa"/>
              <w:left w:w="100" w:type="dxa"/>
              <w:bottom w:w="100" w:type="dxa"/>
              <w:right w:w="100" w:type="dxa"/>
            </w:tcMar>
            <w:vAlign w:val="center"/>
          </w:tcPr>
          <w:p w:rsidR="00285B47" w:rsidRDefault="005A6C9B" w:rsidP="00595DF7">
            <w:pPr>
              <w:spacing w:line="240" w:lineRule="auto"/>
              <w:rPr>
                <w:b/>
              </w:rPr>
            </w:pPr>
            <w:hyperlink r:id="rId10" w:history="1">
              <w:r w:rsidR="00285B47" w:rsidRPr="001062C2">
                <w:rPr>
                  <w:rStyle w:val="Hyperlink"/>
                </w:rPr>
                <w:t xml:space="preserve">GHS-POP R2019A dataset—GHS population grid multitemporal [European Commission, Joint </w:t>
              </w:r>
              <w:r w:rsidR="001062C2" w:rsidRPr="001062C2">
                <w:rPr>
                  <w:rStyle w:val="Hyperlink"/>
                </w:rPr>
                <w:t>Research Center, 2019], dataset</w:t>
              </w:r>
              <w:r w:rsidR="00285B47" w:rsidRPr="001062C2">
                <w:rPr>
                  <w:rStyle w:val="Hyperlink"/>
                </w:rPr>
                <w:t xml:space="preserve"> for 2015</w:t>
              </w:r>
            </w:hyperlink>
          </w:p>
        </w:tc>
      </w:tr>
      <w:tr w:rsidR="00285B47" w:rsidTr="00595DF7">
        <w:trPr>
          <w:trHeight w:val="20"/>
        </w:trPr>
        <w:tc>
          <w:tcPr>
            <w:tcW w:w="2490" w:type="dxa"/>
            <w:shd w:val="clear" w:color="auto" w:fill="auto"/>
            <w:tcMar>
              <w:top w:w="100" w:type="dxa"/>
              <w:left w:w="100" w:type="dxa"/>
              <w:bottom w:w="100" w:type="dxa"/>
              <w:right w:w="100" w:type="dxa"/>
            </w:tcMar>
            <w:vAlign w:val="center"/>
          </w:tcPr>
          <w:p w:rsidR="00285B47" w:rsidRDefault="00285B47" w:rsidP="00595DF7">
            <w:pPr>
              <w:widowControl w:val="0"/>
              <w:pBdr>
                <w:top w:val="nil"/>
                <w:left w:val="nil"/>
                <w:bottom w:val="nil"/>
                <w:right w:val="nil"/>
                <w:between w:val="nil"/>
              </w:pBdr>
              <w:spacing w:line="240" w:lineRule="auto"/>
            </w:pPr>
            <w:r>
              <w:t>Administrative units**</w:t>
            </w:r>
          </w:p>
        </w:tc>
        <w:tc>
          <w:tcPr>
            <w:tcW w:w="6510" w:type="dxa"/>
            <w:shd w:val="clear" w:color="auto" w:fill="auto"/>
            <w:tcMar>
              <w:top w:w="100" w:type="dxa"/>
              <w:left w:w="100" w:type="dxa"/>
              <w:bottom w:w="100" w:type="dxa"/>
              <w:right w:w="100" w:type="dxa"/>
            </w:tcMar>
            <w:vAlign w:val="center"/>
          </w:tcPr>
          <w:p w:rsidR="00285B47" w:rsidRDefault="005A6C9B" w:rsidP="00595DF7">
            <w:pPr>
              <w:spacing w:line="240" w:lineRule="auto"/>
              <w:rPr>
                <w:b/>
              </w:rPr>
            </w:pPr>
            <w:hyperlink r:id="rId11" w:history="1">
              <w:r w:rsidR="00285B47" w:rsidRPr="001062C2">
                <w:rPr>
                  <w:rStyle w:val="Hyperlink"/>
                </w:rPr>
                <w:t>GeoSrbija [Open data of the National Data Infrastructure, Republic Geodetic Authority, n.d.]</w:t>
              </w:r>
            </w:hyperlink>
          </w:p>
        </w:tc>
      </w:tr>
    </w:tbl>
    <w:p w:rsidR="00285B47" w:rsidRDefault="00A47DA8" w:rsidP="00595DF7">
      <w:pPr>
        <w:spacing w:before="240" w:after="240"/>
        <w:jc w:val="both"/>
      </w:pPr>
      <w:r>
        <w:t xml:space="preserve">*  </w:t>
      </w:r>
      <w:r w:rsidR="009D2928" w:rsidRPr="009D2928">
        <w:t>Population data for municipalites Preševo and Bujanovac are not included in datasets. Accordingly, the indicator values within these aministrative units are missing.</w:t>
      </w:r>
    </w:p>
    <w:p w:rsidR="00A67419" w:rsidRDefault="00A67419" w:rsidP="00A67419">
      <w:pPr>
        <w:spacing w:after="240"/>
        <w:jc w:val="both"/>
      </w:pPr>
      <w:r>
        <w:t>*</w:t>
      </w:r>
      <w:r w:rsidR="00285B47">
        <w:t>*</w:t>
      </w:r>
      <w:r>
        <w:t xml:space="preserve"> </w:t>
      </w:r>
      <w:r w:rsidR="00A47DA8">
        <w:t xml:space="preserve"> </w:t>
      </w:r>
      <w:r w:rsidR="00025802">
        <w:t>GeoSrbija</w:t>
      </w:r>
      <w:r w:rsidR="009D2928" w:rsidRPr="009D2928">
        <w:t xml:space="preserve"> (Open Data of the National Data Infrastructure, Republic Geodetic Authority, n.d.) from which the administrative settlements boundaries were taken have no data for the province Kosovo and Metohija. Accordingly, these administrative units were not included in the analysis.</w:t>
      </w:r>
    </w:p>
    <w:p w:rsidR="00A67419" w:rsidRDefault="00A67419"/>
    <w:sectPr w:rsidR="00A67419">
      <w:headerReference w:type="default" r:id="rId12"/>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C9B" w:rsidRDefault="005A6C9B" w:rsidP="00025802">
      <w:pPr>
        <w:spacing w:line="240" w:lineRule="auto"/>
      </w:pPr>
      <w:r>
        <w:separator/>
      </w:r>
    </w:p>
  </w:endnote>
  <w:endnote w:type="continuationSeparator" w:id="0">
    <w:p w:rsidR="005A6C9B" w:rsidRDefault="005A6C9B" w:rsidP="000258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0209510"/>
      <w:docPartObj>
        <w:docPartGallery w:val="Page Numbers (Bottom of Page)"/>
        <w:docPartUnique/>
      </w:docPartObj>
    </w:sdtPr>
    <w:sdtEndPr>
      <w:rPr>
        <w:b/>
        <w:noProof/>
        <w:color w:val="996633"/>
        <w:sz w:val="16"/>
        <w:szCs w:val="16"/>
      </w:rPr>
    </w:sdtEndPr>
    <w:sdtContent>
      <w:p w:rsidR="00025802" w:rsidRPr="00C056CF" w:rsidRDefault="00025802" w:rsidP="00595DF7">
        <w:pPr>
          <w:pStyle w:val="Footer"/>
          <w:jc w:val="center"/>
          <w:rPr>
            <w:b/>
            <w:color w:val="996633"/>
            <w:sz w:val="16"/>
            <w:szCs w:val="16"/>
          </w:rPr>
        </w:pPr>
        <w:r w:rsidRPr="00C056CF">
          <w:rPr>
            <w:b/>
            <w:color w:val="996633"/>
            <w:sz w:val="16"/>
            <w:szCs w:val="16"/>
          </w:rPr>
          <w:fldChar w:fldCharType="begin"/>
        </w:r>
        <w:r w:rsidRPr="00C056CF">
          <w:rPr>
            <w:b/>
            <w:color w:val="996633"/>
            <w:sz w:val="16"/>
            <w:szCs w:val="16"/>
          </w:rPr>
          <w:instrText xml:space="preserve"> PAGE   \* MERGEFORMAT </w:instrText>
        </w:r>
        <w:r w:rsidRPr="00C056CF">
          <w:rPr>
            <w:b/>
            <w:color w:val="996633"/>
            <w:sz w:val="16"/>
            <w:szCs w:val="16"/>
          </w:rPr>
          <w:fldChar w:fldCharType="separate"/>
        </w:r>
        <w:r w:rsidR="005A6C9B">
          <w:rPr>
            <w:b/>
            <w:noProof/>
            <w:color w:val="996633"/>
            <w:sz w:val="16"/>
            <w:szCs w:val="16"/>
          </w:rPr>
          <w:t>1</w:t>
        </w:r>
        <w:r w:rsidRPr="00C056CF">
          <w:rPr>
            <w:b/>
            <w:noProof/>
            <w:color w:val="996633"/>
            <w:sz w:val="16"/>
            <w:szCs w:val="16"/>
          </w:rPr>
          <w:fldChar w:fldCharType="end"/>
        </w:r>
        <w:r w:rsidR="005776C0" w:rsidRPr="00C056CF">
          <w:rPr>
            <w:b/>
            <w:noProof/>
            <w:color w:val="996633"/>
            <w:sz w:val="16"/>
            <w:szCs w:val="16"/>
          </w:rPr>
          <w:t xml:space="preserve"> of </w:t>
        </w:r>
        <w:r w:rsidR="00C056CF">
          <w:rPr>
            <w:b/>
            <w:noProof/>
            <w:color w:val="996633"/>
            <w:sz w:val="16"/>
            <w:szCs w:val="16"/>
          </w:rPr>
          <w:t>3</w:t>
        </w:r>
      </w:p>
    </w:sdtContent>
  </w:sdt>
  <w:p w:rsidR="00025802" w:rsidRDefault="000258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C9B" w:rsidRDefault="005A6C9B" w:rsidP="00025802">
      <w:pPr>
        <w:spacing w:line="240" w:lineRule="auto"/>
      </w:pPr>
      <w:r>
        <w:separator/>
      </w:r>
    </w:p>
  </w:footnote>
  <w:footnote w:type="continuationSeparator" w:id="0">
    <w:p w:rsidR="005A6C9B" w:rsidRDefault="005A6C9B" w:rsidP="0002580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DF7" w:rsidRPr="0043442D" w:rsidRDefault="00595DF7" w:rsidP="00595DF7">
    <w:pPr>
      <w:pStyle w:val="Header"/>
      <w:jc w:val="center"/>
      <w:rPr>
        <w:b/>
        <w:color w:val="996633"/>
        <w:spacing w:val="-2"/>
        <w:sz w:val="14"/>
        <w:szCs w:val="14"/>
      </w:rPr>
    </w:pPr>
    <w:r w:rsidRPr="0043442D">
      <w:rPr>
        <w:b/>
        <w:color w:val="996633"/>
        <w:spacing w:val="-2"/>
        <w:sz w:val="12"/>
        <w:szCs w:val="12"/>
      </w:rPr>
      <w:br/>
    </w:r>
    <w:r w:rsidRPr="0043442D">
      <w:rPr>
        <w:b/>
        <w:noProof/>
        <w:color w:val="365F91" w:themeColor="accent1" w:themeShade="BF"/>
        <w:spacing w:val="-2"/>
        <w:sz w:val="14"/>
        <w:szCs w:val="14"/>
        <w:lang w:val="en-US"/>
      </w:rPr>
      <mc:AlternateContent>
        <mc:Choice Requires="wps">
          <w:drawing>
            <wp:anchor distT="0" distB="0" distL="114300" distR="114300" simplePos="0" relativeHeight="251664384" behindDoc="0" locked="0" layoutInCell="1" allowOverlap="1" wp14:anchorId="0BB4A1C8" wp14:editId="2BAF24F0">
              <wp:simplePos x="0" y="0"/>
              <wp:positionH relativeFrom="column">
                <wp:posOffset>5432425</wp:posOffset>
              </wp:positionH>
              <wp:positionV relativeFrom="paragraph">
                <wp:posOffset>0</wp:posOffset>
              </wp:positionV>
              <wp:extent cx="297815" cy="257175"/>
              <wp:effectExtent l="0" t="0" r="6985" b="9525"/>
              <wp:wrapNone/>
              <wp:docPr id="11" name="Hexagon 11"/>
              <wp:cNvGraphicFramePr/>
              <a:graphic xmlns:a="http://schemas.openxmlformats.org/drawingml/2006/main">
                <a:graphicData uri="http://schemas.microsoft.com/office/word/2010/wordprocessingShape">
                  <wps:wsp>
                    <wps:cNvSpPr/>
                    <wps:spPr>
                      <a:xfrm>
                        <a:off x="0" y="0"/>
                        <a:ext cx="297815" cy="257175"/>
                      </a:xfrm>
                      <a:prstGeom prst="hexagon">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1" o:spid="_x0000_s1026" type="#_x0000_t9" style="position:absolute;margin-left:427.75pt;margin-top:0;width:23.45pt;height:20.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" adj="4663" fillcolor="#9bbb59 [3206]" stroked="f" strokeweight="2pt"/>
          </w:pict>
        </mc:Fallback>
      </mc:AlternateContent>
    </w:r>
    <w:r w:rsidRPr="0043442D">
      <w:rPr>
        <w:b/>
        <w:noProof/>
        <w:color w:val="365F91" w:themeColor="accent1" w:themeShade="BF"/>
        <w:spacing w:val="-2"/>
        <w:sz w:val="14"/>
        <w:szCs w:val="14"/>
        <w:lang w:val="en-US"/>
      </w:rPr>
      <mc:AlternateContent>
        <mc:Choice Requires="wps">
          <w:drawing>
            <wp:anchor distT="0" distB="0" distL="114300" distR="114300" simplePos="0" relativeHeight="251663360" behindDoc="0" locked="0" layoutInCell="1" allowOverlap="1" wp14:anchorId="7928D643" wp14:editId="2EB0C8B2">
              <wp:simplePos x="0" y="0"/>
              <wp:positionH relativeFrom="column">
                <wp:posOffset>5180965</wp:posOffset>
              </wp:positionH>
              <wp:positionV relativeFrom="paragraph">
                <wp:posOffset>155575</wp:posOffset>
              </wp:positionV>
              <wp:extent cx="297815" cy="257175"/>
              <wp:effectExtent l="0" t="0" r="6985" b="9525"/>
              <wp:wrapNone/>
              <wp:docPr id="10" name="Hexagon 10"/>
              <wp:cNvGraphicFramePr/>
              <a:graphic xmlns:a="http://schemas.openxmlformats.org/drawingml/2006/main">
                <a:graphicData uri="http://schemas.microsoft.com/office/word/2010/wordprocessingShape">
                  <wps:wsp>
                    <wps:cNvSpPr/>
                    <wps:spPr>
                      <a:xfrm>
                        <a:off x="0" y="0"/>
                        <a:ext cx="297815" cy="257175"/>
                      </a:xfrm>
                      <a:prstGeom prst="hexagon">
                        <a:avLst/>
                      </a:prstGeom>
                      <a:solidFill>
                        <a:srgbClr val="9966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xagon 10" o:spid="_x0000_s1026" type="#_x0000_t9" style="position:absolute;margin-left:407.95pt;margin-top:12.25pt;width:23.45pt;height:20.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" adj="4663" fillcolor="#963" stroked="f" strokeweight="2pt"/>
          </w:pict>
        </mc:Fallback>
      </mc:AlternateContent>
    </w:r>
    <w:r w:rsidRPr="0043442D">
      <w:rPr>
        <w:b/>
        <w:noProof/>
        <w:color w:val="365F91" w:themeColor="accent1" w:themeShade="BF"/>
        <w:spacing w:val="-2"/>
        <w:sz w:val="14"/>
        <w:szCs w:val="14"/>
        <w:lang w:val="en-US"/>
      </w:rPr>
      <mc:AlternateContent>
        <mc:Choice Requires="wps">
          <w:drawing>
            <wp:anchor distT="0" distB="0" distL="114300" distR="114300" simplePos="0" relativeHeight="251662336" behindDoc="0" locked="0" layoutInCell="1" allowOverlap="1" wp14:anchorId="4F100DFC" wp14:editId="35F554AA">
              <wp:simplePos x="0" y="0"/>
              <wp:positionH relativeFrom="column">
                <wp:posOffset>4929812</wp:posOffset>
              </wp:positionH>
              <wp:positionV relativeFrom="paragraph">
                <wp:posOffset>187</wp:posOffset>
              </wp:positionV>
              <wp:extent cx="297815" cy="257175"/>
              <wp:effectExtent l="0" t="0" r="6985" b="9525"/>
              <wp:wrapNone/>
              <wp:docPr id="9" name="Hexagon 9"/>
              <wp:cNvGraphicFramePr/>
              <a:graphic xmlns:a="http://schemas.openxmlformats.org/drawingml/2006/main">
                <a:graphicData uri="http://schemas.microsoft.com/office/word/2010/wordprocessingShape">
                  <wps:wsp>
                    <wps:cNvSpPr/>
                    <wps:spPr>
                      <a:xfrm>
                        <a:off x="0" y="0"/>
                        <a:ext cx="297815" cy="257175"/>
                      </a:xfrm>
                      <a:prstGeom prst="hexagon">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xagon 9" o:spid="_x0000_s1026" type="#_x0000_t9" style="position:absolute;margin-left:388.15pt;margin-top:0;width:23.45pt;height:20.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" adj="4663" fillcolor="#9bbb59 [3206]" stroked="f" strokeweight="2pt"/>
          </w:pict>
        </mc:Fallback>
      </mc:AlternateContent>
    </w:r>
    <w:r w:rsidRPr="0043442D">
      <w:rPr>
        <w:b/>
        <w:noProof/>
        <w:color w:val="4F81BD" w:themeColor="accent1"/>
        <w:spacing w:val="-2"/>
        <w:sz w:val="14"/>
        <w:szCs w:val="14"/>
        <w:lang w:val="en-US"/>
      </w:rPr>
      <mc:AlternateContent>
        <mc:Choice Requires="wps">
          <w:drawing>
            <wp:anchor distT="0" distB="0" distL="114300" distR="114300" simplePos="0" relativeHeight="251660288" behindDoc="0" locked="0" layoutInCell="1" allowOverlap="1" wp14:anchorId="1FBDC89D" wp14:editId="4EC5F41E">
              <wp:simplePos x="0" y="0"/>
              <wp:positionH relativeFrom="column">
                <wp:posOffset>256233</wp:posOffset>
              </wp:positionH>
              <wp:positionV relativeFrom="paragraph">
                <wp:posOffset>163369</wp:posOffset>
              </wp:positionV>
              <wp:extent cx="297815" cy="257175"/>
              <wp:effectExtent l="0" t="0" r="6985" b="9525"/>
              <wp:wrapNone/>
              <wp:docPr id="4" name="Hexagon 4"/>
              <wp:cNvGraphicFramePr/>
              <a:graphic xmlns:a="http://schemas.openxmlformats.org/drawingml/2006/main">
                <a:graphicData uri="http://schemas.microsoft.com/office/word/2010/wordprocessingShape">
                  <wps:wsp>
                    <wps:cNvSpPr/>
                    <wps:spPr>
                      <a:xfrm>
                        <a:off x="0" y="0"/>
                        <a:ext cx="297815" cy="257175"/>
                      </a:xfrm>
                      <a:prstGeom prst="hexagon">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xagon 4" o:spid="_x0000_s1026" type="#_x0000_t9" style="position:absolute;margin-left:20.2pt;margin-top:12.85pt;width:23.45pt;height:20.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" adj="4663" fillcolor="#9bbb59 [3206]" stroked="f" strokeweight="2pt"/>
          </w:pict>
        </mc:Fallback>
      </mc:AlternateContent>
    </w:r>
    <w:r w:rsidRPr="0043442D">
      <w:rPr>
        <w:b/>
        <w:noProof/>
        <w:color w:val="996633"/>
        <w:spacing w:val="-2"/>
        <w:sz w:val="14"/>
        <w:szCs w:val="14"/>
        <w:lang w:val="en-US"/>
      </w:rPr>
      <mc:AlternateContent>
        <mc:Choice Requires="wps">
          <w:drawing>
            <wp:anchor distT="0" distB="0" distL="114300" distR="114300" simplePos="0" relativeHeight="251659264" behindDoc="0" locked="0" layoutInCell="1" allowOverlap="1" wp14:anchorId="1B330EDF" wp14:editId="10CE510A">
              <wp:simplePos x="0" y="0"/>
              <wp:positionH relativeFrom="column">
                <wp:posOffset>4445</wp:posOffset>
              </wp:positionH>
              <wp:positionV relativeFrom="paragraph">
                <wp:posOffset>7620</wp:posOffset>
              </wp:positionV>
              <wp:extent cx="297815" cy="257175"/>
              <wp:effectExtent l="0" t="0" r="6985" b="9525"/>
              <wp:wrapNone/>
              <wp:docPr id="2" name="Hexagon 2"/>
              <wp:cNvGraphicFramePr/>
              <a:graphic xmlns:a="http://schemas.openxmlformats.org/drawingml/2006/main">
                <a:graphicData uri="http://schemas.microsoft.com/office/word/2010/wordprocessingShape">
                  <wps:wsp>
                    <wps:cNvSpPr/>
                    <wps:spPr>
                      <a:xfrm>
                        <a:off x="0" y="0"/>
                        <a:ext cx="297815" cy="257175"/>
                      </a:xfrm>
                      <a:prstGeom prst="hexagon">
                        <a:avLst/>
                      </a:prstGeom>
                      <a:solidFill>
                        <a:srgbClr val="9966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xagon 2" o:spid="_x0000_s1026" type="#_x0000_t9" style="position:absolute;margin-left:.35pt;margin-top:.6pt;width:23.4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" adj="4663" fillcolor="#963" stroked="f" strokeweight="2pt"/>
          </w:pict>
        </mc:Fallback>
      </mc:AlternateContent>
    </w:r>
    <w:r w:rsidRPr="0043442D">
      <w:rPr>
        <w:b/>
        <w:noProof/>
        <w:color w:val="4F81BD" w:themeColor="accent1"/>
        <w:spacing w:val="-2"/>
        <w:sz w:val="14"/>
        <w:szCs w:val="14"/>
        <w:lang w:val="en-US"/>
      </w:rPr>
      <mc:AlternateContent>
        <mc:Choice Requires="wps">
          <w:drawing>
            <wp:anchor distT="0" distB="0" distL="114300" distR="114300" simplePos="0" relativeHeight="251661312" behindDoc="0" locked="0" layoutInCell="1" allowOverlap="1" wp14:anchorId="56079FCF" wp14:editId="7D8AA45C">
              <wp:simplePos x="0" y="0"/>
              <wp:positionH relativeFrom="column">
                <wp:posOffset>507365</wp:posOffset>
              </wp:positionH>
              <wp:positionV relativeFrom="paragraph">
                <wp:posOffset>7620</wp:posOffset>
              </wp:positionV>
              <wp:extent cx="297815" cy="257175"/>
              <wp:effectExtent l="0" t="0" r="6985" b="9525"/>
              <wp:wrapNone/>
              <wp:docPr id="6" name="Hexagon 6"/>
              <wp:cNvGraphicFramePr/>
              <a:graphic xmlns:a="http://schemas.openxmlformats.org/drawingml/2006/main">
                <a:graphicData uri="http://schemas.microsoft.com/office/word/2010/wordprocessingShape">
                  <wps:wsp>
                    <wps:cNvSpPr/>
                    <wps:spPr>
                      <a:xfrm>
                        <a:off x="0" y="0"/>
                        <a:ext cx="297815" cy="257175"/>
                      </a:xfrm>
                      <a:prstGeom prst="hexagon">
                        <a:avLst/>
                      </a:prstGeom>
                      <a:solidFill>
                        <a:srgbClr val="9966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xagon 6" o:spid="_x0000_s1026" type="#_x0000_t9" style="position:absolute;margin-left:39.95pt;margin-top:.6pt;width:23.45pt;height:20.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" adj="4663" fillcolor="#963" stroked="f" strokeweight="2pt"/>
          </w:pict>
        </mc:Fallback>
      </mc:AlternateContent>
    </w:r>
    <w:r w:rsidRPr="0043442D">
      <w:rPr>
        <w:b/>
        <w:color w:val="996633"/>
        <w:spacing w:val="-2"/>
        <w:sz w:val="14"/>
        <w:szCs w:val="14"/>
      </w:rPr>
      <w:t>REMOTE DETECTION OF (DE)POPULATION PROCESSES—PRODUCT DOCUMENTATION</w:t>
    </w:r>
  </w:p>
  <w:p w:rsidR="00595DF7" w:rsidRDefault="00595DF7" w:rsidP="00595DF7">
    <w:pPr>
      <w:pStyle w:val="Header"/>
      <w:tabs>
        <w:tab w:val="clear" w:pos="4680"/>
        <w:tab w:val="clear" w:pos="9360"/>
        <w:tab w:val="left" w:pos="3555"/>
      </w:tabs>
      <w:jc w:val="center"/>
      <w:rPr>
        <w:b/>
        <w:i/>
        <w:color w:val="996633"/>
        <w:spacing w:val="-2"/>
        <w:sz w:val="14"/>
        <w:szCs w:val="14"/>
      </w:rPr>
    </w:pPr>
    <w:r w:rsidRPr="00C62138">
      <w:rPr>
        <w:b/>
        <w:color w:val="996633"/>
        <w:spacing w:val="-2"/>
        <w:sz w:val="14"/>
        <w:szCs w:val="14"/>
      </w:rPr>
      <w:t xml:space="preserve">INDICATOR </w:t>
    </w:r>
    <w:r w:rsidR="007B781E">
      <w:rPr>
        <w:b/>
        <w:color w:val="996633"/>
        <w:spacing w:val="-2"/>
        <w:sz w:val="14"/>
        <w:szCs w:val="14"/>
      </w:rPr>
      <w:t>10</w:t>
    </w:r>
    <w:r w:rsidRPr="00C62138">
      <w:rPr>
        <w:b/>
        <w:color w:val="996633"/>
        <w:spacing w:val="-2"/>
        <w:sz w:val="14"/>
        <w:szCs w:val="14"/>
      </w:rPr>
      <w:t xml:space="preserve">: </w:t>
    </w:r>
    <w:r w:rsidR="007B781E" w:rsidRPr="007B781E">
      <w:rPr>
        <w:b/>
        <w:i/>
        <w:color w:val="996633"/>
        <w:spacing w:val="-2"/>
        <w:sz w:val="14"/>
        <w:szCs w:val="14"/>
      </w:rPr>
      <w:t>Altitudinal Conditionality of the Population Density’ Changes</w:t>
    </w:r>
  </w:p>
  <w:p w:rsidR="00595DF7" w:rsidRPr="00824D59" w:rsidRDefault="00595DF7" w:rsidP="00595DF7">
    <w:pPr>
      <w:pStyle w:val="Header"/>
      <w:tabs>
        <w:tab w:val="clear" w:pos="4680"/>
        <w:tab w:val="clear" w:pos="9360"/>
        <w:tab w:val="left" w:pos="3555"/>
      </w:tabs>
      <w:rPr>
        <w:i/>
        <w:sz w:val="14"/>
        <w:szCs w:val="14"/>
      </w:rPr>
    </w:pPr>
  </w:p>
  <w:p w:rsidR="00595DF7" w:rsidRPr="00824D59" w:rsidRDefault="00595DF7" w:rsidP="00595DF7">
    <w:pPr>
      <w:pStyle w:val="Header"/>
      <w:tabs>
        <w:tab w:val="clear" w:pos="4680"/>
        <w:tab w:val="clear" w:pos="9360"/>
        <w:tab w:val="left" w:pos="6240"/>
      </w:tabs>
      <w:rPr>
        <w:i/>
      </w:rPr>
    </w:pPr>
  </w:p>
  <w:p w:rsidR="00595DF7" w:rsidRDefault="00595DF7" w:rsidP="00595DF7">
    <w:pPr>
      <w:pStyle w:val="Header"/>
      <w:tabs>
        <w:tab w:val="clear" w:pos="4680"/>
        <w:tab w:val="clear" w:pos="9360"/>
        <w:tab w:val="left" w:pos="2025"/>
      </w:tabs>
    </w:pPr>
  </w:p>
  <w:p w:rsidR="00595DF7" w:rsidRDefault="00595D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D69B6"/>
    <w:multiLevelType w:val="multilevel"/>
    <w:tmpl w:val="95148938"/>
    <w:lvl w:ilvl="0">
      <w:start w:val="1"/>
      <w:numFmt w:val="lowerLetter"/>
      <w:lvlText w:val="%1)"/>
      <w:lvlJc w:val="left"/>
      <w:pPr>
        <w:ind w:left="283" w:hanging="283"/>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22332BA6"/>
    <w:multiLevelType w:val="hybridMultilevel"/>
    <w:tmpl w:val="7F8C93DE"/>
    <w:lvl w:ilvl="0" w:tplc="697C3774">
      <w:start w:val="1"/>
      <w:numFmt w:val="bullet"/>
      <w:lvlText w:val=""/>
      <w:lvlJc w:val="left"/>
      <w:pPr>
        <w:ind w:left="643" w:hanging="360"/>
      </w:pPr>
      <w:rPr>
        <w:rFonts w:ascii="Wingdings" w:hAnsi="Wingdings" w:hint="default"/>
        <w:color w:val="9BBB59" w:themeColor="accent3"/>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3D0C34"/>
    <w:rsid w:val="0000060C"/>
    <w:rsid w:val="00025802"/>
    <w:rsid w:val="000844F1"/>
    <w:rsid w:val="001062C2"/>
    <w:rsid w:val="0020067A"/>
    <w:rsid w:val="00285B47"/>
    <w:rsid w:val="0037448E"/>
    <w:rsid w:val="003D0C34"/>
    <w:rsid w:val="004A1939"/>
    <w:rsid w:val="005776C0"/>
    <w:rsid w:val="00595DF7"/>
    <w:rsid w:val="005A6C9B"/>
    <w:rsid w:val="00692EE2"/>
    <w:rsid w:val="00717183"/>
    <w:rsid w:val="00785DC3"/>
    <w:rsid w:val="007B781E"/>
    <w:rsid w:val="008A37E0"/>
    <w:rsid w:val="009D2928"/>
    <w:rsid w:val="00A47DA8"/>
    <w:rsid w:val="00A67419"/>
    <w:rsid w:val="00A75076"/>
    <w:rsid w:val="00B475EE"/>
    <w:rsid w:val="00B6790A"/>
    <w:rsid w:val="00B84D5A"/>
    <w:rsid w:val="00C056CF"/>
    <w:rsid w:val="00DA5A4A"/>
    <w:rsid w:val="00E44A3F"/>
    <w:rsid w:val="00EB1D90"/>
    <w:rsid w:val="00F56B00"/>
    <w:rsid w:val="00F60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s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67419"/>
    <w:pPr>
      <w:ind w:left="720"/>
      <w:contextualSpacing/>
    </w:pPr>
  </w:style>
  <w:style w:type="character" w:styleId="Hyperlink">
    <w:name w:val="Hyperlink"/>
    <w:basedOn w:val="DefaultParagraphFont"/>
    <w:uiPriority w:val="99"/>
    <w:unhideWhenUsed/>
    <w:rsid w:val="001062C2"/>
    <w:rPr>
      <w:color w:val="0000FF" w:themeColor="hyperlink"/>
      <w:u w:val="single"/>
    </w:rPr>
  </w:style>
  <w:style w:type="paragraph" w:styleId="Header">
    <w:name w:val="header"/>
    <w:basedOn w:val="Normal"/>
    <w:link w:val="HeaderChar"/>
    <w:uiPriority w:val="99"/>
    <w:unhideWhenUsed/>
    <w:rsid w:val="00025802"/>
    <w:pPr>
      <w:tabs>
        <w:tab w:val="center" w:pos="4680"/>
        <w:tab w:val="right" w:pos="9360"/>
      </w:tabs>
      <w:spacing w:line="240" w:lineRule="auto"/>
    </w:pPr>
  </w:style>
  <w:style w:type="character" w:customStyle="1" w:styleId="HeaderChar">
    <w:name w:val="Header Char"/>
    <w:basedOn w:val="DefaultParagraphFont"/>
    <w:link w:val="Header"/>
    <w:uiPriority w:val="99"/>
    <w:rsid w:val="00025802"/>
  </w:style>
  <w:style w:type="paragraph" w:styleId="Footer">
    <w:name w:val="footer"/>
    <w:basedOn w:val="Normal"/>
    <w:link w:val="FooterChar"/>
    <w:uiPriority w:val="99"/>
    <w:unhideWhenUsed/>
    <w:rsid w:val="00025802"/>
    <w:pPr>
      <w:tabs>
        <w:tab w:val="center" w:pos="4680"/>
        <w:tab w:val="right" w:pos="9360"/>
      </w:tabs>
      <w:spacing w:line="240" w:lineRule="auto"/>
    </w:pPr>
  </w:style>
  <w:style w:type="character" w:customStyle="1" w:styleId="FooterChar">
    <w:name w:val="Footer Char"/>
    <w:basedOn w:val="DefaultParagraphFont"/>
    <w:link w:val="Footer"/>
    <w:uiPriority w:val="99"/>
    <w:rsid w:val="000258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s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67419"/>
    <w:pPr>
      <w:ind w:left="720"/>
      <w:contextualSpacing/>
    </w:pPr>
  </w:style>
  <w:style w:type="character" w:styleId="Hyperlink">
    <w:name w:val="Hyperlink"/>
    <w:basedOn w:val="DefaultParagraphFont"/>
    <w:uiPriority w:val="99"/>
    <w:unhideWhenUsed/>
    <w:rsid w:val="001062C2"/>
    <w:rPr>
      <w:color w:val="0000FF" w:themeColor="hyperlink"/>
      <w:u w:val="single"/>
    </w:rPr>
  </w:style>
  <w:style w:type="paragraph" w:styleId="Header">
    <w:name w:val="header"/>
    <w:basedOn w:val="Normal"/>
    <w:link w:val="HeaderChar"/>
    <w:uiPriority w:val="99"/>
    <w:unhideWhenUsed/>
    <w:rsid w:val="00025802"/>
    <w:pPr>
      <w:tabs>
        <w:tab w:val="center" w:pos="4680"/>
        <w:tab w:val="right" w:pos="9360"/>
      </w:tabs>
      <w:spacing w:line="240" w:lineRule="auto"/>
    </w:pPr>
  </w:style>
  <w:style w:type="character" w:customStyle="1" w:styleId="HeaderChar">
    <w:name w:val="Header Char"/>
    <w:basedOn w:val="DefaultParagraphFont"/>
    <w:link w:val="Header"/>
    <w:uiPriority w:val="99"/>
    <w:rsid w:val="00025802"/>
  </w:style>
  <w:style w:type="paragraph" w:styleId="Footer">
    <w:name w:val="footer"/>
    <w:basedOn w:val="Normal"/>
    <w:link w:val="FooterChar"/>
    <w:uiPriority w:val="99"/>
    <w:unhideWhenUsed/>
    <w:rsid w:val="00025802"/>
    <w:pPr>
      <w:tabs>
        <w:tab w:val="center" w:pos="4680"/>
        <w:tab w:val="right" w:pos="9360"/>
      </w:tabs>
      <w:spacing w:line="240" w:lineRule="auto"/>
    </w:pPr>
  </w:style>
  <w:style w:type="character" w:customStyle="1" w:styleId="FooterChar">
    <w:name w:val="Footer Char"/>
    <w:basedOn w:val="DefaultParagraphFont"/>
    <w:link w:val="Footer"/>
    <w:uiPriority w:val="99"/>
    <w:rsid w:val="00025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eosrbija.rs/usluge/otvoreni-podaci-nig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data.jrc.ec.europa.eu/dataset/0c6b9751-a71f-4062-830b-43c9f432370f" TargetMode="External"/><Relationship Id="rId4" Type="http://schemas.microsoft.com/office/2007/relationships/stylesWithEffects" Target="stylesWithEffects.xml"/><Relationship Id="rId9" Type="http://schemas.openxmlformats.org/officeDocument/2006/relationships/hyperlink" Target="https://land.copernicus.eu/imagery-in-situ/eu-dem/eu-dem-v1.1/vie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98525E-C9D3-4646-A5E0-2F34B3FF2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3</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dejan</dc:creator>
  <cp:lastModifiedBy>Tech. ed.</cp:lastModifiedBy>
  <cp:revision>20</cp:revision>
  <cp:lastPrinted>2020-10-26T08:42:00Z</cp:lastPrinted>
  <dcterms:created xsi:type="dcterms:W3CDTF">2020-10-14T07:41:00Z</dcterms:created>
  <dcterms:modified xsi:type="dcterms:W3CDTF">2020-10-26T08:42:00Z</dcterms:modified>
</cp:coreProperties>
</file>