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51A4" w:rsidRDefault="00154975">
      <w:pPr>
        <w:rPr>
          <w:b/>
        </w:rPr>
      </w:pPr>
      <w:r>
        <w:rPr>
          <w:b/>
        </w:rPr>
        <w:t>INDICATOR 11: Accessibility as a Determinant of the Depopulation</w:t>
      </w:r>
    </w:p>
    <w:p w:rsidR="009351A4" w:rsidRDefault="009351A4"/>
    <w:p w:rsidR="00C066CD" w:rsidRDefault="00C066CD"/>
    <w:p w:rsidR="009351A4" w:rsidRPr="00C066CD" w:rsidRDefault="00154975">
      <w:pPr>
        <w:rPr>
          <w:b/>
        </w:rPr>
      </w:pPr>
      <w:r w:rsidRPr="00C066CD">
        <w:rPr>
          <w:b/>
        </w:rPr>
        <w:t>File Name: Access_and_Pop_Chg_1975-2015</w:t>
      </w:r>
    </w:p>
    <w:p w:rsidR="009351A4" w:rsidRDefault="00154975" w:rsidP="00C066CD">
      <w:pPr>
        <w:pStyle w:val="ListParagraph"/>
        <w:numPr>
          <w:ilvl w:val="0"/>
          <w:numId w:val="4"/>
        </w:numPr>
        <w:ind w:left="284" w:hanging="284"/>
      </w:pPr>
      <w:r>
        <w:t>Coordinate Reference Systems: WGS 84 / UTM zone 34N (EPSG:32634)</w:t>
      </w:r>
      <w:bookmarkStart w:id="0" w:name="_GoBack"/>
      <w:bookmarkEnd w:id="0"/>
    </w:p>
    <w:p w:rsidR="009351A4" w:rsidRDefault="009351A4">
      <w:pPr>
        <w:ind w:left="1133"/>
      </w:pPr>
    </w:p>
    <w:tbl>
      <w:tblPr>
        <w:tblStyle w:val="a0"/>
        <w:tblW w:w="90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70"/>
        <w:gridCol w:w="3668"/>
        <w:gridCol w:w="4089"/>
      </w:tblGrid>
      <w:tr w:rsidR="009351A4" w:rsidRPr="00C066CD" w:rsidTr="00E80BEA">
        <w:trPr>
          <w:trHeight w:val="30"/>
          <w:jc w:val="center"/>
        </w:trPr>
        <w:tc>
          <w:tcPr>
            <w:tcW w:w="1276" w:type="dxa"/>
            <w:tcBorders>
              <w:top w:val="single" w:sz="4" w:space="0" w:color="000000"/>
              <w:left w:val="single" w:sz="4" w:space="0" w:color="000000"/>
              <w:bottom w:val="single" w:sz="4" w:space="0" w:color="000000"/>
              <w:right w:val="single" w:sz="4" w:space="0" w:color="000000"/>
            </w:tcBorders>
            <w:shd w:val="clear" w:color="auto" w:fill="9BBB59" w:themeFill="accent3"/>
            <w:tcMar>
              <w:top w:w="68" w:type="dxa"/>
              <w:left w:w="68" w:type="dxa"/>
              <w:bottom w:w="68" w:type="dxa"/>
              <w:right w:w="68" w:type="dxa"/>
            </w:tcMar>
          </w:tcPr>
          <w:p w:rsidR="009351A4" w:rsidRPr="00C066CD" w:rsidRDefault="00154975">
            <w:pPr>
              <w:widowControl w:val="0"/>
              <w:jc w:val="center"/>
              <w:rPr>
                <w:b/>
                <w:spacing w:val="-2"/>
                <w:sz w:val="20"/>
                <w:szCs w:val="20"/>
              </w:rPr>
            </w:pPr>
            <w:r w:rsidRPr="00C066CD">
              <w:rPr>
                <w:b/>
                <w:spacing w:val="-2"/>
                <w:sz w:val="20"/>
                <w:szCs w:val="20"/>
              </w:rPr>
              <w:t>Attribute</w:t>
            </w:r>
          </w:p>
        </w:tc>
        <w:tc>
          <w:tcPr>
            <w:tcW w:w="3686" w:type="dxa"/>
            <w:tcBorders>
              <w:top w:val="single" w:sz="4" w:space="0" w:color="000000"/>
              <w:left w:val="single" w:sz="4" w:space="0" w:color="000000"/>
              <w:bottom w:val="single" w:sz="4" w:space="0" w:color="000000"/>
              <w:right w:val="single" w:sz="4" w:space="0" w:color="000000"/>
            </w:tcBorders>
            <w:shd w:val="clear" w:color="auto" w:fill="9BBB59" w:themeFill="accent3"/>
            <w:tcMar>
              <w:top w:w="68" w:type="dxa"/>
              <w:left w:w="68" w:type="dxa"/>
              <w:bottom w:w="68" w:type="dxa"/>
              <w:right w:w="68" w:type="dxa"/>
            </w:tcMar>
          </w:tcPr>
          <w:p w:rsidR="009351A4" w:rsidRPr="00C066CD" w:rsidRDefault="00154975">
            <w:pPr>
              <w:widowControl w:val="0"/>
              <w:ind w:right="-49"/>
              <w:jc w:val="center"/>
              <w:rPr>
                <w:b/>
                <w:spacing w:val="-2"/>
                <w:sz w:val="20"/>
                <w:szCs w:val="20"/>
              </w:rPr>
            </w:pPr>
            <w:r w:rsidRPr="00C066CD">
              <w:rPr>
                <w:b/>
                <w:spacing w:val="-2"/>
                <w:sz w:val="20"/>
                <w:szCs w:val="20"/>
              </w:rPr>
              <w:t xml:space="preserve"> Alias</w:t>
            </w:r>
          </w:p>
        </w:tc>
        <w:tc>
          <w:tcPr>
            <w:tcW w:w="4110" w:type="dxa"/>
            <w:tcBorders>
              <w:top w:val="single" w:sz="4" w:space="0" w:color="000000"/>
              <w:left w:val="single" w:sz="4" w:space="0" w:color="000000"/>
              <w:bottom w:val="single" w:sz="4" w:space="0" w:color="000000"/>
              <w:right w:val="single" w:sz="4" w:space="0" w:color="000000"/>
            </w:tcBorders>
            <w:shd w:val="clear" w:color="auto" w:fill="9BBB59" w:themeFill="accent3"/>
            <w:tcMar>
              <w:top w:w="68" w:type="dxa"/>
              <w:left w:w="68" w:type="dxa"/>
              <w:bottom w:w="68" w:type="dxa"/>
              <w:right w:w="68" w:type="dxa"/>
            </w:tcMar>
          </w:tcPr>
          <w:p w:rsidR="009351A4" w:rsidRPr="00C066CD" w:rsidRDefault="00154975">
            <w:pPr>
              <w:widowControl w:val="0"/>
              <w:ind w:right="-49"/>
              <w:jc w:val="center"/>
              <w:rPr>
                <w:b/>
                <w:spacing w:val="-2"/>
                <w:sz w:val="20"/>
                <w:szCs w:val="20"/>
              </w:rPr>
            </w:pPr>
            <w:r w:rsidRPr="00C066CD">
              <w:rPr>
                <w:b/>
                <w:spacing w:val="-2"/>
                <w:sz w:val="20"/>
                <w:szCs w:val="20"/>
              </w:rPr>
              <w:t>Pseudonim</w:t>
            </w:r>
          </w:p>
        </w:tc>
      </w:tr>
      <w:tr w:rsidR="009351A4" w:rsidRPr="00C066CD" w:rsidTr="00E80BEA">
        <w:trPr>
          <w:trHeight w:val="30"/>
          <w:jc w:val="center"/>
        </w:trPr>
        <w:tc>
          <w:tcPr>
            <w:tcW w:w="1276" w:type="dxa"/>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9351A4" w:rsidRPr="00C066CD" w:rsidRDefault="00154975">
            <w:pPr>
              <w:widowControl w:val="0"/>
              <w:rPr>
                <w:spacing w:val="-2"/>
                <w:sz w:val="20"/>
                <w:szCs w:val="20"/>
              </w:rPr>
            </w:pPr>
            <w:r w:rsidRPr="00C066CD">
              <w:rPr>
                <w:spacing w:val="-2"/>
                <w:sz w:val="20"/>
                <w:szCs w:val="20"/>
              </w:rPr>
              <w:t>MatBrO</w:t>
            </w:r>
          </w:p>
        </w:tc>
        <w:tc>
          <w:tcPr>
            <w:tcW w:w="3686" w:type="dxa"/>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9351A4" w:rsidRPr="00C066CD" w:rsidRDefault="00154975">
            <w:pPr>
              <w:widowControl w:val="0"/>
              <w:ind w:right="-49"/>
              <w:rPr>
                <w:spacing w:val="-2"/>
                <w:sz w:val="20"/>
                <w:szCs w:val="20"/>
              </w:rPr>
            </w:pPr>
            <w:r w:rsidRPr="00C066CD">
              <w:rPr>
                <w:spacing w:val="-2"/>
                <w:sz w:val="20"/>
                <w:szCs w:val="20"/>
              </w:rPr>
              <w:t>Municipality identification number</w:t>
            </w:r>
          </w:p>
        </w:tc>
        <w:tc>
          <w:tcPr>
            <w:tcW w:w="4110" w:type="dxa"/>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9351A4" w:rsidRPr="00C066CD" w:rsidRDefault="00154975">
            <w:pPr>
              <w:widowControl w:val="0"/>
              <w:ind w:right="-49"/>
              <w:rPr>
                <w:spacing w:val="-2"/>
                <w:sz w:val="20"/>
                <w:szCs w:val="20"/>
              </w:rPr>
            </w:pPr>
            <w:r w:rsidRPr="00C066CD">
              <w:rPr>
                <w:spacing w:val="-2"/>
                <w:sz w:val="20"/>
                <w:szCs w:val="20"/>
              </w:rPr>
              <w:t>Matični broj opštine</w:t>
            </w:r>
          </w:p>
        </w:tc>
      </w:tr>
      <w:tr w:rsidR="009351A4" w:rsidRPr="00C066CD" w:rsidTr="00E80BEA">
        <w:trPr>
          <w:trHeight w:val="30"/>
          <w:jc w:val="center"/>
        </w:trPr>
        <w:tc>
          <w:tcPr>
            <w:tcW w:w="1276" w:type="dxa"/>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9351A4" w:rsidRPr="00C066CD" w:rsidRDefault="00154975">
            <w:pPr>
              <w:widowControl w:val="0"/>
              <w:rPr>
                <w:spacing w:val="-2"/>
                <w:sz w:val="20"/>
                <w:szCs w:val="20"/>
              </w:rPr>
            </w:pPr>
            <w:r w:rsidRPr="00C066CD">
              <w:rPr>
                <w:spacing w:val="-2"/>
                <w:sz w:val="20"/>
                <w:szCs w:val="20"/>
              </w:rPr>
              <w:t>MatBrNas</w:t>
            </w:r>
          </w:p>
        </w:tc>
        <w:tc>
          <w:tcPr>
            <w:tcW w:w="3686" w:type="dxa"/>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9351A4" w:rsidRPr="00C066CD" w:rsidRDefault="00154975">
            <w:pPr>
              <w:widowControl w:val="0"/>
              <w:ind w:right="-49"/>
              <w:rPr>
                <w:spacing w:val="-2"/>
                <w:sz w:val="20"/>
                <w:szCs w:val="20"/>
              </w:rPr>
            </w:pPr>
            <w:r w:rsidRPr="00C066CD">
              <w:rPr>
                <w:spacing w:val="-2"/>
                <w:sz w:val="20"/>
                <w:szCs w:val="20"/>
              </w:rPr>
              <w:t>Settlement identification number</w:t>
            </w:r>
          </w:p>
        </w:tc>
        <w:tc>
          <w:tcPr>
            <w:tcW w:w="4110" w:type="dxa"/>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9351A4" w:rsidRPr="00C066CD" w:rsidRDefault="00154975">
            <w:pPr>
              <w:widowControl w:val="0"/>
              <w:ind w:right="-49"/>
              <w:rPr>
                <w:spacing w:val="-2"/>
                <w:sz w:val="20"/>
                <w:szCs w:val="20"/>
              </w:rPr>
            </w:pPr>
            <w:r w:rsidRPr="00C066CD">
              <w:rPr>
                <w:spacing w:val="-2"/>
                <w:sz w:val="20"/>
                <w:szCs w:val="20"/>
              </w:rPr>
              <w:t>Matični broj naselja</w:t>
            </w:r>
          </w:p>
        </w:tc>
      </w:tr>
      <w:tr w:rsidR="009351A4" w:rsidRPr="00C066CD" w:rsidTr="00E80BEA">
        <w:trPr>
          <w:trHeight w:val="30"/>
          <w:jc w:val="center"/>
        </w:trPr>
        <w:tc>
          <w:tcPr>
            <w:tcW w:w="1276" w:type="dxa"/>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9351A4" w:rsidRPr="00C066CD" w:rsidRDefault="00154975">
            <w:pPr>
              <w:widowControl w:val="0"/>
              <w:rPr>
                <w:spacing w:val="-2"/>
                <w:sz w:val="20"/>
                <w:szCs w:val="20"/>
              </w:rPr>
            </w:pPr>
            <w:r w:rsidRPr="00C066CD">
              <w:rPr>
                <w:spacing w:val="-2"/>
                <w:sz w:val="20"/>
                <w:szCs w:val="20"/>
              </w:rPr>
              <w:t>ImeNasCir</w:t>
            </w:r>
          </w:p>
        </w:tc>
        <w:tc>
          <w:tcPr>
            <w:tcW w:w="3686" w:type="dxa"/>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9351A4" w:rsidRPr="00C066CD" w:rsidRDefault="00154975">
            <w:pPr>
              <w:widowControl w:val="0"/>
              <w:ind w:right="-49"/>
              <w:rPr>
                <w:spacing w:val="-2"/>
                <w:sz w:val="20"/>
                <w:szCs w:val="20"/>
              </w:rPr>
            </w:pPr>
            <w:r w:rsidRPr="00C066CD">
              <w:rPr>
                <w:spacing w:val="-2"/>
                <w:sz w:val="20"/>
                <w:szCs w:val="20"/>
              </w:rPr>
              <w:t>Name of the settlement in Cyrillic</w:t>
            </w:r>
          </w:p>
        </w:tc>
        <w:tc>
          <w:tcPr>
            <w:tcW w:w="4110" w:type="dxa"/>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9351A4" w:rsidRPr="00C066CD" w:rsidRDefault="00154975">
            <w:pPr>
              <w:widowControl w:val="0"/>
              <w:ind w:right="-49"/>
              <w:rPr>
                <w:spacing w:val="-2"/>
                <w:sz w:val="20"/>
                <w:szCs w:val="20"/>
              </w:rPr>
            </w:pPr>
            <w:r w:rsidRPr="00C066CD">
              <w:rPr>
                <w:spacing w:val="-2"/>
                <w:sz w:val="20"/>
                <w:szCs w:val="20"/>
              </w:rPr>
              <w:t>Ime naselja (ćirilica)</w:t>
            </w:r>
          </w:p>
        </w:tc>
      </w:tr>
      <w:tr w:rsidR="009351A4" w:rsidRPr="00C066CD" w:rsidTr="00E80BEA">
        <w:trPr>
          <w:trHeight w:val="30"/>
          <w:jc w:val="center"/>
        </w:trPr>
        <w:tc>
          <w:tcPr>
            <w:tcW w:w="1276" w:type="dxa"/>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9351A4" w:rsidRPr="00C066CD" w:rsidRDefault="00154975">
            <w:pPr>
              <w:widowControl w:val="0"/>
              <w:rPr>
                <w:spacing w:val="-2"/>
                <w:sz w:val="20"/>
                <w:szCs w:val="20"/>
              </w:rPr>
            </w:pPr>
            <w:r w:rsidRPr="00C066CD">
              <w:rPr>
                <w:spacing w:val="-2"/>
                <w:sz w:val="20"/>
                <w:szCs w:val="20"/>
              </w:rPr>
              <w:t>ImeNasLat</w:t>
            </w:r>
          </w:p>
        </w:tc>
        <w:tc>
          <w:tcPr>
            <w:tcW w:w="3686" w:type="dxa"/>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9351A4" w:rsidRPr="00C066CD" w:rsidRDefault="00154975">
            <w:pPr>
              <w:widowControl w:val="0"/>
              <w:ind w:right="-49"/>
              <w:rPr>
                <w:spacing w:val="-2"/>
                <w:sz w:val="20"/>
                <w:szCs w:val="20"/>
              </w:rPr>
            </w:pPr>
            <w:r w:rsidRPr="00C066CD">
              <w:rPr>
                <w:spacing w:val="-2"/>
                <w:sz w:val="20"/>
                <w:szCs w:val="20"/>
              </w:rPr>
              <w:t>Name of the settlement in Latin</w:t>
            </w:r>
          </w:p>
        </w:tc>
        <w:tc>
          <w:tcPr>
            <w:tcW w:w="4110" w:type="dxa"/>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9351A4" w:rsidRPr="00C066CD" w:rsidRDefault="00154975">
            <w:pPr>
              <w:widowControl w:val="0"/>
              <w:ind w:right="-49"/>
              <w:rPr>
                <w:spacing w:val="-2"/>
                <w:sz w:val="20"/>
                <w:szCs w:val="20"/>
              </w:rPr>
            </w:pPr>
            <w:r w:rsidRPr="00C066CD">
              <w:rPr>
                <w:spacing w:val="-2"/>
                <w:sz w:val="20"/>
                <w:szCs w:val="20"/>
              </w:rPr>
              <w:t>Ime naselja (latinica)</w:t>
            </w:r>
          </w:p>
        </w:tc>
      </w:tr>
      <w:tr w:rsidR="009351A4" w:rsidRPr="00C066CD" w:rsidTr="00E80BEA">
        <w:trPr>
          <w:trHeight w:val="30"/>
          <w:jc w:val="center"/>
        </w:trPr>
        <w:tc>
          <w:tcPr>
            <w:tcW w:w="1276" w:type="dxa"/>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9351A4" w:rsidRPr="00C066CD" w:rsidRDefault="00154975">
            <w:pPr>
              <w:widowControl w:val="0"/>
              <w:rPr>
                <w:spacing w:val="-2"/>
                <w:sz w:val="20"/>
                <w:szCs w:val="20"/>
              </w:rPr>
            </w:pPr>
            <w:r w:rsidRPr="00C066CD">
              <w:rPr>
                <w:spacing w:val="-2"/>
                <w:sz w:val="20"/>
                <w:szCs w:val="20"/>
              </w:rPr>
              <w:t>ImeOpsCir</w:t>
            </w:r>
          </w:p>
        </w:tc>
        <w:tc>
          <w:tcPr>
            <w:tcW w:w="3686" w:type="dxa"/>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9351A4" w:rsidRPr="00C066CD" w:rsidRDefault="00154975">
            <w:pPr>
              <w:widowControl w:val="0"/>
              <w:ind w:right="-49"/>
              <w:rPr>
                <w:spacing w:val="-2"/>
                <w:sz w:val="20"/>
                <w:szCs w:val="20"/>
              </w:rPr>
            </w:pPr>
            <w:r w:rsidRPr="00C066CD">
              <w:rPr>
                <w:spacing w:val="-2"/>
                <w:sz w:val="20"/>
                <w:szCs w:val="20"/>
              </w:rPr>
              <w:t>Name of the municipality in Cyrillic</w:t>
            </w:r>
          </w:p>
        </w:tc>
        <w:tc>
          <w:tcPr>
            <w:tcW w:w="4110" w:type="dxa"/>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9351A4" w:rsidRPr="00C066CD" w:rsidRDefault="00154975">
            <w:pPr>
              <w:widowControl w:val="0"/>
              <w:ind w:right="-49"/>
              <w:rPr>
                <w:spacing w:val="-2"/>
                <w:sz w:val="20"/>
                <w:szCs w:val="20"/>
              </w:rPr>
            </w:pPr>
            <w:r w:rsidRPr="00C066CD">
              <w:rPr>
                <w:spacing w:val="-2"/>
                <w:sz w:val="20"/>
                <w:szCs w:val="20"/>
              </w:rPr>
              <w:t>Ime opštine (ćirilica)</w:t>
            </w:r>
          </w:p>
        </w:tc>
      </w:tr>
      <w:tr w:rsidR="009351A4" w:rsidRPr="00C066CD" w:rsidTr="00E80BEA">
        <w:trPr>
          <w:trHeight w:val="30"/>
          <w:jc w:val="center"/>
        </w:trPr>
        <w:tc>
          <w:tcPr>
            <w:tcW w:w="1276" w:type="dxa"/>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9351A4" w:rsidRPr="00C066CD" w:rsidRDefault="00154975">
            <w:pPr>
              <w:widowControl w:val="0"/>
              <w:rPr>
                <w:spacing w:val="-2"/>
                <w:sz w:val="20"/>
                <w:szCs w:val="20"/>
              </w:rPr>
            </w:pPr>
            <w:r w:rsidRPr="00C066CD">
              <w:rPr>
                <w:spacing w:val="-2"/>
                <w:sz w:val="20"/>
                <w:szCs w:val="20"/>
              </w:rPr>
              <w:t>ImeOpsLat</w:t>
            </w:r>
          </w:p>
        </w:tc>
        <w:tc>
          <w:tcPr>
            <w:tcW w:w="3686" w:type="dxa"/>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9351A4" w:rsidRPr="00C066CD" w:rsidRDefault="00154975">
            <w:pPr>
              <w:widowControl w:val="0"/>
              <w:ind w:right="-49"/>
              <w:rPr>
                <w:spacing w:val="-2"/>
                <w:sz w:val="20"/>
                <w:szCs w:val="20"/>
              </w:rPr>
            </w:pPr>
            <w:r w:rsidRPr="00C066CD">
              <w:rPr>
                <w:spacing w:val="-2"/>
                <w:sz w:val="20"/>
                <w:szCs w:val="20"/>
              </w:rPr>
              <w:t>Name of the municipality in Latin</w:t>
            </w:r>
          </w:p>
        </w:tc>
        <w:tc>
          <w:tcPr>
            <w:tcW w:w="4110" w:type="dxa"/>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9351A4" w:rsidRPr="00C066CD" w:rsidRDefault="00154975">
            <w:pPr>
              <w:widowControl w:val="0"/>
              <w:ind w:right="-49"/>
              <w:rPr>
                <w:spacing w:val="-2"/>
                <w:sz w:val="20"/>
                <w:szCs w:val="20"/>
              </w:rPr>
            </w:pPr>
            <w:r w:rsidRPr="00C066CD">
              <w:rPr>
                <w:spacing w:val="-2"/>
                <w:sz w:val="20"/>
                <w:szCs w:val="20"/>
              </w:rPr>
              <w:t>Ime opštine (latinica)</w:t>
            </w:r>
          </w:p>
        </w:tc>
      </w:tr>
      <w:tr w:rsidR="009351A4" w:rsidRPr="00C066CD" w:rsidTr="00E80BEA">
        <w:trPr>
          <w:trHeight w:val="30"/>
          <w:jc w:val="center"/>
        </w:trPr>
        <w:tc>
          <w:tcPr>
            <w:tcW w:w="1276" w:type="dxa"/>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9351A4" w:rsidRPr="00C066CD" w:rsidRDefault="00154975">
            <w:pPr>
              <w:widowControl w:val="0"/>
              <w:rPr>
                <w:spacing w:val="-2"/>
                <w:sz w:val="20"/>
                <w:szCs w:val="20"/>
              </w:rPr>
            </w:pPr>
            <w:r w:rsidRPr="00C066CD">
              <w:rPr>
                <w:spacing w:val="-2"/>
                <w:sz w:val="20"/>
                <w:szCs w:val="20"/>
              </w:rPr>
              <w:t>TT_car_min*</w:t>
            </w:r>
          </w:p>
        </w:tc>
        <w:tc>
          <w:tcPr>
            <w:tcW w:w="3686" w:type="dxa"/>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9351A4" w:rsidRPr="00C066CD" w:rsidRDefault="00C066CD">
            <w:pPr>
              <w:widowControl w:val="0"/>
              <w:ind w:right="-49"/>
              <w:rPr>
                <w:spacing w:val="-2"/>
                <w:sz w:val="20"/>
                <w:szCs w:val="20"/>
              </w:rPr>
            </w:pPr>
            <w:r w:rsidRPr="00C066CD">
              <w:rPr>
                <w:spacing w:val="-2"/>
                <w:sz w:val="20"/>
                <w:szCs w:val="20"/>
              </w:rPr>
              <w:t xml:space="preserve">Travel </w:t>
            </w:r>
            <w:r w:rsidR="00154975" w:rsidRPr="00C066CD">
              <w:rPr>
                <w:spacing w:val="-2"/>
                <w:sz w:val="20"/>
                <w:szCs w:val="20"/>
              </w:rPr>
              <w:t>time to municipality center (min)</w:t>
            </w:r>
          </w:p>
        </w:tc>
        <w:tc>
          <w:tcPr>
            <w:tcW w:w="4110" w:type="dxa"/>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9351A4" w:rsidRPr="00C066CD" w:rsidRDefault="00154975" w:rsidP="00F34083">
            <w:pPr>
              <w:widowControl w:val="0"/>
              <w:ind w:right="-49"/>
              <w:rPr>
                <w:spacing w:val="-2"/>
                <w:sz w:val="20"/>
                <w:szCs w:val="20"/>
              </w:rPr>
            </w:pPr>
            <w:r w:rsidRPr="00C066CD">
              <w:rPr>
                <w:spacing w:val="-2"/>
                <w:sz w:val="20"/>
                <w:szCs w:val="20"/>
              </w:rPr>
              <w:t>Vreme putovanja do opštinsk</w:t>
            </w:r>
            <w:r w:rsidR="00F34083" w:rsidRPr="00C066CD">
              <w:rPr>
                <w:spacing w:val="-2"/>
                <w:sz w:val="20"/>
                <w:szCs w:val="20"/>
              </w:rPr>
              <w:t>og</w:t>
            </w:r>
            <w:r w:rsidRPr="00C066CD">
              <w:rPr>
                <w:spacing w:val="-2"/>
                <w:sz w:val="20"/>
                <w:szCs w:val="20"/>
              </w:rPr>
              <w:t xml:space="preserve"> centar</w:t>
            </w:r>
            <w:r w:rsidR="00F34083" w:rsidRPr="00C066CD">
              <w:rPr>
                <w:spacing w:val="-2"/>
                <w:sz w:val="20"/>
                <w:szCs w:val="20"/>
              </w:rPr>
              <w:t>a</w:t>
            </w:r>
            <w:r w:rsidRPr="00C066CD">
              <w:rPr>
                <w:spacing w:val="-2"/>
                <w:sz w:val="20"/>
                <w:szCs w:val="20"/>
              </w:rPr>
              <w:t xml:space="preserve"> (min)</w:t>
            </w:r>
          </w:p>
        </w:tc>
      </w:tr>
      <w:tr w:rsidR="009351A4" w:rsidRPr="00C066CD" w:rsidTr="00E80BEA">
        <w:trPr>
          <w:trHeight w:val="30"/>
          <w:jc w:val="center"/>
        </w:trPr>
        <w:tc>
          <w:tcPr>
            <w:tcW w:w="1276" w:type="dxa"/>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9351A4" w:rsidRPr="00C066CD" w:rsidRDefault="00154975">
            <w:pPr>
              <w:widowControl w:val="0"/>
              <w:rPr>
                <w:spacing w:val="-2"/>
                <w:sz w:val="20"/>
                <w:szCs w:val="20"/>
              </w:rPr>
            </w:pPr>
            <w:r w:rsidRPr="00C066CD">
              <w:rPr>
                <w:spacing w:val="-2"/>
                <w:sz w:val="20"/>
                <w:szCs w:val="20"/>
              </w:rPr>
              <w:t>Decl/Grow</w:t>
            </w:r>
          </w:p>
        </w:tc>
        <w:tc>
          <w:tcPr>
            <w:tcW w:w="3686" w:type="dxa"/>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9351A4" w:rsidRPr="00C066CD" w:rsidRDefault="00154975">
            <w:pPr>
              <w:widowControl w:val="0"/>
              <w:ind w:right="-49"/>
              <w:rPr>
                <w:spacing w:val="-2"/>
                <w:sz w:val="20"/>
                <w:szCs w:val="20"/>
              </w:rPr>
            </w:pPr>
            <w:r w:rsidRPr="00C066CD">
              <w:rPr>
                <w:spacing w:val="-2"/>
                <w:sz w:val="20"/>
                <w:szCs w:val="20"/>
              </w:rPr>
              <w:t>Population trend 1975–2015</w:t>
            </w:r>
          </w:p>
        </w:tc>
        <w:tc>
          <w:tcPr>
            <w:tcW w:w="4110" w:type="dxa"/>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9351A4" w:rsidRPr="00C066CD" w:rsidRDefault="00154975">
            <w:pPr>
              <w:widowControl w:val="0"/>
              <w:ind w:right="-49"/>
              <w:rPr>
                <w:spacing w:val="-2"/>
                <w:sz w:val="20"/>
                <w:szCs w:val="20"/>
              </w:rPr>
            </w:pPr>
            <w:r w:rsidRPr="00C066CD">
              <w:rPr>
                <w:spacing w:val="-2"/>
                <w:sz w:val="20"/>
                <w:szCs w:val="20"/>
              </w:rPr>
              <w:t>Trend promene broja stanovnika 1975–2015</w:t>
            </w:r>
          </w:p>
        </w:tc>
      </w:tr>
      <w:tr w:rsidR="009351A4" w:rsidRPr="00C066CD" w:rsidTr="00E80BEA">
        <w:trPr>
          <w:trHeight w:val="470"/>
          <w:jc w:val="center"/>
        </w:trPr>
        <w:tc>
          <w:tcPr>
            <w:tcW w:w="1276" w:type="dxa"/>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9351A4" w:rsidRPr="00C066CD" w:rsidRDefault="00154975">
            <w:pPr>
              <w:widowControl w:val="0"/>
              <w:rPr>
                <w:spacing w:val="-2"/>
                <w:sz w:val="20"/>
                <w:szCs w:val="20"/>
              </w:rPr>
            </w:pPr>
            <w:r w:rsidRPr="00C066CD">
              <w:rPr>
                <w:spacing w:val="-2"/>
                <w:sz w:val="20"/>
                <w:szCs w:val="20"/>
              </w:rPr>
              <w:t>Acc_key</w:t>
            </w:r>
          </w:p>
        </w:tc>
        <w:tc>
          <w:tcPr>
            <w:tcW w:w="3686" w:type="dxa"/>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9351A4" w:rsidRPr="00C066CD" w:rsidRDefault="00154975">
            <w:pPr>
              <w:widowControl w:val="0"/>
              <w:ind w:right="-49"/>
              <w:rPr>
                <w:spacing w:val="-2"/>
                <w:sz w:val="20"/>
                <w:szCs w:val="20"/>
              </w:rPr>
            </w:pPr>
            <w:r w:rsidRPr="00C066CD">
              <w:rPr>
                <w:spacing w:val="-2"/>
                <w:sz w:val="20"/>
                <w:szCs w:val="20"/>
              </w:rPr>
              <w:t>Unique number for settlement class</w:t>
            </w:r>
          </w:p>
          <w:p w:rsidR="009351A4" w:rsidRPr="00C066CD" w:rsidRDefault="00154975">
            <w:pPr>
              <w:widowControl w:val="0"/>
              <w:numPr>
                <w:ilvl w:val="0"/>
                <w:numId w:val="1"/>
              </w:numPr>
              <w:ind w:left="283" w:right="-49" w:hanging="283"/>
              <w:rPr>
                <w:spacing w:val="-2"/>
                <w:sz w:val="20"/>
                <w:szCs w:val="20"/>
              </w:rPr>
            </w:pPr>
            <w:r w:rsidRPr="00C066CD">
              <w:rPr>
                <w:spacing w:val="-2"/>
                <w:sz w:val="20"/>
                <w:szCs w:val="20"/>
              </w:rPr>
              <w:t>Accessible areas with population growth</w:t>
            </w:r>
          </w:p>
          <w:p w:rsidR="009351A4" w:rsidRPr="00C066CD" w:rsidRDefault="00154975">
            <w:pPr>
              <w:widowControl w:val="0"/>
              <w:numPr>
                <w:ilvl w:val="0"/>
                <w:numId w:val="1"/>
              </w:numPr>
              <w:ind w:left="283" w:right="-49" w:hanging="283"/>
              <w:rPr>
                <w:spacing w:val="-2"/>
                <w:sz w:val="20"/>
                <w:szCs w:val="20"/>
              </w:rPr>
            </w:pPr>
            <w:r w:rsidRPr="00C066CD">
              <w:rPr>
                <w:spacing w:val="-2"/>
                <w:sz w:val="20"/>
                <w:szCs w:val="20"/>
              </w:rPr>
              <w:t>Accessible areas with population decline</w:t>
            </w:r>
          </w:p>
          <w:p w:rsidR="009351A4" w:rsidRPr="00C066CD" w:rsidRDefault="00154975">
            <w:pPr>
              <w:widowControl w:val="0"/>
              <w:numPr>
                <w:ilvl w:val="0"/>
                <w:numId w:val="1"/>
              </w:numPr>
              <w:ind w:left="283" w:right="-49" w:hanging="283"/>
              <w:rPr>
                <w:spacing w:val="-2"/>
                <w:sz w:val="20"/>
                <w:szCs w:val="20"/>
              </w:rPr>
            </w:pPr>
            <w:r w:rsidRPr="00C066CD">
              <w:rPr>
                <w:spacing w:val="-2"/>
                <w:sz w:val="20"/>
                <w:szCs w:val="20"/>
              </w:rPr>
              <w:t>Inaccessible areas with population growth</w:t>
            </w:r>
          </w:p>
          <w:p w:rsidR="009351A4" w:rsidRPr="00C066CD" w:rsidRDefault="00154975">
            <w:pPr>
              <w:widowControl w:val="0"/>
              <w:numPr>
                <w:ilvl w:val="0"/>
                <w:numId w:val="1"/>
              </w:numPr>
              <w:ind w:left="283" w:right="-49" w:hanging="283"/>
              <w:rPr>
                <w:spacing w:val="-2"/>
                <w:sz w:val="20"/>
                <w:szCs w:val="20"/>
              </w:rPr>
            </w:pPr>
            <w:r w:rsidRPr="00C066CD">
              <w:rPr>
                <w:spacing w:val="-2"/>
                <w:sz w:val="20"/>
                <w:szCs w:val="20"/>
              </w:rPr>
              <w:t>Inaccessible areas with population decline</w:t>
            </w:r>
          </w:p>
          <w:p w:rsidR="009351A4" w:rsidRPr="00C066CD" w:rsidRDefault="00154975">
            <w:pPr>
              <w:widowControl w:val="0"/>
              <w:numPr>
                <w:ilvl w:val="0"/>
                <w:numId w:val="1"/>
              </w:numPr>
              <w:ind w:left="283" w:right="-49" w:hanging="283"/>
              <w:rPr>
                <w:spacing w:val="-2"/>
                <w:sz w:val="20"/>
                <w:szCs w:val="20"/>
              </w:rPr>
            </w:pPr>
            <w:r w:rsidRPr="00C066CD">
              <w:rPr>
                <w:spacing w:val="-2"/>
                <w:sz w:val="20"/>
                <w:szCs w:val="20"/>
              </w:rPr>
              <w:t>Municipality centre</w:t>
            </w:r>
          </w:p>
          <w:p w:rsidR="009351A4" w:rsidRPr="00C066CD" w:rsidRDefault="00154975">
            <w:pPr>
              <w:widowControl w:val="0"/>
              <w:numPr>
                <w:ilvl w:val="0"/>
                <w:numId w:val="1"/>
              </w:numPr>
              <w:ind w:left="283" w:right="-49" w:hanging="283"/>
              <w:rPr>
                <w:spacing w:val="-2"/>
                <w:sz w:val="20"/>
                <w:szCs w:val="20"/>
              </w:rPr>
            </w:pPr>
            <w:r w:rsidRPr="00C066CD">
              <w:rPr>
                <w:spacing w:val="-2"/>
                <w:sz w:val="20"/>
                <w:szCs w:val="20"/>
              </w:rPr>
              <w:t>No permanent inhabitants</w:t>
            </w:r>
          </w:p>
          <w:p w:rsidR="009351A4" w:rsidRPr="00C066CD" w:rsidRDefault="00154975">
            <w:pPr>
              <w:widowControl w:val="0"/>
              <w:numPr>
                <w:ilvl w:val="0"/>
                <w:numId w:val="1"/>
              </w:numPr>
              <w:ind w:left="283" w:right="-49" w:hanging="283"/>
              <w:rPr>
                <w:spacing w:val="-2"/>
                <w:sz w:val="20"/>
                <w:szCs w:val="20"/>
              </w:rPr>
            </w:pPr>
            <w:r w:rsidRPr="00C066CD">
              <w:rPr>
                <w:spacing w:val="-2"/>
                <w:sz w:val="20"/>
                <w:szCs w:val="20"/>
              </w:rPr>
              <w:t>No data</w:t>
            </w:r>
          </w:p>
        </w:tc>
        <w:tc>
          <w:tcPr>
            <w:tcW w:w="4110" w:type="dxa"/>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9351A4" w:rsidRPr="00C066CD" w:rsidRDefault="00154975">
            <w:pPr>
              <w:widowControl w:val="0"/>
              <w:ind w:right="-49"/>
              <w:rPr>
                <w:spacing w:val="-2"/>
                <w:sz w:val="20"/>
                <w:szCs w:val="20"/>
              </w:rPr>
            </w:pPr>
            <w:r w:rsidRPr="00C066CD">
              <w:rPr>
                <w:spacing w:val="-2"/>
                <w:sz w:val="20"/>
                <w:szCs w:val="20"/>
              </w:rPr>
              <w:t>Jedinstven broj za klasu naselja</w:t>
            </w:r>
          </w:p>
          <w:p w:rsidR="009351A4" w:rsidRPr="00C066CD" w:rsidRDefault="00154975" w:rsidP="00C066CD">
            <w:pPr>
              <w:widowControl w:val="0"/>
              <w:numPr>
                <w:ilvl w:val="0"/>
                <w:numId w:val="2"/>
              </w:numPr>
              <w:ind w:left="283" w:right="-49" w:hanging="283"/>
              <w:rPr>
                <w:spacing w:val="-2"/>
                <w:sz w:val="20"/>
                <w:szCs w:val="20"/>
              </w:rPr>
            </w:pPr>
            <w:r w:rsidRPr="00C066CD">
              <w:rPr>
                <w:spacing w:val="-2"/>
                <w:sz w:val="20"/>
                <w:szCs w:val="20"/>
              </w:rPr>
              <w:t>Pristupačna područja sa populacionim porastom</w:t>
            </w:r>
          </w:p>
          <w:p w:rsidR="009351A4" w:rsidRPr="00C066CD" w:rsidRDefault="00154975" w:rsidP="00C066CD">
            <w:pPr>
              <w:widowControl w:val="0"/>
              <w:numPr>
                <w:ilvl w:val="0"/>
                <w:numId w:val="2"/>
              </w:numPr>
              <w:ind w:left="283" w:right="-49" w:hanging="283"/>
              <w:rPr>
                <w:spacing w:val="-2"/>
                <w:sz w:val="20"/>
                <w:szCs w:val="20"/>
              </w:rPr>
            </w:pPr>
            <w:r w:rsidRPr="00C066CD">
              <w:rPr>
                <w:spacing w:val="-2"/>
                <w:sz w:val="20"/>
                <w:szCs w:val="20"/>
              </w:rPr>
              <w:t>Pristupačna područja sa populacionim padom</w:t>
            </w:r>
          </w:p>
          <w:p w:rsidR="009351A4" w:rsidRPr="00C066CD" w:rsidRDefault="00154975" w:rsidP="00C066CD">
            <w:pPr>
              <w:widowControl w:val="0"/>
              <w:numPr>
                <w:ilvl w:val="0"/>
                <w:numId w:val="2"/>
              </w:numPr>
              <w:ind w:left="283" w:right="-49" w:hanging="283"/>
              <w:rPr>
                <w:spacing w:val="-2"/>
                <w:sz w:val="20"/>
                <w:szCs w:val="20"/>
              </w:rPr>
            </w:pPr>
            <w:r w:rsidRPr="00C066CD">
              <w:rPr>
                <w:spacing w:val="-2"/>
                <w:sz w:val="20"/>
                <w:szCs w:val="20"/>
              </w:rPr>
              <w:t>Nepristupačna područja sa populacionim porastom</w:t>
            </w:r>
          </w:p>
          <w:p w:rsidR="009351A4" w:rsidRPr="00C066CD" w:rsidRDefault="00154975" w:rsidP="00C066CD">
            <w:pPr>
              <w:widowControl w:val="0"/>
              <w:numPr>
                <w:ilvl w:val="0"/>
                <w:numId w:val="2"/>
              </w:numPr>
              <w:ind w:left="283" w:right="-49" w:hanging="283"/>
              <w:rPr>
                <w:spacing w:val="-2"/>
                <w:sz w:val="20"/>
                <w:szCs w:val="20"/>
              </w:rPr>
            </w:pPr>
            <w:r w:rsidRPr="00C066CD">
              <w:rPr>
                <w:spacing w:val="-2"/>
                <w:sz w:val="20"/>
                <w:szCs w:val="20"/>
              </w:rPr>
              <w:t>Nepristupačna područja sa populacionim padom</w:t>
            </w:r>
          </w:p>
          <w:p w:rsidR="009351A4" w:rsidRPr="00C066CD" w:rsidRDefault="00154975" w:rsidP="00C066CD">
            <w:pPr>
              <w:widowControl w:val="0"/>
              <w:numPr>
                <w:ilvl w:val="0"/>
                <w:numId w:val="2"/>
              </w:numPr>
              <w:ind w:left="283" w:right="-49" w:hanging="283"/>
              <w:rPr>
                <w:spacing w:val="-2"/>
                <w:sz w:val="20"/>
                <w:szCs w:val="20"/>
              </w:rPr>
            </w:pPr>
            <w:r w:rsidRPr="00C066CD">
              <w:rPr>
                <w:spacing w:val="-2"/>
                <w:sz w:val="20"/>
                <w:szCs w:val="20"/>
              </w:rPr>
              <w:t>Opštinski centar</w:t>
            </w:r>
          </w:p>
          <w:p w:rsidR="009351A4" w:rsidRPr="00C066CD" w:rsidRDefault="00154975" w:rsidP="00C066CD">
            <w:pPr>
              <w:widowControl w:val="0"/>
              <w:numPr>
                <w:ilvl w:val="0"/>
                <w:numId w:val="2"/>
              </w:numPr>
              <w:ind w:left="283" w:right="-49" w:hanging="283"/>
              <w:rPr>
                <w:spacing w:val="-2"/>
                <w:sz w:val="20"/>
                <w:szCs w:val="20"/>
              </w:rPr>
            </w:pPr>
            <w:r w:rsidRPr="00C066CD">
              <w:rPr>
                <w:spacing w:val="-2"/>
                <w:sz w:val="20"/>
                <w:szCs w:val="20"/>
              </w:rPr>
              <w:t>Nema stalnih stanovnika</w:t>
            </w:r>
          </w:p>
          <w:p w:rsidR="009351A4" w:rsidRPr="00C066CD" w:rsidRDefault="00154975" w:rsidP="00C066CD">
            <w:pPr>
              <w:widowControl w:val="0"/>
              <w:numPr>
                <w:ilvl w:val="0"/>
                <w:numId w:val="2"/>
              </w:numPr>
              <w:ind w:left="283" w:right="-49" w:hanging="283"/>
              <w:rPr>
                <w:spacing w:val="-2"/>
                <w:sz w:val="20"/>
                <w:szCs w:val="20"/>
              </w:rPr>
            </w:pPr>
            <w:r w:rsidRPr="00C066CD">
              <w:rPr>
                <w:spacing w:val="-2"/>
                <w:sz w:val="20"/>
                <w:szCs w:val="20"/>
              </w:rPr>
              <w:t>Nema podataka</w:t>
            </w:r>
          </w:p>
        </w:tc>
      </w:tr>
      <w:tr w:rsidR="009351A4" w:rsidRPr="00C066CD" w:rsidTr="00E80BEA">
        <w:trPr>
          <w:trHeight w:val="1568"/>
          <w:jc w:val="center"/>
        </w:trPr>
        <w:tc>
          <w:tcPr>
            <w:tcW w:w="1276" w:type="dxa"/>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9351A4" w:rsidRPr="00C066CD" w:rsidRDefault="00154975">
            <w:pPr>
              <w:widowControl w:val="0"/>
              <w:rPr>
                <w:spacing w:val="-2"/>
                <w:sz w:val="20"/>
                <w:szCs w:val="20"/>
              </w:rPr>
            </w:pPr>
            <w:r w:rsidRPr="00C066CD">
              <w:rPr>
                <w:spacing w:val="-2"/>
                <w:sz w:val="20"/>
                <w:szCs w:val="20"/>
              </w:rPr>
              <w:t>Acc_Name</w:t>
            </w:r>
          </w:p>
        </w:tc>
        <w:tc>
          <w:tcPr>
            <w:tcW w:w="3686" w:type="dxa"/>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9351A4" w:rsidRPr="00C066CD" w:rsidRDefault="00154975">
            <w:pPr>
              <w:widowControl w:val="0"/>
              <w:ind w:right="-49"/>
              <w:rPr>
                <w:spacing w:val="-2"/>
                <w:sz w:val="20"/>
                <w:szCs w:val="20"/>
              </w:rPr>
            </w:pPr>
            <w:r w:rsidRPr="00C066CD">
              <w:rPr>
                <w:spacing w:val="-2"/>
                <w:sz w:val="20"/>
                <w:szCs w:val="20"/>
              </w:rPr>
              <w:t>Class of settlement according to accessibility and trend of change of population:</w:t>
            </w:r>
          </w:p>
          <w:p w:rsidR="009351A4" w:rsidRPr="00C066CD" w:rsidRDefault="00154975">
            <w:pPr>
              <w:widowControl w:val="0"/>
              <w:numPr>
                <w:ilvl w:val="0"/>
                <w:numId w:val="3"/>
              </w:numPr>
              <w:ind w:right="-49"/>
              <w:rPr>
                <w:spacing w:val="-2"/>
                <w:sz w:val="20"/>
                <w:szCs w:val="20"/>
              </w:rPr>
            </w:pPr>
            <w:r w:rsidRPr="00C066CD">
              <w:rPr>
                <w:spacing w:val="-2"/>
                <w:sz w:val="20"/>
                <w:szCs w:val="20"/>
              </w:rPr>
              <w:t>Accessible areas with population growth</w:t>
            </w:r>
          </w:p>
          <w:p w:rsidR="009351A4" w:rsidRPr="00C066CD" w:rsidRDefault="00154975">
            <w:pPr>
              <w:widowControl w:val="0"/>
              <w:numPr>
                <w:ilvl w:val="0"/>
                <w:numId w:val="3"/>
              </w:numPr>
              <w:ind w:right="-49"/>
              <w:rPr>
                <w:spacing w:val="-2"/>
                <w:sz w:val="20"/>
                <w:szCs w:val="20"/>
              </w:rPr>
            </w:pPr>
            <w:r w:rsidRPr="00C066CD">
              <w:rPr>
                <w:spacing w:val="-2"/>
                <w:sz w:val="20"/>
                <w:szCs w:val="20"/>
              </w:rPr>
              <w:t>Accessible areas with population decline</w:t>
            </w:r>
          </w:p>
          <w:p w:rsidR="009351A4" w:rsidRPr="00C066CD" w:rsidRDefault="00154975">
            <w:pPr>
              <w:widowControl w:val="0"/>
              <w:numPr>
                <w:ilvl w:val="0"/>
                <w:numId w:val="3"/>
              </w:numPr>
              <w:ind w:right="-49"/>
              <w:rPr>
                <w:spacing w:val="-2"/>
                <w:sz w:val="20"/>
                <w:szCs w:val="20"/>
              </w:rPr>
            </w:pPr>
            <w:r w:rsidRPr="00C066CD">
              <w:rPr>
                <w:spacing w:val="-2"/>
                <w:sz w:val="20"/>
                <w:szCs w:val="20"/>
              </w:rPr>
              <w:t>Inaccessible areas with population growth</w:t>
            </w:r>
          </w:p>
          <w:p w:rsidR="009351A4" w:rsidRPr="00C066CD" w:rsidRDefault="00154975">
            <w:pPr>
              <w:widowControl w:val="0"/>
              <w:numPr>
                <w:ilvl w:val="0"/>
                <w:numId w:val="3"/>
              </w:numPr>
              <w:ind w:right="-49"/>
              <w:rPr>
                <w:spacing w:val="-2"/>
                <w:sz w:val="20"/>
                <w:szCs w:val="20"/>
              </w:rPr>
            </w:pPr>
            <w:r w:rsidRPr="00C066CD">
              <w:rPr>
                <w:spacing w:val="-2"/>
                <w:sz w:val="20"/>
                <w:szCs w:val="20"/>
              </w:rPr>
              <w:t>Inaccessible areas with population decline</w:t>
            </w:r>
          </w:p>
          <w:p w:rsidR="009351A4" w:rsidRPr="00C066CD" w:rsidRDefault="00154975">
            <w:pPr>
              <w:widowControl w:val="0"/>
              <w:numPr>
                <w:ilvl w:val="0"/>
                <w:numId w:val="3"/>
              </w:numPr>
              <w:ind w:right="-49"/>
              <w:rPr>
                <w:spacing w:val="-2"/>
                <w:sz w:val="20"/>
                <w:szCs w:val="20"/>
              </w:rPr>
            </w:pPr>
            <w:r w:rsidRPr="00C066CD">
              <w:rPr>
                <w:spacing w:val="-2"/>
                <w:sz w:val="20"/>
                <w:szCs w:val="20"/>
              </w:rPr>
              <w:t>Municipality centre</w:t>
            </w:r>
          </w:p>
          <w:p w:rsidR="009351A4" w:rsidRPr="00C066CD" w:rsidRDefault="00154975">
            <w:pPr>
              <w:widowControl w:val="0"/>
              <w:numPr>
                <w:ilvl w:val="0"/>
                <w:numId w:val="3"/>
              </w:numPr>
              <w:ind w:right="-49"/>
              <w:rPr>
                <w:spacing w:val="-2"/>
                <w:sz w:val="20"/>
                <w:szCs w:val="20"/>
              </w:rPr>
            </w:pPr>
            <w:r w:rsidRPr="00C066CD">
              <w:rPr>
                <w:spacing w:val="-2"/>
                <w:sz w:val="20"/>
                <w:szCs w:val="20"/>
              </w:rPr>
              <w:t>No permanent inhabitants</w:t>
            </w:r>
          </w:p>
          <w:p w:rsidR="009351A4" w:rsidRPr="00C066CD" w:rsidRDefault="00154975">
            <w:pPr>
              <w:widowControl w:val="0"/>
              <w:numPr>
                <w:ilvl w:val="0"/>
                <w:numId w:val="3"/>
              </w:numPr>
              <w:ind w:right="-49"/>
              <w:rPr>
                <w:spacing w:val="-2"/>
                <w:sz w:val="20"/>
                <w:szCs w:val="20"/>
              </w:rPr>
            </w:pPr>
            <w:r w:rsidRPr="00C066CD">
              <w:rPr>
                <w:spacing w:val="-2"/>
                <w:sz w:val="20"/>
                <w:szCs w:val="20"/>
              </w:rPr>
              <w:t>No data</w:t>
            </w:r>
          </w:p>
        </w:tc>
        <w:tc>
          <w:tcPr>
            <w:tcW w:w="4110" w:type="dxa"/>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tcPr>
          <w:p w:rsidR="009351A4" w:rsidRPr="00C066CD" w:rsidRDefault="00154975">
            <w:pPr>
              <w:widowControl w:val="0"/>
              <w:ind w:right="-49"/>
              <w:rPr>
                <w:spacing w:val="-2"/>
                <w:sz w:val="20"/>
                <w:szCs w:val="20"/>
              </w:rPr>
            </w:pPr>
            <w:r w:rsidRPr="00C066CD">
              <w:rPr>
                <w:spacing w:val="-2"/>
                <w:sz w:val="20"/>
                <w:szCs w:val="20"/>
              </w:rPr>
              <w:t>Klasa naselja prema dostuposti i trendu promene broja stanovnika:</w:t>
            </w:r>
          </w:p>
          <w:p w:rsidR="009351A4" w:rsidRPr="00C066CD" w:rsidRDefault="00154975">
            <w:pPr>
              <w:widowControl w:val="0"/>
              <w:numPr>
                <w:ilvl w:val="0"/>
                <w:numId w:val="3"/>
              </w:numPr>
              <w:ind w:right="-49"/>
              <w:rPr>
                <w:spacing w:val="-2"/>
                <w:sz w:val="20"/>
                <w:szCs w:val="20"/>
              </w:rPr>
            </w:pPr>
            <w:r w:rsidRPr="00C066CD">
              <w:rPr>
                <w:spacing w:val="-2"/>
                <w:sz w:val="20"/>
                <w:szCs w:val="20"/>
              </w:rPr>
              <w:t>Pristupačna područja sa populacionim porastom</w:t>
            </w:r>
          </w:p>
          <w:p w:rsidR="009351A4" w:rsidRPr="00C066CD" w:rsidRDefault="00154975">
            <w:pPr>
              <w:widowControl w:val="0"/>
              <w:numPr>
                <w:ilvl w:val="0"/>
                <w:numId w:val="3"/>
              </w:numPr>
              <w:ind w:right="-49"/>
              <w:rPr>
                <w:spacing w:val="-2"/>
                <w:sz w:val="20"/>
                <w:szCs w:val="20"/>
              </w:rPr>
            </w:pPr>
            <w:r w:rsidRPr="00C066CD">
              <w:rPr>
                <w:spacing w:val="-2"/>
                <w:sz w:val="20"/>
                <w:szCs w:val="20"/>
              </w:rPr>
              <w:t>Pristupačna područja sa populacionim padom</w:t>
            </w:r>
          </w:p>
          <w:p w:rsidR="009351A4" w:rsidRPr="00C066CD" w:rsidRDefault="00154975">
            <w:pPr>
              <w:widowControl w:val="0"/>
              <w:numPr>
                <w:ilvl w:val="0"/>
                <w:numId w:val="3"/>
              </w:numPr>
              <w:ind w:right="-49"/>
              <w:rPr>
                <w:spacing w:val="-2"/>
                <w:sz w:val="20"/>
                <w:szCs w:val="20"/>
              </w:rPr>
            </w:pPr>
            <w:r w:rsidRPr="00C066CD">
              <w:rPr>
                <w:spacing w:val="-2"/>
                <w:sz w:val="20"/>
                <w:szCs w:val="20"/>
              </w:rPr>
              <w:t>Nepristupačna područja sa populacionim porastom</w:t>
            </w:r>
          </w:p>
          <w:p w:rsidR="009351A4" w:rsidRPr="00C066CD" w:rsidRDefault="00154975">
            <w:pPr>
              <w:widowControl w:val="0"/>
              <w:numPr>
                <w:ilvl w:val="0"/>
                <w:numId w:val="3"/>
              </w:numPr>
              <w:ind w:right="-49"/>
              <w:rPr>
                <w:spacing w:val="-2"/>
                <w:sz w:val="20"/>
                <w:szCs w:val="20"/>
              </w:rPr>
            </w:pPr>
            <w:r w:rsidRPr="00C066CD">
              <w:rPr>
                <w:spacing w:val="-2"/>
                <w:sz w:val="20"/>
                <w:szCs w:val="20"/>
              </w:rPr>
              <w:t>Nepristupačna područja sa populacionim padom</w:t>
            </w:r>
          </w:p>
          <w:p w:rsidR="009351A4" w:rsidRPr="00C066CD" w:rsidRDefault="00154975">
            <w:pPr>
              <w:widowControl w:val="0"/>
              <w:numPr>
                <w:ilvl w:val="0"/>
                <w:numId w:val="3"/>
              </w:numPr>
              <w:ind w:right="-49"/>
              <w:rPr>
                <w:spacing w:val="-2"/>
                <w:sz w:val="20"/>
                <w:szCs w:val="20"/>
              </w:rPr>
            </w:pPr>
            <w:r w:rsidRPr="00C066CD">
              <w:rPr>
                <w:spacing w:val="-2"/>
                <w:sz w:val="20"/>
                <w:szCs w:val="20"/>
              </w:rPr>
              <w:t>Opštinski centar</w:t>
            </w:r>
          </w:p>
          <w:p w:rsidR="009351A4" w:rsidRPr="00C066CD" w:rsidRDefault="00154975">
            <w:pPr>
              <w:widowControl w:val="0"/>
              <w:numPr>
                <w:ilvl w:val="0"/>
                <w:numId w:val="3"/>
              </w:numPr>
              <w:ind w:right="-49"/>
              <w:rPr>
                <w:spacing w:val="-2"/>
                <w:sz w:val="20"/>
                <w:szCs w:val="20"/>
              </w:rPr>
            </w:pPr>
            <w:r w:rsidRPr="00C066CD">
              <w:rPr>
                <w:spacing w:val="-2"/>
                <w:sz w:val="20"/>
                <w:szCs w:val="20"/>
              </w:rPr>
              <w:t>Nema stalnih stanovnika</w:t>
            </w:r>
          </w:p>
          <w:p w:rsidR="009351A4" w:rsidRPr="00C066CD" w:rsidRDefault="00154975">
            <w:pPr>
              <w:widowControl w:val="0"/>
              <w:numPr>
                <w:ilvl w:val="0"/>
                <w:numId w:val="3"/>
              </w:numPr>
              <w:ind w:right="-49"/>
              <w:rPr>
                <w:spacing w:val="-2"/>
                <w:sz w:val="20"/>
                <w:szCs w:val="20"/>
              </w:rPr>
            </w:pPr>
            <w:r w:rsidRPr="00C066CD">
              <w:rPr>
                <w:spacing w:val="-2"/>
                <w:sz w:val="20"/>
                <w:szCs w:val="20"/>
              </w:rPr>
              <w:t>Nema podataka</w:t>
            </w:r>
          </w:p>
        </w:tc>
      </w:tr>
    </w:tbl>
    <w:p w:rsidR="009351A4" w:rsidRDefault="009351A4"/>
    <w:p w:rsidR="009351A4" w:rsidRPr="00C066CD" w:rsidRDefault="00154975">
      <w:pPr>
        <w:rPr>
          <w:sz w:val="20"/>
          <w:szCs w:val="20"/>
        </w:rPr>
      </w:pPr>
      <w:r w:rsidRPr="00C066CD">
        <w:rPr>
          <w:sz w:val="20"/>
          <w:szCs w:val="20"/>
        </w:rPr>
        <w:t>*</w:t>
      </w:r>
      <w:r w:rsidRPr="00E80BEA">
        <w:rPr>
          <w:i/>
          <w:sz w:val="20"/>
          <w:szCs w:val="20"/>
        </w:rPr>
        <w:t>Note</w:t>
      </w:r>
      <w:r w:rsidRPr="00C066CD">
        <w:rPr>
          <w:sz w:val="20"/>
          <w:szCs w:val="20"/>
        </w:rPr>
        <w:t>. 0 = Municipality center; NULL = No data</w:t>
      </w:r>
    </w:p>
    <w:p w:rsidR="009351A4" w:rsidRDefault="00154975">
      <w:pPr>
        <w:spacing w:after="240"/>
        <w:jc w:val="both"/>
      </w:pPr>
      <w:r>
        <w:rPr>
          <w:b/>
        </w:rPr>
        <w:lastRenderedPageBreak/>
        <w:t xml:space="preserve">Description of Indicator: </w:t>
      </w:r>
      <w:r>
        <w:t>Accessibility as a Determinant of the Depopulation is a complex indicator that simultaneously treats the importance of settlements, the quality and density of the traffic network, and population change. Accessibility or isolation expressed by the time distance from the municipal center indirectly indicates the degree of demographic vulnerability. Settlements that are temporally distant from the municipal center, as well as regional centers, are considered isolated, peripheral. The greater distance influences the more difficult conditions for the local population to meet the essential needs, and the availability of tertiary institutions (education, health, culture, administration) is significantly reduced. Such territories are directly exposed to the depopulation process. On the other hand, settlements that are at a smaller distance from the city, located near the modern traffic infrastructure, enable and facilitate the mobility of the population to meet business and personal needs in the nearest center. Starting from the assumption that the population change is directly affected by accessibility, both components are incorporated into this complex Indicator. The average time distance (in minutes) from the municipal center for each settlement was calculated following the European norms (for average speeds of motor vehicles on different categories of roads). The average time distance in Serbia (21.3 min) was used to classify settlements into two categories: accessible and inaccessible. The time distance of the settlement from the municipal center was compared with the population trend in the period 1975–2015 based on which settlements are divided into two categories: those with population growth and population decline. Finally, four classes were created: Accessible areas with population decline, Accessible areas with population decline, Inaccessible areas with population decline, and Inaccessibl</w:t>
      </w:r>
      <w:r w:rsidR="00C066CD">
        <w:t>e areas with population growth.</w:t>
      </w:r>
    </w:p>
    <w:p w:rsidR="00C066CD" w:rsidRDefault="00C066CD" w:rsidP="00C066CD">
      <w:pPr>
        <w:jc w:val="both"/>
      </w:pPr>
    </w:p>
    <w:p w:rsidR="009351A4" w:rsidRDefault="00154975">
      <w:pPr>
        <w:spacing w:after="240"/>
        <w:jc w:val="both"/>
        <w:rPr>
          <w:b/>
        </w:rPr>
      </w:pPr>
      <w:r>
        <w:rPr>
          <w:b/>
        </w:rPr>
        <w:t>Source data for Indicator calculation</w:t>
      </w:r>
    </w:p>
    <w:tbl>
      <w:tblPr>
        <w:tblStyle w:val="a1"/>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510"/>
      </w:tblGrid>
      <w:tr w:rsidR="009351A4" w:rsidTr="00C066CD">
        <w:tc>
          <w:tcPr>
            <w:tcW w:w="2490" w:type="dxa"/>
            <w:shd w:val="clear" w:color="auto" w:fill="9BBB59" w:themeFill="accent3"/>
            <w:tcMar>
              <w:top w:w="100" w:type="dxa"/>
              <w:left w:w="100" w:type="dxa"/>
              <w:bottom w:w="100" w:type="dxa"/>
              <w:right w:w="100" w:type="dxa"/>
            </w:tcMar>
          </w:tcPr>
          <w:p w:rsidR="009351A4" w:rsidRDefault="00154975" w:rsidP="00C066CD">
            <w:pPr>
              <w:widowControl w:val="0"/>
              <w:pBdr>
                <w:top w:val="nil"/>
                <w:left w:val="nil"/>
                <w:bottom w:val="nil"/>
                <w:right w:val="nil"/>
                <w:between w:val="nil"/>
              </w:pBdr>
              <w:spacing w:line="240" w:lineRule="auto"/>
              <w:jc w:val="center"/>
              <w:rPr>
                <w:b/>
              </w:rPr>
            </w:pPr>
            <w:r>
              <w:rPr>
                <w:b/>
              </w:rPr>
              <w:t>Type of data</w:t>
            </w:r>
          </w:p>
        </w:tc>
        <w:tc>
          <w:tcPr>
            <w:tcW w:w="6510" w:type="dxa"/>
            <w:shd w:val="clear" w:color="auto" w:fill="9BBB59" w:themeFill="accent3"/>
            <w:tcMar>
              <w:top w:w="100" w:type="dxa"/>
              <w:left w:w="100" w:type="dxa"/>
              <w:bottom w:w="100" w:type="dxa"/>
              <w:right w:w="100" w:type="dxa"/>
            </w:tcMar>
          </w:tcPr>
          <w:p w:rsidR="009351A4" w:rsidRDefault="00154975" w:rsidP="00C066CD">
            <w:pPr>
              <w:widowControl w:val="0"/>
              <w:pBdr>
                <w:top w:val="nil"/>
                <w:left w:val="nil"/>
                <w:bottom w:val="nil"/>
                <w:right w:val="nil"/>
                <w:between w:val="nil"/>
              </w:pBdr>
              <w:spacing w:line="240" w:lineRule="auto"/>
              <w:jc w:val="center"/>
              <w:rPr>
                <w:b/>
              </w:rPr>
            </w:pPr>
            <w:r>
              <w:rPr>
                <w:b/>
              </w:rPr>
              <w:t>Source</w:t>
            </w:r>
          </w:p>
        </w:tc>
      </w:tr>
      <w:tr w:rsidR="00A03D39">
        <w:tc>
          <w:tcPr>
            <w:tcW w:w="2490" w:type="dxa"/>
            <w:shd w:val="clear" w:color="auto" w:fill="auto"/>
            <w:tcMar>
              <w:top w:w="100" w:type="dxa"/>
              <w:left w:w="100" w:type="dxa"/>
              <w:bottom w:w="100" w:type="dxa"/>
              <w:right w:w="100" w:type="dxa"/>
            </w:tcMar>
            <w:vAlign w:val="center"/>
          </w:tcPr>
          <w:p w:rsidR="00A03D39" w:rsidRDefault="00A03D39" w:rsidP="00C066CD">
            <w:pPr>
              <w:widowControl w:val="0"/>
              <w:pBdr>
                <w:top w:val="nil"/>
                <w:left w:val="nil"/>
                <w:bottom w:val="nil"/>
                <w:right w:val="nil"/>
                <w:between w:val="nil"/>
              </w:pBdr>
              <w:spacing w:line="240" w:lineRule="auto"/>
            </w:pPr>
            <w:r>
              <w:t>Time distance</w:t>
            </w:r>
          </w:p>
        </w:tc>
        <w:tc>
          <w:tcPr>
            <w:tcW w:w="6510" w:type="dxa"/>
            <w:shd w:val="clear" w:color="auto" w:fill="auto"/>
            <w:tcMar>
              <w:top w:w="100" w:type="dxa"/>
              <w:left w:w="100" w:type="dxa"/>
              <w:bottom w:w="100" w:type="dxa"/>
              <w:right w:w="100" w:type="dxa"/>
            </w:tcMar>
            <w:vAlign w:val="center"/>
          </w:tcPr>
          <w:p w:rsidR="00A03D39" w:rsidRDefault="00647942" w:rsidP="00C066CD">
            <w:pPr>
              <w:spacing w:line="240" w:lineRule="auto"/>
            </w:pPr>
            <w:hyperlink r:id="rId9">
              <w:r w:rsidR="00A03D39">
                <w:rPr>
                  <w:color w:val="0000FF"/>
                  <w:u w:val="single"/>
                </w:rPr>
                <w:t>OpenStreetMap</w:t>
              </w:r>
            </w:hyperlink>
          </w:p>
        </w:tc>
      </w:tr>
      <w:tr w:rsidR="009351A4">
        <w:tc>
          <w:tcPr>
            <w:tcW w:w="2490" w:type="dxa"/>
            <w:shd w:val="clear" w:color="auto" w:fill="auto"/>
            <w:tcMar>
              <w:top w:w="100" w:type="dxa"/>
              <w:left w:w="100" w:type="dxa"/>
              <w:bottom w:w="100" w:type="dxa"/>
              <w:right w:w="100" w:type="dxa"/>
            </w:tcMar>
            <w:vAlign w:val="center"/>
          </w:tcPr>
          <w:p w:rsidR="009351A4" w:rsidRDefault="00154975" w:rsidP="00C066CD">
            <w:pPr>
              <w:widowControl w:val="0"/>
              <w:pBdr>
                <w:top w:val="nil"/>
                <w:left w:val="nil"/>
                <w:bottom w:val="nil"/>
                <w:right w:val="nil"/>
                <w:between w:val="nil"/>
              </w:pBdr>
              <w:spacing w:line="240" w:lineRule="auto"/>
            </w:pPr>
            <w:r>
              <w:t>Population count*</w:t>
            </w:r>
          </w:p>
        </w:tc>
        <w:bookmarkStart w:id="1" w:name="_heading=h.gjdgxs" w:colFirst="0" w:colLast="0"/>
        <w:bookmarkEnd w:id="1"/>
        <w:tc>
          <w:tcPr>
            <w:tcW w:w="6510" w:type="dxa"/>
            <w:shd w:val="clear" w:color="auto" w:fill="auto"/>
            <w:tcMar>
              <w:top w:w="100" w:type="dxa"/>
              <w:left w:w="100" w:type="dxa"/>
              <w:bottom w:w="100" w:type="dxa"/>
              <w:right w:w="100" w:type="dxa"/>
            </w:tcMar>
            <w:vAlign w:val="center"/>
          </w:tcPr>
          <w:p w:rsidR="009351A4" w:rsidRDefault="00154975" w:rsidP="00C066CD">
            <w:pPr>
              <w:spacing w:line="240" w:lineRule="auto"/>
              <w:rPr>
                <w:b/>
              </w:rPr>
            </w:pPr>
            <w:r>
              <w:fldChar w:fldCharType="begin"/>
            </w:r>
            <w:r>
              <w:instrText xml:space="preserve"> HYPERLINK "https://data.jrc.ec.europa.eu/dataset/0c6b9751-a71f-4062-830b-43c9f432370f" \h </w:instrText>
            </w:r>
            <w:r>
              <w:fldChar w:fldCharType="separate"/>
            </w:r>
            <w:r>
              <w:rPr>
                <w:color w:val="0000FF"/>
                <w:u w:val="single"/>
              </w:rPr>
              <w:t>GHS-POP R2019A dataset—GHS population grid multitemporal [European Commission, Joint Research Center, 2019], datasets for 1975 and 2015</w:t>
            </w:r>
            <w:r>
              <w:rPr>
                <w:color w:val="0000FF"/>
                <w:u w:val="single"/>
              </w:rPr>
              <w:fldChar w:fldCharType="end"/>
            </w:r>
          </w:p>
        </w:tc>
      </w:tr>
      <w:tr w:rsidR="009351A4">
        <w:tc>
          <w:tcPr>
            <w:tcW w:w="2490" w:type="dxa"/>
            <w:shd w:val="clear" w:color="auto" w:fill="auto"/>
            <w:tcMar>
              <w:top w:w="100" w:type="dxa"/>
              <w:left w:w="100" w:type="dxa"/>
              <w:bottom w:w="100" w:type="dxa"/>
              <w:right w:w="100" w:type="dxa"/>
            </w:tcMar>
            <w:vAlign w:val="center"/>
          </w:tcPr>
          <w:p w:rsidR="009351A4" w:rsidRDefault="00154975" w:rsidP="00C066CD">
            <w:pPr>
              <w:widowControl w:val="0"/>
              <w:pBdr>
                <w:top w:val="nil"/>
                <w:left w:val="nil"/>
                <w:bottom w:val="nil"/>
                <w:right w:val="nil"/>
                <w:between w:val="nil"/>
              </w:pBdr>
              <w:spacing w:line="240" w:lineRule="auto"/>
            </w:pPr>
            <w:r>
              <w:t>Administrative units**</w:t>
            </w:r>
          </w:p>
        </w:tc>
        <w:tc>
          <w:tcPr>
            <w:tcW w:w="6510" w:type="dxa"/>
            <w:shd w:val="clear" w:color="auto" w:fill="auto"/>
            <w:tcMar>
              <w:top w:w="100" w:type="dxa"/>
              <w:left w:w="100" w:type="dxa"/>
              <w:bottom w:w="100" w:type="dxa"/>
              <w:right w:w="100" w:type="dxa"/>
            </w:tcMar>
            <w:vAlign w:val="center"/>
          </w:tcPr>
          <w:p w:rsidR="009351A4" w:rsidRDefault="00647942" w:rsidP="00C066CD">
            <w:pPr>
              <w:spacing w:line="240" w:lineRule="auto"/>
              <w:rPr>
                <w:b/>
              </w:rPr>
            </w:pPr>
            <w:hyperlink r:id="rId10">
              <w:r w:rsidR="00154975">
                <w:rPr>
                  <w:color w:val="0000FF"/>
                  <w:u w:val="single"/>
                </w:rPr>
                <w:t>GeoSrbija [Open data of the National Data Infrastructure, Republic Geodetic Authority, n.d.]</w:t>
              </w:r>
            </w:hyperlink>
          </w:p>
        </w:tc>
      </w:tr>
    </w:tbl>
    <w:p w:rsidR="009351A4" w:rsidRDefault="009351A4" w:rsidP="00C066CD">
      <w:pPr>
        <w:jc w:val="both"/>
        <w:rPr>
          <w:b/>
        </w:rPr>
      </w:pPr>
    </w:p>
    <w:p w:rsidR="009351A4" w:rsidRDefault="00154975" w:rsidP="00C066CD">
      <w:pPr>
        <w:spacing w:after="240"/>
      </w:pPr>
      <w:r>
        <w:t xml:space="preserve">*   </w:t>
      </w:r>
      <w:r w:rsidRPr="00154975">
        <w:t xml:space="preserve">Population data for municipalites Preševo and Bujanovac are not included in datasets. Accordingly, the indicator values within these aministrative units are missing. </w:t>
      </w:r>
    </w:p>
    <w:p w:rsidR="009351A4" w:rsidRDefault="00154975" w:rsidP="00C066CD">
      <w:pPr>
        <w:spacing w:after="240"/>
        <w:jc w:val="both"/>
      </w:pPr>
      <w:r>
        <w:t xml:space="preserve">** </w:t>
      </w:r>
      <w:r w:rsidR="00F34083">
        <w:t>GeoSrbija</w:t>
      </w:r>
      <w:r w:rsidRPr="00154975">
        <w:t xml:space="preserve"> (Open Data of the National Data Infrastructure, Republic Geodetic Authority, n.d.) from which the administrative settlements boundaries were taken have no data for the province Kosovo and Metohija. Accordingly, these administrative units were not included in the analysis.</w:t>
      </w:r>
    </w:p>
    <w:sectPr w:rsidR="009351A4">
      <w:headerReference w:type="default" r:id="rId11"/>
      <w:foot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7942" w:rsidRDefault="00647942" w:rsidP="00F34083">
      <w:pPr>
        <w:spacing w:line="240" w:lineRule="auto"/>
      </w:pPr>
      <w:r>
        <w:separator/>
      </w:r>
    </w:p>
  </w:endnote>
  <w:endnote w:type="continuationSeparator" w:id="0">
    <w:p w:rsidR="00647942" w:rsidRDefault="00647942" w:rsidP="00F340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4498210"/>
      <w:docPartObj>
        <w:docPartGallery w:val="Page Numbers (Bottom of Page)"/>
        <w:docPartUnique/>
      </w:docPartObj>
    </w:sdtPr>
    <w:sdtEndPr>
      <w:rPr>
        <w:b/>
        <w:noProof/>
        <w:color w:val="996633"/>
        <w:sz w:val="16"/>
        <w:szCs w:val="16"/>
      </w:rPr>
    </w:sdtEndPr>
    <w:sdtContent>
      <w:p w:rsidR="00F34083" w:rsidRPr="00C066CD" w:rsidRDefault="00F34083" w:rsidP="00C066CD">
        <w:pPr>
          <w:pStyle w:val="Footer"/>
          <w:jc w:val="center"/>
          <w:rPr>
            <w:b/>
            <w:color w:val="996633"/>
            <w:sz w:val="16"/>
            <w:szCs w:val="16"/>
          </w:rPr>
        </w:pPr>
        <w:r w:rsidRPr="00C066CD">
          <w:rPr>
            <w:b/>
            <w:color w:val="996633"/>
            <w:sz w:val="16"/>
            <w:szCs w:val="16"/>
          </w:rPr>
          <w:fldChar w:fldCharType="begin"/>
        </w:r>
        <w:r w:rsidRPr="00C066CD">
          <w:rPr>
            <w:b/>
            <w:color w:val="996633"/>
            <w:sz w:val="16"/>
            <w:szCs w:val="16"/>
          </w:rPr>
          <w:instrText xml:space="preserve"> PAGE   \* MERGEFORMAT </w:instrText>
        </w:r>
        <w:r w:rsidRPr="00C066CD">
          <w:rPr>
            <w:b/>
            <w:color w:val="996633"/>
            <w:sz w:val="16"/>
            <w:szCs w:val="16"/>
          </w:rPr>
          <w:fldChar w:fldCharType="separate"/>
        </w:r>
        <w:r w:rsidR="00647942">
          <w:rPr>
            <w:b/>
            <w:noProof/>
            <w:color w:val="996633"/>
            <w:sz w:val="16"/>
            <w:szCs w:val="16"/>
          </w:rPr>
          <w:t>1</w:t>
        </w:r>
        <w:r w:rsidRPr="00C066CD">
          <w:rPr>
            <w:b/>
            <w:noProof/>
            <w:color w:val="996633"/>
            <w:sz w:val="16"/>
            <w:szCs w:val="16"/>
          </w:rPr>
          <w:fldChar w:fldCharType="end"/>
        </w:r>
        <w:r w:rsidR="005465A5" w:rsidRPr="00C066CD">
          <w:rPr>
            <w:b/>
            <w:noProof/>
            <w:color w:val="996633"/>
            <w:sz w:val="16"/>
            <w:szCs w:val="16"/>
          </w:rPr>
          <w:t xml:space="preserve"> of </w:t>
        </w:r>
        <w:r w:rsidR="00C066CD">
          <w:rPr>
            <w:b/>
            <w:noProof/>
            <w:color w:val="996633"/>
            <w:sz w:val="16"/>
            <w:szCs w:val="16"/>
          </w:rPr>
          <w:t>2</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7942" w:rsidRDefault="00647942" w:rsidP="00F34083">
      <w:pPr>
        <w:spacing w:line="240" w:lineRule="auto"/>
      </w:pPr>
      <w:r>
        <w:separator/>
      </w:r>
    </w:p>
  </w:footnote>
  <w:footnote w:type="continuationSeparator" w:id="0">
    <w:p w:rsidR="00647942" w:rsidRDefault="00647942" w:rsidP="00F3408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6CD" w:rsidRPr="0043442D" w:rsidRDefault="00C066CD" w:rsidP="00C066CD">
    <w:pPr>
      <w:pStyle w:val="Header"/>
      <w:jc w:val="center"/>
      <w:rPr>
        <w:b/>
        <w:color w:val="996633"/>
        <w:spacing w:val="-2"/>
        <w:sz w:val="14"/>
        <w:szCs w:val="14"/>
      </w:rPr>
    </w:pPr>
    <w:r w:rsidRPr="0043442D">
      <w:rPr>
        <w:b/>
        <w:color w:val="996633"/>
        <w:spacing w:val="-2"/>
        <w:sz w:val="12"/>
        <w:szCs w:val="12"/>
      </w:rPr>
      <w:br/>
    </w:r>
    <w:r w:rsidRPr="0043442D">
      <w:rPr>
        <w:b/>
        <w:noProof/>
        <w:color w:val="365F91" w:themeColor="accent1" w:themeShade="BF"/>
        <w:spacing w:val="-2"/>
        <w:sz w:val="14"/>
        <w:szCs w:val="14"/>
        <w:lang w:val="en-US"/>
      </w:rPr>
      <mc:AlternateContent>
        <mc:Choice Requires="wps">
          <w:drawing>
            <wp:anchor distT="0" distB="0" distL="114300" distR="114300" simplePos="0" relativeHeight="251664384" behindDoc="0" locked="0" layoutInCell="1" allowOverlap="1" wp14:anchorId="4FD49805" wp14:editId="29D8E583">
              <wp:simplePos x="0" y="0"/>
              <wp:positionH relativeFrom="column">
                <wp:posOffset>5432425</wp:posOffset>
              </wp:positionH>
              <wp:positionV relativeFrom="paragraph">
                <wp:posOffset>0</wp:posOffset>
              </wp:positionV>
              <wp:extent cx="297815" cy="257175"/>
              <wp:effectExtent l="0" t="0" r="6985" b="9525"/>
              <wp:wrapNone/>
              <wp:docPr id="11" name="Hexagon 11"/>
              <wp:cNvGraphicFramePr/>
              <a:graphic xmlns:a="http://schemas.openxmlformats.org/drawingml/2006/main">
                <a:graphicData uri="http://schemas.microsoft.com/office/word/2010/wordprocessingShape">
                  <wps:wsp>
                    <wps:cNvSpPr/>
                    <wps:spPr>
                      <a:xfrm>
                        <a:off x="0" y="0"/>
                        <a:ext cx="297815" cy="257175"/>
                      </a:xfrm>
                      <a:prstGeom prst="hexagon">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1" o:spid="_x0000_s1026" type="#_x0000_t9" style="position:absolute;margin-left:427.75pt;margin-top:0;width:23.45pt;height:20.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" adj="4663" fillcolor="#9bbb59 [3206]" stroked="f" strokeweight="2pt"/>
          </w:pict>
        </mc:Fallback>
      </mc:AlternateContent>
    </w:r>
    <w:r w:rsidRPr="0043442D">
      <w:rPr>
        <w:b/>
        <w:noProof/>
        <w:color w:val="365F91" w:themeColor="accent1" w:themeShade="BF"/>
        <w:spacing w:val="-2"/>
        <w:sz w:val="14"/>
        <w:szCs w:val="14"/>
        <w:lang w:val="en-US"/>
      </w:rPr>
      <mc:AlternateContent>
        <mc:Choice Requires="wps">
          <w:drawing>
            <wp:anchor distT="0" distB="0" distL="114300" distR="114300" simplePos="0" relativeHeight="251663360" behindDoc="0" locked="0" layoutInCell="1" allowOverlap="1" wp14:anchorId="00E9A970" wp14:editId="1F15CECF">
              <wp:simplePos x="0" y="0"/>
              <wp:positionH relativeFrom="column">
                <wp:posOffset>5180965</wp:posOffset>
              </wp:positionH>
              <wp:positionV relativeFrom="paragraph">
                <wp:posOffset>155575</wp:posOffset>
              </wp:positionV>
              <wp:extent cx="297815" cy="257175"/>
              <wp:effectExtent l="0" t="0" r="6985" b="9525"/>
              <wp:wrapNone/>
              <wp:docPr id="10" name="Hexagon 10"/>
              <wp:cNvGraphicFramePr/>
              <a:graphic xmlns:a="http://schemas.openxmlformats.org/drawingml/2006/main">
                <a:graphicData uri="http://schemas.microsoft.com/office/word/2010/wordprocessingShape">
                  <wps:wsp>
                    <wps:cNvSpPr/>
                    <wps:spPr>
                      <a:xfrm>
                        <a:off x="0" y="0"/>
                        <a:ext cx="297815" cy="257175"/>
                      </a:xfrm>
                      <a:prstGeom prst="hexagon">
                        <a:avLst/>
                      </a:prstGeom>
                      <a:solidFill>
                        <a:srgbClr val="99663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Hexagon 10" o:spid="_x0000_s1026" type="#_x0000_t9" style="position:absolute;margin-left:407.95pt;margin-top:12.25pt;width:23.45pt;height:20.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" adj="4663" fillcolor="#963" stroked="f" strokeweight="2pt"/>
          </w:pict>
        </mc:Fallback>
      </mc:AlternateContent>
    </w:r>
    <w:r w:rsidRPr="0043442D">
      <w:rPr>
        <w:b/>
        <w:noProof/>
        <w:color w:val="365F91" w:themeColor="accent1" w:themeShade="BF"/>
        <w:spacing w:val="-2"/>
        <w:sz w:val="14"/>
        <w:szCs w:val="14"/>
        <w:lang w:val="en-US"/>
      </w:rPr>
      <mc:AlternateContent>
        <mc:Choice Requires="wps">
          <w:drawing>
            <wp:anchor distT="0" distB="0" distL="114300" distR="114300" simplePos="0" relativeHeight="251662336" behindDoc="0" locked="0" layoutInCell="1" allowOverlap="1" wp14:anchorId="22AB999E" wp14:editId="2C310D24">
              <wp:simplePos x="0" y="0"/>
              <wp:positionH relativeFrom="column">
                <wp:posOffset>4929812</wp:posOffset>
              </wp:positionH>
              <wp:positionV relativeFrom="paragraph">
                <wp:posOffset>187</wp:posOffset>
              </wp:positionV>
              <wp:extent cx="297815" cy="257175"/>
              <wp:effectExtent l="0" t="0" r="6985" b="9525"/>
              <wp:wrapNone/>
              <wp:docPr id="9" name="Hexagon 9"/>
              <wp:cNvGraphicFramePr/>
              <a:graphic xmlns:a="http://schemas.openxmlformats.org/drawingml/2006/main">
                <a:graphicData uri="http://schemas.microsoft.com/office/word/2010/wordprocessingShape">
                  <wps:wsp>
                    <wps:cNvSpPr/>
                    <wps:spPr>
                      <a:xfrm>
                        <a:off x="0" y="0"/>
                        <a:ext cx="297815" cy="257175"/>
                      </a:xfrm>
                      <a:prstGeom prst="hexagon">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Hexagon 9" o:spid="_x0000_s1026" type="#_x0000_t9" style="position:absolute;margin-left:388.15pt;margin-top:0;width:23.45pt;height:20.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" adj="4663" fillcolor="#9bbb59 [3206]" stroked="f" strokeweight="2pt"/>
          </w:pict>
        </mc:Fallback>
      </mc:AlternateContent>
    </w:r>
    <w:r w:rsidRPr="0043442D">
      <w:rPr>
        <w:b/>
        <w:noProof/>
        <w:color w:val="4F81BD" w:themeColor="accent1"/>
        <w:spacing w:val="-2"/>
        <w:sz w:val="14"/>
        <w:szCs w:val="14"/>
        <w:lang w:val="en-US"/>
      </w:rPr>
      <mc:AlternateContent>
        <mc:Choice Requires="wps">
          <w:drawing>
            <wp:anchor distT="0" distB="0" distL="114300" distR="114300" simplePos="0" relativeHeight="251660288" behindDoc="0" locked="0" layoutInCell="1" allowOverlap="1" wp14:anchorId="70D1EBE3" wp14:editId="405368CD">
              <wp:simplePos x="0" y="0"/>
              <wp:positionH relativeFrom="column">
                <wp:posOffset>256233</wp:posOffset>
              </wp:positionH>
              <wp:positionV relativeFrom="paragraph">
                <wp:posOffset>163369</wp:posOffset>
              </wp:positionV>
              <wp:extent cx="297815" cy="257175"/>
              <wp:effectExtent l="0" t="0" r="6985" b="9525"/>
              <wp:wrapNone/>
              <wp:docPr id="4" name="Hexagon 4"/>
              <wp:cNvGraphicFramePr/>
              <a:graphic xmlns:a="http://schemas.openxmlformats.org/drawingml/2006/main">
                <a:graphicData uri="http://schemas.microsoft.com/office/word/2010/wordprocessingShape">
                  <wps:wsp>
                    <wps:cNvSpPr/>
                    <wps:spPr>
                      <a:xfrm>
                        <a:off x="0" y="0"/>
                        <a:ext cx="297815" cy="257175"/>
                      </a:xfrm>
                      <a:prstGeom prst="hexagon">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Hexagon 4" o:spid="_x0000_s1026" type="#_x0000_t9" style="position:absolute;margin-left:20.2pt;margin-top:12.85pt;width:23.45pt;height:20.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" adj="4663" fillcolor="#9bbb59 [3206]" stroked="f" strokeweight="2pt"/>
          </w:pict>
        </mc:Fallback>
      </mc:AlternateContent>
    </w:r>
    <w:r w:rsidRPr="0043442D">
      <w:rPr>
        <w:b/>
        <w:noProof/>
        <w:color w:val="996633"/>
        <w:spacing w:val="-2"/>
        <w:sz w:val="14"/>
        <w:szCs w:val="14"/>
        <w:lang w:val="en-US"/>
      </w:rPr>
      <mc:AlternateContent>
        <mc:Choice Requires="wps">
          <w:drawing>
            <wp:anchor distT="0" distB="0" distL="114300" distR="114300" simplePos="0" relativeHeight="251659264" behindDoc="0" locked="0" layoutInCell="1" allowOverlap="1" wp14:anchorId="5AE84FF8" wp14:editId="1D50D295">
              <wp:simplePos x="0" y="0"/>
              <wp:positionH relativeFrom="column">
                <wp:posOffset>4445</wp:posOffset>
              </wp:positionH>
              <wp:positionV relativeFrom="paragraph">
                <wp:posOffset>7620</wp:posOffset>
              </wp:positionV>
              <wp:extent cx="297815" cy="257175"/>
              <wp:effectExtent l="0" t="0" r="6985" b="9525"/>
              <wp:wrapNone/>
              <wp:docPr id="2" name="Hexagon 2"/>
              <wp:cNvGraphicFramePr/>
              <a:graphic xmlns:a="http://schemas.openxmlformats.org/drawingml/2006/main">
                <a:graphicData uri="http://schemas.microsoft.com/office/word/2010/wordprocessingShape">
                  <wps:wsp>
                    <wps:cNvSpPr/>
                    <wps:spPr>
                      <a:xfrm>
                        <a:off x="0" y="0"/>
                        <a:ext cx="297815" cy="257175"/>
                      </a:xfrm>
                      <a:prstGeom prst="hexagon">
                        <a:avLst/>
                      </a:prstGeom>
                      <a:solidFill>
                        <a:srgbClr val="99663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Hexagon 2" o:spid="_x0000_s1026" type="#_x0000_t9" style="position:absolute;margin-left:.35pt;margin-top:.6pt;width:23.45pt;height:2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" adj="4663" fillcolor="#963" stroked="f" strokeweight="2pt"/>
          </w:pict>
        </mc:Fallback>
      </mc:AlternateContent>
    </w:r>
    <w:r w:rsidRPr="0043442D">
      <w:rPr>
        <w:b/>
        <w:noProof/>
        <w:color w:val="4F81BD" w:themeColor="accent1"/>
        <w:spacing w:val="-2"/>
        <w:sz w:val="14"/>
        <w:szCs w:val="14"/>
        <w:lang w:val="en-US"/>
      </w:rPr>
      <mc:AlternateContent>
        <mc:Choice Requires="wps">
          <w:drawing>
            <wp:anchor distT="0" distB="0" distL="114300" distR="114300" simplePos="0" relativeHeight="251661312" behindDoc="0" locked="0" layoutInCell="1" allowOverlap="1" wp14:anchorId="40AB70C6" wp14:editId="0C12432F">
              <wp:simplePos x="0" y="0"/>
              <wp:positionH relativeFrom="column">
                <wp:posOffset>507365</wp:posOffset>
              </wp:positionH>
              <wp:positionV relativeFrom="paragraph">
                <wp:posOffset>7620</wp:posOffset>
              </wp:positionV>
              <wp:extent cx="297815" cy="257175"/>
              <wp:effectExtent l="0" t="0" r="6985" b="9525"/>
              <wp:wrapNone/>
              <wp:docPr id="6" name="Hexagon 6"/>
              <wp:cNvGraphicFramePr/>
              <a:graphic xmlns:a="http://schemas.openxmlformats.org/drawingml/2006/main">
                <a:graphicData uri="http://schemas.microsoft.com/office/word/2010/wordprocessingShape">
                  <wps:wsp>
                    <wps:cNvSpPr/>
                    <wps:spPr>
                      <a:xfrm>
                        <a:off x="0" y="0"/>
                        <a:ext cx="297815" cy="257175"/>
                      </a:xfrm>
                      <a:prstGeom prst="hexagon">
                        <a:avLst/>
                      </a:prstGeom>
                      <a:solidFill>
                        <a:srgbClr val="99663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Hexagon 6" o:spid="_x0000_s1026" type="#_x0000_t9" style="position:absolute;margin-left:39.95pt;margin-top:.6pt;width:23.45pt;height:20.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" adj="4663" fillcolor="#963" stroked="f" strokeweight="2pt"/>
          </w:pict>
        </mc:Fallback>
      </mc:AlternateContent>
    </w:r>
    <w:r w:rsidRPr="0043442D">
      <w:rPr>
        <w:b/>
        <w:color w:val="996633"/>
        <w:spacing w:val="-2"/>
        <w:sz w:val="14"/>
        <w:szCs w:val="14"/>
      </w:rPr>
      <w:t>REMOTE DETECTION OF (DE)POPULATION PROCESSES—PRODUCT DOCUMENTATION</w:t>
    </w:r>
  </w:p>
  <w:p w:rsidR="00C066CD" w:rsidRDefault="00C066CD" w:rsidP="00C066CD">
    <w:pPr>
      <w:pStyle w:val="Header"/>
      <w:tabs>
        <w:tab w:val="clear" w:pos="4680"/>
        <w:tab w:val="clear" w:pos="9360"/>
        <w:tab w:val="left" w:pos="3555"/>
      </w:tabs>
      <w:jc w:val="center"/>
      <w:rPr>
        <w:b/>
        <w:i/>
        <w:color w:val="996633"/>
        <w:spacing w:val="-2"/>
        <w:sz w:val="14"/>
        <w:szCs w:val="14"/>
      </w:rPr>
    </w:pPr>
    <w:r w:rsidRPr="00C066CD">
      <w:rPr>
        <w:b/>
        <w:color w:val="996633"/>
        <w:spacing w:val="-2"/>
        <w:sz w:val="14"/>
        <w:szCs w:val="14"/>
      </w:rPr>
      <w:t xml:space="preserve">INDICATOR 11: </w:t>
    </w:r>
    <w:r w:rsidRPr="00C066CD">
      <w:rPr>
        <w:b/>
        <w:i/>
        <w:color w:val="996633"/>
        <w:spacing w:val="-2"/>
        <w:sz w:val="14"/>
        <w:szCs w:val="14"/>
      </w:rPr>
      <w:t>Accessibility as a Determinant of the Depopulation</w:t>
    </w:r>
  </w:p>
  <w:p w:rsidR="00C066CD" w:rsidRPr="00824D59" w:rsidRDefault="00C066CD" w:rsidP="00C066CD">
    <w:pPr>
      <w:pStyle w:val="Header"/>
      <w:tabs>
        <w:tab w:val="clear" w:pos="4680"/>
        <w:tab w:val="clear" w:pos="9360"/>
        <w:tab w:val="left" w:pos="3555"/>
      </w:tabs>
      <w:rPr>
        <w:i/>
        <w:sz w:val="14"/>
        <w:szCs w:val="14"/>
      </w:rPr>
    </w:pPr>
  </w:p>
  <w:p w:rsidR="00C066CD" w:rsidRPr="00824D59" w:rsidRDefault="00C066CD" w:rsidP="00C066CD">
    <w:pPr>
      <w:pStyle w:val="Header"/>
      <w:tabs>
        <w:tab w:val="clear" w:pos="4680"/>
        <w:tab w:val="clear" w:pos="9360"/>
        <w:tab w:val="left" w:pos="6240"/>
      </w:tabs>
      <w:rPr>
        <w:i/>
      </w:rPr>
    </w:pPr>
  </w:p>
  <w:p w:rsidR="00C066CD" w:rsidRDefault="00C066CD" w:rsidP="00C066CD">
    <w:pPr>
      <w:pStyle w:val="Header"/>
      <w:tabs>
        <w:tab w:val="clear" w:pos="4680"/>
        <w:tab w:val="clear" w:pos="9360"/>
        <w:tab w:val="left" w:pos="2025"/>
      </w:tabs>
    </w:pPr>
  </w:p>
  <w:p w:rsidR="00C066CD" w:rsidRDefault="00C066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9546B"/>
    <w:multiLevelType w:val="hybridMultilevel"/>
    <w:tmpl w:val="AB36C50E"/>
    <w:lvl w:ilvl="0" w:tplc="697C3774">
      <w:start w:val="1"/>
      <w:numFmt w:val="bullet"/>
      <w:lvlText w:val=""/>
      <w:lvlJc w:val="left"/>
      <w:pPr>
        <w:ind w:left="144" w:hanging="360"/>
      </w:pPr>
      <w:rPr>
        <w:rFonts w:ascii="Wingdings" w:hAnsi="Wingdings" w:hint="default"/>
        <w:color w:val="9BBB59" w:themeColor="accent3"/>
      </w:rPr>
    </w:lvl>
    <w:lvl w:ilvl="1" w:tplc="04090003" w:tentative="1">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1">
    <w:nsid w:val="1F357DEA"/>
    <w:multiLevelType w:val="multilevel"/>
    <w:tmpl w:val="BF6E8298"/>
    <w:lvl w:ilvl="0">
      <w:start w:val="1"/>
      <w:numFmt w:val="bullet"/>
      <w:lvlText w:val="–"/>
      <w:lvlJc w:val="left"/>
      <w:pPr>
        <w:ind w:left="141" w:hanging="141"/>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C0F4B95"/>
    <w:multiLevelType w:val="multilevel"/>
    <w:tmpl w:val="CB1EF0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77EF58DB"/>
    <w:multiLevelType w:val="multilevel"/>
    <w:tmpl w:val="414684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9351A4"/>
    <w:rsid w:val="00090104"/>
    <w:rsid w:val="00154975"/>
    <w:rsid w:val="005465A5"/>
    <w:rsid w:val="006110CD"/>
    <w:rsid w:val="00647942"/>
    <w:rsid w:val="00816B70"/>
    <w:rsid w:val="009351A4"/>
    <w:rsid w:val="009C39DE"/>
    <w:rsid w:val="00A03D39"/>
    <w:rsid w:val="00BF2A1D"/>
    <w:rsid w:val="00C066CD"/>
    <w:rsid w:val="00E80BEA"/>
    <w:rsid w:val="00F34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s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781DB0"/>
    <w:rPr>
      <w:color w:val="0000FF" w:themeColor="hyperlink"/>
      <w:u w:val="single"/>
    </w:r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F34083"/>
    <w:pPr>
      <w:tabs>
        <w:tab w:val="center" w:pos="4680"/>
        <w:tab w:val="right" w:pos="9360"/>
      </w:tabs>
      <w:spacing w:line="240" w:lineRule="auto"/>
    </w:pPr>
  </w:style>
  <w:style w:type="character" w:customStyle="1" w:styleId="HeaderChar">
    <w:name w:val="Header Char"/>
    <w:basedOn w:val="DefaultParagraphFont"/>
    <w:link w:val="Header"/>
    <w:uiPriority w:val="99"/>
    <w:rsid w:val="00F34083"/>
  </w:style>
  <w:style w:type="paragraph" w:styleId="Footer">
    <w:name w:val="footer"/>
    <w:basedOn w:val="Normal"/>
    <w:link w:val="FooterChar"/>
    <w:uiPriority w:val="99"/>
    <w:unhideWhenUsed/>
    <w:rsid w:val="00F34083"/>
    <w:pPr>
      <w:tabs>
        <w:tab w:val="center" w:pos="4680"/>
        <w:tab w:val="right" w:pos="9360"/>
      </w:tabs>
      <w:spacing w:line="240" w:lineRule="auto"/>
    </w:pPr>
  </w:style>
  <w:style w:type="character" w:customStyle="1" w:styleId="FooterChar">
    <w:name w:val="Footer Char"/>
    <w:basedOn w:val="DefaultParagraphFont"/>
    <w:link w:val="Footer"/>
    <w:uiPriority w:val="99"/>
    <w:rsid w:val="00F34083"/>
  </w:style>
  <w:style w:type="paragraph" w:styleId="ListParagraph">
    <w:name w:val="List Paragraph"/>
    <w:basedOn w:val="Normal"/>
    <w:uiPriority w:val="34"/>
    <w:qFormat/>
    <w:rsid w:val="00C066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s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781DB0"/>
    <w:rPr>
      <w:color w:val="0000FF" w:themeColor="hyperlink"/>
      <w:u w:val="single"/>
    </w:r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F34083"/>
    <w:pPr>
      <w:tabs>
        <w:tab w:val="center" w:pos="4680"/>
        <w:tab w:val="right" w:pos="9360"/>
      </w:tabs>
      <w:spacing w:line="240" w:lineRule="auto"/>
    </w:pPr>
  </w:style>
  <w:style w:type="character" w:customStyle="1" w:styleId="HeaderChar">
    <w:name w:val="Header Char"/>
    <w:basedOn w:val="DefaultParagraphFont"/>
    <w:link w:val="Header"/>
    <w:uiPriority w:val="99"/>
    <w:rsid w:val="00F34083"/>
  </w:style>
  <w:style w:type="paragraph" w:styleId="Footer">
    <w:name w:val="footer"/>
    <w:basedOn w:val="Normal"/>
    <w:link w:val="FooterChar"/>
    <w:uiPriority w:val="99"/>
    <w:unhideWhenUsed/>
    <w:rsid w:val="00F34083"/>
    <w:pPr>
      <w:tabs>
        <w:tab w:val="center" w:pos="4680"/>
        <w:tab w:val="right" w:pos="9360"/>
      </w:tabs>
      <w:spacing w:line="240" w:lineRule="auto"/>
    </w:pPr>
  </w:style>
  <w:style w:type="character" w:customStyle="1" w:styleId="FooterChar">
    <w:name w:val="Footer Char"/>
    <w:basedOn w:val="DefaultParagraphFont"/>
    <w:link w:val="Footer"/>
    <w:uiPriority w:val="99"/>
    <w:rsid w:val="00F34083"/>
  </w:style>
  <w:style w:type="paragraph" w:styleId="ListParagraph">
    <w:name w:val="List Paragraph"/>
    <w:basedOn w:val="Normal"/>
    <w:uiPriority w:val="34"/>
    <w:qFormat/>
    <w:rsid w:val="00C066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geosrbija.rs/usluge/otvoreni-podaci-nigp/" TargetMode="External"/><Relationship Id="rId4" Type="http://schemas.microsoft.com/office/2007/relationships/stylesWithEffects" Target="stylesWithEffects.xml"/><Relationship Id="rId9" Type="http://schemas.openxmlformats.org/officeDocument/2006/relationships/hyperlink" Target="https://www.openstreetmap.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y/jAriDYGzRX08dUEsBmjS9lFQ==">AMUW2mW39Txl62a1Vb6szzWoIgd6HXVbbrp5teyT1VNSWneAIMif0dV9yiHVoW9wtwxCM43npE7OsRz9RNSe3IXVG4kvddMecB7C+NmDWgJ7ZY5Ax2Jl9zSm3BYlGwzzVzXL1cRtirhT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Gorica</dc:creator>
  <cp:lastModifiedBy>Tech. ed.</cp:lastModifiedBy>
  <cp:revision>9</cp:revision>
  <cp:lastPrinted>2020-10-25T23:53:00Z</cp:lastPrinted>
  <dcterms:created xsi:type="dcterms:W3CDTF">2020-10-24T13:42:00Z</dcterms:created>
  <dcterms:modified xsi:type="dcterms:W3CDTF">2020-10-26T08:45:00Z</dcterms:modified>
</cp:coreProperties>
</file>