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727" w:rsidRDefault="00650F40">
      <w:pPr>
        <w:rPr>
          <w:b/>
        </w:rPr>
      </w:pPr>
      <w:r>
        <w:rPr>
          <w:b/>
        </w:rPr>
        <w:t xml:space="preserve">INDICATOR 12: </w:t>
      </w:r>
      <w:r w:rsidR="00BA6005" w:rsidRPr="00BA6005">
        <w:rPr>
          <w:b/>
        </w:rPr>
        <w:t>Land Cover as a ‘Tool for Monitoring’ Population Change</w:t>
      </w:r>
    </w:p>
    <w:p w:rsidR="00BA0727" w:rsidRDefault="00BA0727"/>
    <w:p w:rsidR="00AA17AA" w:rsidRDefault="00AA17AA"/>
    <w:p w:rsidR="00BA0727" w:rsidRPr="00AA17AA" w:rsidRDefault="00650F40">
      <w:pPr>
        <w:rPr>
          <w:b/>
        </w:rPr>
      </w:pPr>
      <w:r w:rsidRPr="00AA17AA">
        <w:rPr>
          <w:b/>
        </w:rPr>
        <w:t>File Name: Access_and_Pop_Chg_1975-2015</w:t>
      </w:r>
    </w:p>
    <w:p w:rsidR="00BA0727" w:rsidRDefault="00650F40" w:rsidP="00AA17AA">
      <w:pPr>
        <w:pStyle w:val="ListParagraph"/>
        <w:numPr>
          <w:ilvl w:val="0"/>
          <w:numId w:val="1"/>
        </w:numPr>
      </w:pPr>
      <w:r>
        <w:t>Coordinate Reference Systems: WGS 84 / UTM zone 34N (EPSG:32634)</w:t>
      </w:r>
    </w:p>
    <w:p w:rsidR="00BA0727" w:rsidRDefault="00BA0727"/>
    <w:tbl>
      <w:tblPr>
        <w:tblStyle w:val="a"/>
        <w:tblW w:w="902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6"/>
        <w:gridCol w:w="3504"/>
        <w:gridCol w:w="4107"/>
      </w:tblGrid>
      <w:tr w:rsidR="00BA0727" w:rsidTr="00AA17AA">
        <w:trPr>
          <w:trHeight w:val="30"/>
          <w:jc w:val="center"/>
        </w:trPr>
        <w:tc>
          <w:tcPr>
            <w:tcW w:w="1440" w:type="dxa"/>
            <w:tcBorders>
              <w:top w:val="single" w:sz="4" w:space="0" w:color="000000"/>
              <w:left w:val="single" w:sz="4" w:space="0" w:color="000000"/>
              <w:bottom w:val="single" w:sz="4" w:space="0" w:color="000000"/>
              <w:right w:val="single" w:sz="4" w:space="0" w:color="000000"/>
            </w:tcBorders>
            <w:shd w:val="clear" w:color="auto" w:fill="9BBB59" w:themeFill="accent3"/>
            <w:tcMar>
              <w:top w:w="74" w:type="dxa"/>
              <w:left w:w="74" w:type="dxa"/>
              <w:bottom w:w="74" w:type="dxa"/>
              <w:right w:w="74" w:type="dxa"/>
            </w:tcMar>
          </w:tcPr>
          <w:p w:rsidR="00BA0727" w:rsidRDefault="00650F40">
            <w:pPr>
              <w:widowControl w:val="0"/>
              <w:jc w:val="center"/>
              <w:rPr>
                <w:b/>
                <w:sz w:val="20"/>
                <w:szCs w:val="20"/>
              </w:rPr>
            </w:pPr>
            <w:r>
              <w:rPr>
                <w:b/>
                <w:sz w:val="20"/>
                <w:szCs w:val="20"/>
              </w:rPr>
              <w:t>Attribute</w:t>
            </w:r>
          </w:p>
        </w:tc>
        <w:tc>
          <w:tcPr>
            <w:tcW w:w="3570" w:type="dxa"/>
            <w:tcBorders>
              <w:top w:val="single" w:sz="4" w:space="0" w:color="000000"/>
              <w:left w:val="single" w:sz="4" w:space="0" w:color="000000"/>
              <w:bottom w:val="single" w:sz="4" w:space="0" w:color="000000"/>
              <w:right w:val="single" w:sz="4" w:space="0" w:color="000000"/>
            </w:tcBorders>
            <w:shd w:val="clear" w:color="auto" w:fill="9BBB59" w:themeFill="accent3"/>
            <w:tcMar>
              <w:top w:w="74" w:type="dxa"/>
              <w:left w:w="74" w:type="dxa"/>
              <w:bottom w:w="74" w:type="dxa"/>
              <w:right w:w="74" w:type="dxa"/>
            </w:tcMar>
          </w:tcPr>
          <w:p w:rsidR="00BA0727" w:rsidRDefault="00650F40">
            <w:pPr>
              <w:widowControl w:val="0"/>
              <w:ind w:right="-49"/>
              <w:jc w:val="center"/>
              <w:rPr>
                <w:b/>
                <w:sz w:val="20"/>
                <w:szCs w:val="20"/>
              </w:rPr>
            </w:pPr>
            <w:r>
              <w:rPr>
                <w:b/>
                <w:sz w:val="20"/>
                <w:szCs w:val="20"/>
              </w:rPr>
              <w:t xml:space="preserve"> Alias</w:t>
            </w:r>
          </w:p>
        </w:tc>
        <w:tc>
          <w:tcPr>
            <w:tcW w:w="4185" w:type="dxa"/>
            <w:tcBorders>
              <w:top w:val="single" w:sz="4" w:space="0" w:color="000000"/>
              <w:left w:val="single" w:sz="4" w:space="0" w:color="000000"/>
              <w:bottom w:val="single" w:sz="4" w:space="0" w:color="000000"/>
              <w:right w:val="single" w:sz="4" w:space="0" w:color="000000"/>
            </w:tcBorders>
            <w:shd w:val="clear" w:color="auto" w:fill="9BBB59" w:themeFill="accent3"/>
            <w:tcMar>
              <w:top w:w="74" w:type="dxa"/>
              <w:left w:w="74" w:type="dxa"/>
              <w:bottom w:w="74" w:type="dxa"/>
              <w:right w:w="74" w:type="dxa"/>
            </w:tcMar>
          </w:tcPr>
          <w:p w:rsidR="00BA0727" w:rsidRDefault="00650F40">
            <w:pPr>
              <w:widowControl w:val="0"/>
              <w:ind w:right="-49"/>
              <w:jc w:val="center"/>
              <w:rPr>
                <w:b/>
                <w:sz w:val="20"/>
                <w:szCs w:val="20"/>
              </w:rPr>
            </w:pPr>
            <w:r>
              <w:rPr>
                <w:b/>
                <w:sz w:val="20"/>
                <w:szCs w:val="20"/>
              </w:rPr>
              <w:t>Pseudonim</w:t>
            </w:r>
          </w:p>
        </w:tc>
      </w:tr>
      <w:tr w:rsidR="00BA0727" w:rsidTr="00AA17AA">
        <w:trPr>
          <w:trHeight w:val="3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MatBrO</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Municipality identification number</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Matični broj opštine</w:t>
            </w:r>
          </w:p>
        </w:tc>
      </w:tr>
      <w:tr w:rsidR="00BA0727" w:rsidTr="00AA17AA">
        <w:trPr>
          <w:trHeight w:val="3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MatBrNas</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Settlement identification number</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Matični broj naselja</w:t>
            </w:r>
          </w:p>
        </w:tc>
      </w:tr>
      <w:tr w:rsidR="00BA0727" w:rsidTr="00AA17AA">
        <w:trPr>
          <w:trHeight w:val="3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ImeNasCir</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Name of the settlement in Cyrillic</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Ime naselja (ćirilica)</w:t>
            </w:r>
          </w:p>
        </w:tc>
      </w:tr>
      <w:tr w:rsidR="00BA0727" w:rsidTr="00AA17AA">
        <w:trPr>
          <w:trHeight w:val="3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ImeNasLat</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Name of the settlement in Latin</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Ime naselja (latinica)</w:t>
            </w:r>
          </w:p>
        </w:tc>
      </w:tr>
      <w:tr w:rsidR="00BA0727" w:rsidTr="00AA17AA">
        <w:trPr>
          <w:trHeight w:val="3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ImeOpsCir</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Name of the municipality in Cyrillic</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Ime opštine (ćirilica)</w:t>
            </w:r>
          </w:p>
        </w:tc>
      </w:tr>
      <w:tr w:rsidR="00BA0727" w:rsidTr="00AA17AA">
        <w:trPr>
          <w:trHeight w:val="3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ImeOpsLat</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Name of the municipality in Latin</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Ime opštine (latinica)</w:t>
            </w:r>
          </w:p>
        </w:tc>
      </w:tr>
      <w:tr w:rsidR="00BA0727" w:rsidTr="00AA17AA">
        <w:trPr>
          <w:trHeight w:val="3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ChgCLC_211</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Change of non-irrigated arable land 1990–2018 (ha)</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Promene nenavodnjavanog obradivog zemljišta 1990–2018 (ha)</w:t>
            </w:r>
          </w:p>
        </w:tc>
      </w:tr>
      <w:tr w:rsidR="00BA0727" w:rsidTr="00AA17AA">
        <w:trPr>
          <w:trHeight w:val="3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ChgCLC_221</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Change of vineyards 1990–2018 (ha)</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Promene površina pod vinogradima 1990–2018 (ha)</w:t>
            </w:r>
          </w:p>
        </w:tc>
      </w:tr>
      <w:tr w:rsidR="00BA0727" w:rsidTr="00AA17AA">
        <w:trPr>
          <w:trHeight w:val="47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ChgCLC_222</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Change of orchards 1990–2018 (ha)</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Promene površina pod voćnjacima 1990–2018 (ha)</w:t>
            </w:r>
          </w:p>
        </w:tc>
      </w:tr>
      <w:tr w:rsidR="00BA0727" w:rsidTr="00AA17AA">
        <w:trPr>
          <w:trHeight w:val="47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pBdr>
                <w:top w:val="nil"/>
                <w:left w:val="nil"/>
                <w:bottom w:val="nil"/>
                <w:right w:val="nil"/>
                <w:between w:val="nil"/>
              </w:pBdr>
              <w:ind w:right="-49"/>
              <w:rPr>
                <w:sz w:val="20"/>
                <w:szCs w:val="20"/>
              </w:rPr>
            </w:pPr>
            <w:r>
              <w:rPr>
                <w:sz w:val="20"/>
                <w:szCs w:val="20"/>
              </w:rPr>
              <w:t>ChgCLC_231</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pBdr>
                <w:top w:val="nil"/>
                <w:left w:val="nil"/>
                <w:bottom w:val="nil"/>
                <w:right w:val="nil"/>
                <w:between w:val="nil"/>
              </w:pBdr>
              <w:ind w:right="-49"/>
              <w:rPr>
                <w:sz w:val="20"/>
                <w:szCs w:val="20"/>
              </w:rPr>
            </w:pPr>
            <w:r>
              <w:rPr>
                <w:sz w:val="20"/>
                <w:szCs w:val="20"/>
              </w:rPr>
              <w:t>Change of pastures 1990–2018 (ha)</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Promene u površinama pod pašnjacima 1990–2018 (ha)</w:t>
            </w:r>
          </w:p>
        </w:tc>
      </w:tr>
      <w:tr w:rsidR="00BA0727" w:rsidTr="00AA17AA">
        <w:trPr>
          <w:trHeight w:val="47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ChgCLC_242</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rsidP="004749E0">
            <w:pPr>
              <w:widowControl w:val="0"/>
              <w:ind w:right="-49"/>
              <w:rPr>
                <w:sz w:val="20"/>
                <w:szCs w:val="20"/>
              </w:rPr>
            </w:pPr>
            <w:r>
              <w:rPr>
                <w:sz w:val="20"/>
                <w:szCs w:val="20"/>
              </w:rPr>
              <w:t>Change of complex cultivation patterns 1990–2018 (ha)</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Promene povšina složenih obrazaca obrade 1990–2018 (ha)</w:t>
            </w:r>
          </w:p>
        </w:tc>
      </w:tr>
      <w:tr w:rsidR="00BA0727" w:rsidTr="00AA17AA">
        <w:trPr>
          <w:trHeight w:val="47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ChgCLC_243</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Change of land principally occupied by agriculture with significant areas of natural vegetation 1990–2018 (ha)</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Promene pretežno poljoprivrednog zemljišta sa značajnim površinama prirodne vegetacije 1990–2018 (ha)</w:t>
            </w:r>
          </w:p>
        </w:tc>
      </w:tr>
      <w:tr w:rsidR="00BA0727" w:rsidTr="00AA17AA">
        <w:trPr>
          <w:trHeight w:val="47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ChgCLC_31</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Change of forest 1990–2018 (ha)</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Promene šumskog zemljišta 1990–2018 (ha)</w:t>
            </w:r>
          </w:p>
        </w:tc>
      </w:tr>
      <w:tr w:rsidR="00BA0727" w:rsidTr="00AA17AA">
        <w:trPr>
          <w:trHeight w:val="47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ChgCLC_321</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Change of natural grassland 1990–2018 (ha)</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Promene površina pod prirodim travljacima 1990–2018 (ha)</w:t>
            </w:r>
          </w:p>
        </w:tc>
      </w:tr>
      <w:tr w:rsidR="00BA0727" w:rsidTr="00AA17AA">
        <w:trPr>
          <w:trHeight w:val="47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ChgCLC_324</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Change of transitional woodlands scrub 1990–2018 (ha)</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Promene površina pod šumovito-žbunastom vegetacijom 1990–2018 (ha)</w:t>
            </w:r>
          </w:p>
        </w:tc>
      </w:tr>
      <w:tr w:rsidR="00BA0727" w:rsidTr="00AA17AA">
        <w:trPr>
          <w:trHeight w:val="47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ChgCLC_411</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Change of inland marshes 1990–2018 (ha)</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Promene močvarnih površina 1990–2018 (ha)</w:t>
            </w:r>
          </w:p>
        </w:tc>
      </w:tr>
      <w:tr w:rsidR="00BA0727" w:rsidTr="00AA17AA">
        <w:trPr>
          <w:trHeight w:val="470"/>
          <w:jc w:val="center"/>
        </w:trPr>
        <w:tc>
          <w:tcPr>
            <w:tcW w:w="144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rPr>
                <w:sz w:val="20"/>
                <w:szCs w:val="20"/>
              </w:rPr>
            </w:pPr>
            <w:r>
              <w:rPr>
                <w:sz w:val="20"/>
                <w:szCs w:val="20"/>
              </w:rPr>
              <w:t>Decl/Grow</w:t>
            </w:r>
          </w:p>
        </w:tc>
        <w:tc>
          <w:tcPr>
            <w:tcW w:w="3570"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Population trend 1975–2015</w:t>
            </w:r>
          </w:p>
        </w:tc>
        <w:tc>
          <w:tcPr>
            <w:tcW w:w="4185" w:type="dxa"/>
            <w:tcBorders>
              <w:top w:val="single" w:sz="4" w:space="0" w:color="000000"/>
              <w:left w:val="single" w:sz="4" w:space="0" w:color="000000"/>
              <w:bottom w:val="single" w:sz="4" w:space="0" w:color="000000"/>
              <w:right w:val="single" w:sz="4" w:space="0" w:color="000000"/>
            </w:tcBorders>
            <w:tcMar>
              <w:top w:w="74" w:type="dxa"/>
              <w:left w:w="74" w:type="dxa"/>
              <w:bottom w:w="74" w:type="dxa"/>
              <w:right w:w="74" w:type="dxa"/>
            </w:tcMar>
          </w:tcPr>
          <w:p w:rsidR="00BA0727" w:rsidRDefault="00650F40">
            <w:pPr>
              <w:widowControl w:val="0"/>
              <w:ind w:right="-49"/>
              <w:rPr>
                <w:sz w:val="20"/>
                <w:szCs w:val="20"/>
              </w:rPr>
            </w:pPr>
            <w:r>
              <w:rPr>
                <w:sz w:val="20"/>
                <w:szCs w:val="20"/>
              </w:rPr>
              <w:t>Trend promene broja stanovnika 1975–2015</w:t>
            </w:r>
          </w:p>
        </w:tc>
      </w:tr>
    </w:tbl>
    <w:p w:rsidR="00BA0727" w:rsidRDefault="00BA0727"/>
    <w:p w:rsidR="004A5C00" w:rsidRDefault="004A5C00" w:rsidP="00E43ED1">
      <w:pPr>
        <w:jc w:val="both"/>
        <w:rPr>
          <w:b/>
        </w:rPr>
      </w:pPr>
    </w:p>
    <w:p w:rsidR="004B1F9E" w:rsidRDefault="00EB0ADA" w:rsidP="004A5C00">
      <w:pPr>
        <w:spacing w:before="240"/>
        <w:jc w:val="both"/>
      </w:pPr>
      <w:r>
        <w:rPr>
          <w:b/>
        </w:rPr>
        <w:lastRenderedPageBreak/>
        <w:t>Description of Indicator:</w:t>
      </w:r>
      <w:r w:rsidR="00E43ED1">
        <w:rPr>
          <w:b/>
        </w:rPr>
        <w:t xml:space="preserve"> </w:t>
      </w:r>
      <w:r w:rsidR="00E6606B">
        <w:t>Following the transformations in the land cover, it is possible to determine which areas are exposed to the process of depopulation. For this purpose, the change in seven categories of land cover in the period 1990–2018 was considered, which is interrelated with the population changes</w:t>
      </w:r>
      <w:r w:rsidR="005A1785">
        <w:t xml:space="preserve"> (1990–2015)</w:t>
      </w:r>
      <w:r w:rsidR="00E6606B">
        <w:t xml:space="preserve"> </w:t>
      </w:r>
      <w:r w:rsidR="00004D31">
        <w:t>for</w:t>
      </w:r>
      <w:r w:rsidR="00E6606B">
        <w:t xml:space="preserve"> the settlement</w:t>
      </w:r>
      <w:r w:rsidR="00004D31">
        <w:t>s</w:t>
      </w:r>
      <w:r w:rsidR="00E6606B">
        <w:t xml:space="preserve"> using </w:t>
      </w:r>
      <w:r w:rsidR="00BA6005" w:rsidRPr="00BA6005">
        <w:t>Land Cover as a ‘Tool for Monitoring’ Population Change</w:t>
      </w:r>
      <w:r w:rsidR="00BA6005">
        <w:t xml:space="preserve"> indicator</w:t>
      </w:r>
      <w:r w:rsidR="00E6606B">
        <w:t>.</w:t>
      </w:r>
      <w:r w:rsidR="005A1785" w:rsidRPr="005A1785">
        <w:t xml:space="preserve"> </w:t>
      </w:r>
      <w:r w:rsidR="005A1785">
        <w:t xml:space="preserve">Abandonment of agriculture assists in the delimitation of economic and demographic shrinkage territories which required land reutilization and conversion. The data that reflects on this process refers to the percentage of agricultural land gradually shifted towards the transitional categories to forest land, which indicates low population activity or its complete absence. </w:t>
      </w:r>
      <w:r w:rsidR="004B1F9E">
        <w:t>Th</w:t>
      </w:r>
      <w:bookmarkStart w:id="0" w:name="_GoBack"/>
      <w:bookmarkEnd w:id="0"/>
      <w:r w:rsidR="004B1F9E">
        <w:t>e</w:t>
      </w:r>
      <w:r w:rsidR="00650F40">
        <w:t xml:space="preserve"> selected</w:t>
      </w:r>
      <w:r w:rsidR="004B1F9E">
        <w:t xml:space="preserve"> land cover types for calculation include: </w:t>
      </w:r>
      <w:r w:rsidR="004B1F9E">
        <w:rPr>
          <w:color w:val="000000"/>
        </w:rPr>
        <w:t>non-irrigated arable land</w:t>
      </w:r>
      <w:r w:rsidR="004A5C00">
        <w:rPr>
          <w:color w:val="000000"/>
        </w:rPr>
        <w:t xml:space="preserve"> (CLC 2.1.1.)</w:t>
      </w:r>
      <w:r w:rsidR="004B1F9E">
        <w:rPr>
          <w:color w:val="000000"/>
        </w:rPr>
        <w:t xml:space="preserve">, </w:t>
      </w:r>
      <w:r w:rsidR="00E6606B" w:rsidRPr="00E6606B">
        <w:rPr>
          <w:color w:val="000000"/>
        </w:rPr>
        <w:t>vineyards</w:t>
      </w:r>
      <w:r w:rsidR="004A5C00">
        <w:rPr>
          <w:color w:val="000000"/>
        </w:rPr>
        <w:t xml:space="preserve"> (CLC 2.2.1.)</w:t>
      </w:r>
      <w:r w:rsidR="00E6606B" w:rsidRPr="00E6606B">
        <w:rPr>
          <w:color w:val="000000"/>
        </w:rPr>
        <w:t>, orchards</w:t>
      </w:r>
      <w:r w:rsidR="004A5C00">
        <w:rPr>
          <w:color w:val="000000"/>
        </w:rPr>
        <w:t xml:space="preserve"> (CLC 2.2.2.)</w:t>
      </w:r>
      <w:r w:rsidR="00E6606B" w:rsidRPr="00E6606B">
        <w:rPr>
          <w:color w:val="000000"/>
        </w:rPr>
        <w:t>, pastures</w:t>
      </w:r>
      <w:r w:rsidR="004A5C00">
        <w:rPr>
          <w:color w:val="000000"/>
        </w:rPr>
        <w:t xml:space="preserve"> (CLC 2.3.1.)</w:t>
      </w:r>
      <w:r w:rsidR="00E6606B" w:rsidRPr="00E6606B">
        <w:rPr>
          <w:color w:val="000000"/>
        </w:rPr>
        <w:t>, complex cultivation patterns</w:t>
      </w:r>
      <w:r w:rsidR="004A5C00">
        <w:rPr>
          <w:color w:val="000000"/>
        </w:rPr>
        <w:t xml:space="preserve"> (CLC 2.4.2.)</w:t>
      </w:r>
      <w:r w:rsidR="00E6606B" w:rsidRPr="00E6606B">
        <w:rPr>
          <w:color w:val="000000"/>
        </w:rPr>
        <w:t>, land principally occupied by agriculture with significant areas of natural vegetation</w:t>
      </w:r>
      <w:r w:rsidR="004A5C00">
        <w:rPr>
          <w:color w:val="000000"/>
        </w:rPr>
        <w:t xml:space="preserve"> (CLC 2.4.3.)</w:t>
      </w:r>
      <w:r w:rsidR="00E6606B" w:rsidRPr="00E6606B">
        <w:rPr>
          <w:color w:val="000000"/>
        </w:rPr>
        <w:t>,  forest</w:t>
      </w:r>
      <w:r w:rsidR="004A5C00">
        <w:rPr>
          <w:color w:val="000000"/>
        </w:rPr>
        <w:t xml:space="preserve"> (CLC 3.1.)</w:t>
      </w:r>
      <w:r w:rsidR="00E6606B" w:rsidRPr="00E6606B">
        <w:rPr>
          <w:color w:val="000000"/>
        </w:rPr>
        <w:t>, natural grassland</w:t>
      </w:r>
      <w:r w:rsidR="004A5C00">
        <w:rPr>
          <w:color w:val="000000"/>
        </w:rPr>
        <w:t xml:space="preserve"> (CLC 3.2.1.), </w:t>
      </w:r>
      <w:r w:rsidR="00E6606B" w:rsidRPr="00E6606B">
        <w:rPr>
          <w:color w:val="000000"/>
        </w:rPr>
        <w:t>tra</w:t>
      </w:r>
      <w:r w:rsidR="00C075B3">
        <w:rPr>
          <w:color w:val="000000"/>
        </w:rPr>
        <w:t>nsitional woodlands scrub</w:t>
      </w:r>
      <w:r w:rsidR="004A5C00">
        <w:rPr>
          <w:color w:val="000000"/>
        </w:rPr>
        <w:t xml:space="preserve"> (CLC 3.2.4.)</w:t>
      </w:r>
      <w:r w:rsidR="00C075B3">
        <w:rPr>
          <w:color w:val="000000"/>
        </w:rPr>
        <w:t xml:space="preserve">, and </w:t>
      </w:r>
      <w:r w:rsidR="00E6606B" w:rsidRPr="00E6606B">
        <w:rPr>
          <w:color w:val="000000"/>
        </w:rPr>
        <w:t>inland marshes</w:t>
      </w:r>
      <w:r w:rsidR="004A5C00">
        <w:rPr>
          <w:color w:val="000000"/>
        </w:rPr>
        <w:t xml:space="preserve"> (CLC 4.1.1.)</w:t>
      </w:r>
      <w:r w:rsidR="00E6606B">
        <w:rPr>
          <w:color w:val="000000"/>
        </w:rPr>
        <w:t xml:space="preserve">. The differences </w:t>
      </w:r>
      <w:r w:rsidR="00650F40">
        <w:rPr>
          <w:color w:val="000000"/>
        </w:rPr>
        <w:t>in</w:t>
      </w:r>
      <w:r w:rsidR="00E6606B">
        <w:rPr>
          <w:color w:val="000000"/>
        </w:rPr>
        <w:t xml:space="preserve"> </w:t>
      </w:r>
      <w:r w:rsidR="00650F40">
        <w:rPr>
          <w:color w:val="000000"/>
        </w:rPr>
        <w:t>spatial coverage of</w:t>
      </w:r>
      <w:r w:rsidR="00E6606B">
        <w:rPr>
          <w:color w:val="000000"/>
        </w:rPr>
        <w:t xml:space="preserve"> these type</w:t>
      </w:r>
      <w:r w:rsidR="00650F40">
        <w:rPr>
          <w:color w:val="000000"/>
        </w:rPr>
        <w:t>s between 2018 and 1990</w:t>
      </w:r>
      <w:r w:rsidR="00E6606B">
        <w:rPr>
          <w:color w:val="000000"/>
        </w:rPr>
        <w:t xml:space="preserve"> were calculated and expressed in h</w:t>
      </w:r>
      <w:r w:rsidR="00C075B3">
        <w:rPr>
          <w:color w:val="000000"/>
        </w:rPr>
        <w:t xml:space="preserve">ectares. </w:t>
      </w:r>
      <w:r w:rsidR="005A1785">
        <w:rPr>
          <w:color w:val="000000"/>
        </w:rPr>
        <w:t>Population growth/</w:t>
      </w:r>
      <w:r w:rsidR="00E6606B">
        <w:rPr>
          <w:color w:val="000000"/>
        </w:rPr>
        <w:t xml:space="preserve">decline in </w:t>
      </w:r>
      <w:r w:rsidR="00650F40">
        <w:rPr>
          <w:color w:val="000000"/>
        </w:rPr>
        <w:t xml:space="preserve">the </w:t>
      </w:r>
      <w:r w:rsidR="00E6606B">
        <w:rPr>
          <w:color w:val="000000"/>
        </w:rPr>
        <w:t xml:space="preserve">period 1990–2015 </w:t>
      </w:r>
      <w:r w:rsidR="005A1785">
        <w:rPr>
          <w:color w:val="000000"/>
        </w:rPr>
        <w:t>was</w:t>
      </w:r>
      <w:r w:rsidR="00E6606B">
        <w:rPr>
          <w:color w:val="000000"/>
        </w:rPr>
        <w:t xml:space="preserve"> determined for settlements. </w:t>
      </w:r>
    </w:p>
    <w:p w:rsidR="004B1F9E" w:rsidRDefault="004B1F9E" w:rsidP="00E43ED1">
      <w:pPr>
        <w:jc w:val="both"/>
      </w:pPr>
    </w:p>
    <w:p w:rsidR="00E6606B" w:rsidRDefault="00E6606B" w:rsidP="00E43ED1">
      <w:pPr>
        <w:jc w:val="both"/>
      </w:pPr>
    </w:p>
    <w:p w:rsidR="00EB0ADA" w:rsidRDefault="00EB0ADA" w:rsidP="00EB0ADA">
      <w:pPr>
        <w:spacing w:after="240"/>
        <w:jc w:val="both"/>
        <w:rPr>
          <w:b/>
        </w:rPr>
      </w:pPr>
      <w:r>
        <w:rPr>
          <w:b/>
        </w:rPr>
        <w:t xml:space="preserve">Source data for </w:t>
      </w:r>
      <w:r w:rsidR="004A5C00">
        <w:rPr>
          <w:b/>
        </w:rPr>
        <w:t>I</w:t>
      </w:r>
      <w:r>
        <w:rPr>
          <w:b/>
        </w:rPr>
        <w:t>ndicator calculation</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90"/>
        <w:gridCol w:w="6510"/>
      </w:tblGrid>
      <w:tr w:rsidR="00EB0ADA" w:rsidTr="00AA17AA">
        <w:tc>
          <w:tcPr>
            <w:tcW w:w="2490" w:type="dxa"/>
            <w:shd w:val="clear" w:color="auto" w:fill="9BBB59" w:themeFill="accent3"/>
            <w:tcMar>
              <w:top w:w="100" w:type="dxa"/>
              <w:left w:w="100" w:type="dxa"/>
              <w:bottom w:w="100" w:type="dxa"/>
              <w:right w:w="100" w:type="dxa"/>
            </w:tcMar>
          </w:tcPr>
          <w:p w:rsidR="00EB0ADA" w:rsidRDefault="00EB0ADA" w:rsidP="00AA17AA">
            <w:pPr>
              <w:widowControl w:val="0"/>
              <w:pBdr>
                <w:top w:val="nil"/>
                <w:left w:val="nil"/>
                <w:bottom w:val="nil"/>
                <w:right w:val="nil"/>
                <w:between w:val="nil"/>
              </w:pBdr>
              <w:spacing w:line="240" w:lineRule="auto"/>
              <w:jc w:val="center"/>
              <w:rPr>
                <w:b/>
              </w:rPr>
            </w:pPr>
            <w:r>
              <w:rPr>
                <w:b/>
              </w:rPr>
              <w:t>Type of data</w:t>
            </w:r>
          </w:p>
        </w:tc>
        <w:tc>
          <w:tcPr>
            <w:tcW w:w="6510" w:type="dxa"/>
            <w:shd w:val="clear" w:color="auto" w:fill="9BBB59" w:themeFill="accent3"/>
            <w:tcMar>
              <w:top w:w="100" w:type="dxa"/>
              <w:left w:w="100" w:type="dxa"/>
              <w:bottom w:w="100" w:type="dxa"/>
              <w:right w:w="100" w:type="dxa"/>
            </w:tcMar>
          </w:tcPr>
          <w:p w:rsidR="00EB0ADA" w:rsidRDefault="00EB0ADA" w:rsidP="00AA17AA">
            <w:pPr>
              <w:widowControl w:val="0"/>
              <w:pBdr>
                <w:top w:val="nil"/>
                <w:left w:val="nil"/>
                <w:bottom w:val="nil"/>
                <w:right w:val="nil"/>
                <w:between w:val="nil"/>
              </w:pBdr>
              <w:spacing w:line="240" w:lineRule="auto"/>
              <w:jc w:val="center"/>
              <w:rPr>
                <w:b/>
              </w:rPr>
            </w:pPr>
            <w:r>
              <w:rPr>
                <w:b/>
              </w:rPr>
              <w:t>Source</w:t>
            </w:r>
          </w:p>
        </w:tc>
      </w:tr>
      <w:tr w:rsidR="00EB0ADA" w:rsidTr="003A6BF1">
        <w:tc>
          <w:tcPr>
            <w:tcW w:w="2490" w:type="dxa"/>
            <w:shd w:val="clear" w:color="auto" w:fill="auto"/>
            <w:tcMar>
              <w:top w:w="100" w:type="dxa"/>
              <w:left w:w="100" w:type="dxa"/>
              <w:bottom w:w="100" w:type="dxa"/>
              <w:right w:w="100" w:type="dxa"/>
            </w:tcMar>
            <w:vAlign w:val="center"/>
          </w:tcPr>
          <w:p w:rsidR="00EB0ADA" w:rsidRDefault="005A1785" w:rsidP="00AA17AA">
            <w:pPr>
              <w:widowControl w:val="0"/>
              <w:pBdr>
                <w:top w:val="nil"/>
                <w:left w:val="nil"/>
                <w:bottom w:val="nil"/>
                <w:right w:val="nil"/>
                <w:between w:val="nil"/>
              </w:pBdr>
              <w:spacing w:line="240" w:lineRule="auto"/>
            </w:pPr>
            <w:r>
              <w:t>Land Cover data</w:t>
            </w:r>
            <w:r w:rsidR="00A909D5">
              <w:t>*</w:t>
            </w:r>
          </w:p>
        </w:tc>
        <w:tc>
          <w:tcPr>
            <w:tcW w:w="6510" w:type="dxa"/>
            <w:shd w:val="clear" w:color="auto" w:fill="auto"/>
            <w:tcMar>
              <w:top w:w="100" w:type="dxa"/>
              <w:left w:w="100" w:type="dxa"/>
              <w:bottom w:w="100" w:type="dxa"/>
              <w:right w:w="100" w:type="dxa"/>
            </w:tcMar>
            <w:vAlign w:val="center"/>
          </w:tcPr>
          <w:p w:rsidR="00EB0ADA" w:rsidRDefault="002A0D92" w:rsidP="00AA17AA">
            <w:pPr>
              <w:spacing w:line="240" w:lineRule="auto"/>
              <w:rPr>
                <w:b/>
              </w:rPr>
            </w:pPr>
            <w:hyperlink r:id="rId8" w:history="1">
              <w:r w:rsidR="005A1785" w:rsidRPr="004A5C00">
                <w:rPr>
                  <w:rStyle w:val="Hyperlink"/>
                </w:rPr>
                <w:t>Corine Land Cover (CLC) 1990, Version 2020_20u1 [European Environmental Agency, Copernicus Land Monitoring Service, 2020]</w:t>
              </w:r>
            </w:hyperlink>
            <w:r w:rsidR="005A1785" w:rsidRPr="005A1785">
              <w:t xml:space="preserve">; </w:t>
            </w:r>
            <w:hyperlink r:id="rId9" w:history="1">
              <w:r w:rsidR="005A1785" w:rsidRPr="004A5C00">
                <w:rPr>
                  <w:rStyle w:val="Hyperlink"/>
                </w:rPr>
                <w:t>Corine Land Cover (CLC) 2018, Version 2020_20u1 [European Environmental Agency, Copernicus Land Monitoring Service, 2020]</w:t>
              </w:r>
            </w:hyperlink>
          </w:p>
        </w:tc>
      </w:tr>
      <w:tr w:rsidR="005A1785" w:rsidTr="005A1785">
        <w:tc>
          <w:tcPr>
            <w:tcW w:w="2490" w:type="dxa"/>
            <w:shd w:val="clear" w:color="auto" w:fill="auto"/>
            <w:tcMar>
              <w:top w:w="100" w:type="dxa"/>
              <w:left w:w="100" w:type="dxa"/>
              <w:bottom w:w="100" w:type="dxa"/>
              <w:right w:w="100" w:type="dxa"/>
            </w:tcMar>
            <w:vAlign w:val="center"/>
          </w:tcPr>
          <w:p w:rsidR="005A1785" w:rsidRPr="007E053E" w:rsidRDefault="005A1785" w:rsidP="00AA17AA">
            <w:pPr>
              <w:spacing w:line="240" w:lineRule="auto"/>
            </w:pPr>
            <w:r w:rsidRPr="007E053E">
              <w:t>Population count*</w:t>
            </w:r>
            <w:r w:rsidR="00A909D5">
              <w:t>*</w:t>
            </w:r>
          </w:p>
        </w:tc>
        <w:tc>
          <w:tcPr>
            <w:tcW w:w="6510" w:type="dxa"/>
            <w:shd w:val="clear" w:color="auto" w:fill="auto"/>
            <w:tcMar>
              <w:top w:w="100" w:type="dxa"/>
              <w:left w:w="100" w:type="dxa"/>
              <w:bottom w:w="100" w:type="dxa"/>
              <w:right w:w="100" w:type="dxa"/>
            </w:tcMar>
          </w:tcPr>
          <w:p w:rsidR="005A1785" w:rsidRDefault="002A0D92" w:rsidP="00AA17AA">
            <w:pPr>
              <w:spacing w:line="240" w:lineRule="auto"/>
            </w:pPr>
            <w:hyperlink r:id="rId10" w:history="1">
              <w:r w:rsidR="005A1785" w:rsidRPr="004A5C00">
                <w:rPr>
                  <w:rStyle w:val="Hyperlink"/>
                </w:rPr>
                <w:t>GHS-POP R2019A dataset—GHS population grid multitemporal [European Commission, Joint Research Center, 2019], datasets for 1990 and 2015</w:t>
              </w:r>
            </w:hyperlink>
          </w:p>
        </w:tc>
      </w:tr>
      <w:tr w:rsidR="00EB0ADA" w:rsidTr="003A6BF1">
        <w:tc>
          <w:tcPr>
            <w:tcW w:w="2490" w:type="dxa"/>
            <w:shd w:val="clear" w:color="auto" w:fill="auto"/>
            <w:tcMar>
              <w:top w:w="100" w:type="dxa"/>
              <w:left w:w="100" w:type="dxa"/>
              <w:bottom w:w="100" w:type="dxa"/>
              <w:right w:w="100" w:type="dxa"/>
            </w:tcMar>
            <w:vAlign w:val="center"/>
          </w:tcPr>
          <w:p w:rsidR="00EB0ADA" w:rsidRDefault="00EB0ADA" w:rsidP="00AA17AA">
            <w:pPr>
              <w:widowControl w:val="0"/>
              <w:pBdr>
                <w:top w:val="nil"/>
                <w:left w:val="nil"/>
                <w:bottom w:val="nil"/>
                <w:right w:val="nil"/>
                <w:between w:val="nil"/>
              </w:pBdr>
              <w:spacing w:line="240" w:lineRule="auto"/>
            </w:pPr>
            <w:r>
              <w:t>Administrative units**</w:t>
            </w:r>
            <w:r w:rsidR="00A909D5">
              <w:t>*</w:t>
            </w:r>
          </w:p>
        </w:tc>
        <w:tc>
          <w:tcPr>
            <w:tcW w:w="6510" w:type="dxa"/>
            <w:shd w:val="clear" w:color="auto" w:fill="auto"/>
            <w:tcMar>
              <w:top w:w="100" w:type="dxa"/>
              <w:left w:w="100" w:type="dxa"/>
              <w:bottom w:w="100" w:type="dxa"/>
              <w:right w:w="100" w:type="dxa"/>
            </w:tcMar>
            <w:vAlign w:val="center"/>
          </w:tcPr>
          <w:p w:rsidR="00EB0ADA" w:rsidRDefault="002A0D92" w:rsidP="00AA17AA">
            <w:pPr>
              <w:spacing w:line="240" w:lineRule="auto"/>
              <w:rPr>
                <w:b/>
              </w:rPr>
            </w:pPr>
            <w:hyperlink r:id="rId11" w:history="1">
              <w:r w:rsidR="00004D31" w:rsidRPr="004A5C00">
                <w:rPr>
                  <w:rStyle w:val="Hyperlink"/>
                </w:rPr>
                <w:t>GeoSrbija [Open data of the National Data Infrastructure, Republic Geodetic Authority, n.d.]</w:t>
              </w:r>
            </w:hyperlink>
          </w:p>
        </w:tc>
      </w:tr>
    </w:tbl>
    <w:p w:rsidR="00A909D5" w:rsidRDefault="00A909D5" w:rsidP="00AA17AA">
      <w:pPr>
        <w:spacing w:before="240" w:after="240"/>
        <w:jc w:val="both"/>
      </w:pPr>
      <w:r>
        <w:t xml:space="preserve">*  Land Cover data for the province Kosovo and Metohija are missing in </w:t>
      </w:r>
      <w:r w:rsidR="00392A38">
        <w:t xml:space="preserve">the </w:t>
      </w:r>
      <w:r>
        <w:t xml:space="preserve">dataset for </w:t>
      </w:r>
      <w:r w:rsidR="00392A38">
        <w:t xml:space="preserve">the </w:t>
      </w:r>
      <w:r>
        <w:t>year 1990</w:t>
      </w:r>
      <w:r w:rsidR="004A5C00">
        <w:t xml:space="preserve"> (CLC 1990)</w:t>
      </w:r>
      <w:r>
        <w:t>. Accordingly, these administrative units were not included in the analysis.</w:t>
      </w:r>
    </w:p>
    <w:p w:rsidR="00EB0ADA" w:rsidRDefault="00EB0ADA" w:rsidP="00AA17AA">
      <w:pPr>
        <w:spacing w:before="240" w:after="240"/>
        <w:jc w:val="both"/>
      </w:pPr>
      <w:r>
        <w:t>*</w:t>
      </w:r>
      <w:r w:rsidR="00A909D5">
        <w:t>*</w:t>
      </w:r>
      <w:r w:rsidR="00004D31">
        <w:t xml:space="preserve">  Population data for municipalites Pre</w:t>
      </w:r>
      <w:r w:rsidR="00004D31">
        <w:rPr>
          <w:lang w:val="sr-Latn-RS"/>
        </w:rPr>
        <w:t>ševo and Bujanovac are not included in datasets.</w:t>
      </w:r>
      <w:r w:rsidR="00A909D5" w:rsidRPr="00A909D5">
        <w:t xml:space="preserve"> </w:t>
      </w:r>
      <w:r w:rsidR="00A909D5">
        <w:t>Accordingly, the indicator values within these aministrative units are missing.</w:t>
      </w:r>
    </w:p>
    <w:p w:rsidR="00EB0ADA" w:rsidRDefault="00EB0ADA" w:rsidP="005A1785">
      <w:pPr>
        <w:spacing w:after="240"/>
        <w:jc w:val="both"/>
      </w:pPr>
      <w:r>
        <w:t>**</w:t>
      </w:r>
      <w:r w:rsidR="00A909D5">
        <w:t>*</w:t>
      </w:r>
      <w:r>
        <w:t xml:space="preserve"> </w:t>
      </w:r>
      <w:r w:rsidR="004A5C00">
        <w:t>GeoSrbija</w:t>
      </w:r>
      <w:r w:rsidR="00A909D5">
        <w:t xml:space="preserve"> (Open Data of the National Data Infrastructure, Republic Geodetic Authority, n.d.) from which the administrative settlements boundaries were taken have no data for the province Kosovo and Metohija.</w:t>
      </w:r>
      <w:r w:rsidR="00A909D5" w:rsidRPr="002F08DD">
        <w:t xml:space="preserve"> </w:t>
      </w:r>
      <w:r w:rsidR="00A909D5">
        <w:t>Accordingly, these administrative units were not included in the analysis.</w:t>
      </w:r>
    </w:p>
    <w:sectPr w:rsidR="00EB0ADA">
      <w:headerReference w:type="default" r:id="rId12"/>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D92" w:rsidRDefault="002A0D92" w:rsidP="004A5C00">
      <w:pPr>
        <w:spacing w:line="240" w:lineRule="auto"/>
      </w:pPr>
      <w:r>
        <w:separator/>
      </w:r>
    </w:p>
  </w:endnote>
  <w:endnote w:type="continuationSeparator" w:id="0">
    <w:p w:rsidR="002A0D92" w:rsidRDefault="002A0D92" w:rsidP="004A5C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color w:val="996633"/>
        <w:sz w:val="16"/>
        <w:szCs w:val="16"/>
      </w:rPr>
      <w:id w:val="1945954484"/>
      <w:docPartObj>
        <w:docPartGallery w:val="Page Numbers (Bottom of Page)"/>
        <w:docPartUnique/>
      </w:docPartObj>
    </w:sdtPr>
    <w:sdtEndPr>
      <w:rPr>
        <w:noProof/>
      </w:rPr>
    </w:sdtEndPr>
    <w:sdtContent>
      <w:p w:rsidR="004A5C00" w:rsidRPr="00AA17AA" w:rsidRDefault="004A5C00" w:rsidP="00AA17AA">
        <w:pPr>
          <w:pStyle w:val="Footer"/>
          <w:jc w:val="center"/>
          <w:rPr>
            <w:b/>
            <w:color w:val="996633"/>
            <w:sz w:val="16"/>
            <w:szCs w:val="16"/>
          </w:rPr>
        </w:pPr>
        <w:r w:rsidRPr="00AA17AA">
          <w:rPr>
            <w:b/>
            <w:color w:val="996633"/>
            <w:sz w:val="16"/>
            <w:szCs w:val="16"/>
          </w:rPr>
          <w:fldChar w:fldCharType="begin"/>
        </w:r>
        <w:r w:rsidRPr="00AA17AA">
          <w:rPr>
            <w:b/>
            <w:color w:val="996633"/>
            <w:sz w:val="16"/>
            <w:szCs w:val="16"/>
          </w:rPr>
          <w:instrText xml:space="preserve"> PAGE   \* MERGEFORMAT </w:instrText>
        </w:r>
        <w:r w:rsidRPr="00AA17AA">
          <w:rPr>
            <w:b/>
            <w:color w:val="996633"/>
            <w:sz w:val="16"/>
            <w:szCs w:val="16"/>
          </w:rPr>
          <w:fldChar w:fldCharType="separate"/>
        </w:r>
        <w:r w:rsidR="002A0D92">
          <w:rPr>
            <w:b/>
            <w:noProof/>
            <w:color w:val="996633"/>
            <w:sz w:val="16"/>
            <w:szCs w:val="16"/>
          </w:rPr>
          <w:t>1</w:t>
        </w:r>
        <w:r w:rsidRPr="00AA17AA">
          <w:rPr>
            <w:b/>
            <w:noProof/>
            <w:color w:val="996633"/>
            <w:sz w:val="16"/>
            <w:szCs w:val="16"/>
          </w:rPr>
          <w:fldChar w:fldCharType="end"/>
        </w:r>
        <w:r w:rsidRPr="00AA17AA">
          <w:rPr>
            <w:b/>
            <w:noProof/>
            <w:color w:val="996633"/>
            <w:sz w:val="16"/>
            <w:szCs w:val="16"/>
          </w:rPr>
          <w:t xml:space="preserve"> of </w:t>
        </w:r>
        <w:r w:rsidR="00AA17AA">
          <w:rPr>
            <w:b/>
            <w:noProof/>
            <w:color w:val="996633"/>
            <w:sz w:val="16"/>
            <w:szCs w:val="16"/>
          </w:rPr>
          <w:t>2</w:t>
        </w:r>
      </w:p>
    </w:sdtContent>
  </w:sdt>
  <w:p w:rsidR="004A5C00" w:rsidRDefault="004A5C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D92" w:rsidRDefault="002A0D92" w:rsidP="004A5C00">
      <w:pPr>
        <w:spacing w:line="240" w:lineRule="auto"/>
      </w:pPr>
      <w:r>
        <w:separator/>
      </w:r>
    </w:p>
  </w:footnote>
  <w:footnote w:type="continuationSeparator" w:id="0">
    <w:p w:rsidR="002A0D92" w:rsidRDefault="002A0D92" w:rsidP="004A5C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17AA" w:rsidRPr="0043442D" w:rsidRDefault="00AA17AA" w:rsidP="00AA17AA">
    <w:pPr>
      <w:pStyle w:val="Header"/>
      <w:jc w:val="center"/>
      <w:rPr>
        <w:b/>
        <w:color w:val="996633"/>
        <w:spacing w:val="-2"/>
        <w:sz w:val="14"/>
        <w:szCs w:val="14"/>
      </w:rPr>
    </w:pPr>
    <w:r w:rsidRPr="0043442D">
      <w:rPr>
        <w:b/>
        <w:color w:val="996633"/>
        <w:spacing w:val="-2"/>
        <w:sz w:val="12"/>
        <w:szCs w:val="12"/>
      </w:rPr>
      <w:br/>
    </w:r>
    <w:r w:rsidRPr="0043442D">
      <w:rPr>
        <w:b/>
        <w:noProof/>
        <w:color w:val="365F91" w:themeColor="accent1" w:themeShade="BF"/>
        <w:spacing w:val="-2"/>
        <w:sz w:val="14"/>
        <w:szCs w:val="14"/>
        <w:lang w:val="en-US"/>
      </w:rPr>
      <mc:AlternateContent>
        <mc:Choice Requires="wps">
          <w:drawing>
            <wp:anchor distT="0" distB="0" distL="114300" distR="114300" simplePos="0" relativeHeight="251664384" behindDoc="0" locked="0" layoutInCell="1" allowOverlap="1" wp14:anchorId="13BC4B94" wp14:editId="39AC3778">
              <wp:simplePos x="0" y="0"/>
              <wp:positionH relativeFrom="column">
                <wp:posOffset>5432425</wp:posOffset>
              </wp:positionH>
              <wp:positionV relativeFrom="paragraph">
                <wp:posOffset>0</wp:posOffset>
              </wp:positionV>
              <wp:extent cx="297815" cy="257175"/>
              <wp:effectExtent l="0" t="0" r="6985" b="9525"/>
              <wp:wrapNone/>
              <wp:docPr id="11" name="Hexagon 11"/>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11" o:spid="_x0000_s1026" type="#_x0000_t9" style="position:absolute;margin-left:427.75pt;margin-top:0;width:23.45pt;height:20.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77bjwIAAIoFAAAOAAAAZHJzL2Uyb0RvYy54bWysVN9v2yAQfp+0/wHxvjrOmqWN6lRRq26T&#10;qjZaO/WZYoiRMMeAxMn++h1gu1lX7WFaHhyO++7Xx91dXO5bTXbCeQWmouXJhBJhONTKbCr6/fHm&#10;wxklPjBTMw1GVPQgPL1cvn930dmFmEIDuhaOoBPjF52taBOCXRSF541omT8BKwwqJbiWBRTdpqgd&#10;69B7q4vpZPKp6MDV1gEX3uPtdVbSZfIvpeDhXkovAtEVxdxC+rr0fY7fYnnBFhvHbKN4nwb7hyxa&#10;pgwGHV1ds8DI1qk/XLWKO/AgwwmHtgApFRepBqymnLyq5qFhVqRakBxvR5r8/3PL73ZrR1SNb1dS&#10;YliLb/RF7NkGDMEbpKezfoGoB7t2veTxGGvdS9fGf6yC7BOlh5FSsQ+E4+X0fH5WzijhqJrO5uV8&#10;Fn0WL8bW+fBZQEviAevKsROXbHfrQ0YPqBjOg1b1jdI6CbFRxJV2ZMfwiRnnwoSPfYzfkNpEvIFo&#10;mZ3GmyKWlwtKp3DQIuK0+SYk8hJLSMmkjnwdqMyqhtUix59N8DdEH1JL9SaH0bPE+KPv3sGAPC4i&#10;kY9E9fhoKlJDj8aTvyWWSxwtUmQwYTRulQH3lgMdxsgZP5CUqYksPUN9wK5xkMfJW36j8PVumQ9r&#10;5nB+cNJwJ4R7/EgNXUWhP1HSgPv51n3E4/OjlpIO57Gi/seWOUGJ/mqw4c/L09M4wEk4nc2nKLhj&#10;zfOxxmzbK8B+wJ7G7NIx4oMejtJB+4SrYxWjoooZjrEryoMbhKuQ9wQuHy5WqwTDobUs3JoHy6Pz&#10;yGpszcf9E3O2b+GAvX8Hw+yyxas2zthoaWC1DSBV6vEXXnu+ceBT4/TLKW6UYzmhXlbo8hcAAAD/&#10;/wMAUEsDBBQABgAIAAAAIQCiMy/t3AAAAAcBAAAPAAAAZHJzL2Rvd25yZXYueG1sTI9BS8QwEIXv&#10;gv8hjODNTaxbXWvTRQQFlR62iudsM7bFZFKabLf+e8eTHof3+N435XbxTsw4xSGQhsuVAoHUBjtQ&#10;p+H97fFiAyImQ9a4QKjhGyNsq9OT0hQ2HGmHc5M6wRCKhdHQpzQWUsa2R2/iKoxInH2GyZvE59RJ&#10;O5kjw72TmVLX0puBeKE3Iz702H41B8+UiDfB1XL+eH1RT3VW756bq0Xr87Pl/g5EwiX9leFXn9Wh&#10;Yqd9OJCNwmnY5HnOVQ38Ece3KluD2GtYqxxkVcr//tUPAAAA//8DAFBLAQItABQABgAIAAAAIQC2&#10;gziS/gAAAOEBAAATAAAAAAAAAAAAAAAAAAAAAABbQ29udGVudF9UeXBlc10ueG1sUEsBAi0AFAAG&#10;AAgAAAAhADj9If/WAAAAlAEAAAsAAAAAAAAAAAAAAAAALwEAAF9yZWxzLy5yZWxzUEsBAi0AFAAG&#10;AAgAAAAhAMFHvtuPAgAAigUAAA4AAAAAAAAAAAAAAAAALgIAAGRycy9lMm9Eb2MueG1sUEsBAi0A&#10;FAAGAAgAAAAhAKIzL+3cAAAABwEAAA8AAAAAAAAAAAAAAAAA6QQAAGRycy9kb3ducmV2LnhtbFBL&#10;BQYAAAAABAAEAPMAAADyBQAAAAA=&#10;" adj="4663" fillcolor="#9bbb59 [3206]" stroked="f" strokeweight="2pt"/>
          </w:pict>
        </mc:Fallback>
      </mc:AlternateContent>
    </w:r>
    <w:r w:rsidRPr="0043442D">
      <w:rPr>
        <w:b/>
        <w:noProof/>
        <w:color w:val="365F91" w:themeColor="accent1" w:themeShade="BF"/>
        <w:spacing w:val="-2"/>
        <w:sz w:val="14"/>
        <w:szCs w:val="14"/>
        <w:lang w:val="en-US"/>
      </w:rPr>
      <mc:AlternateContent>
        <mc:Choice Requires="wps">
          <w:drawing>
            <wp:anchor distT="0" distB="0" distL="114300" distR="114300" simplePos="0" relativeHeight="251663360" behindDoc="0" locked="0" layoutInCell="1" allowOverlap="1" wp14:anchorId="1ED8D41B" wp14:editId="7F4DDDA8">
              <wp:simplePos x="0" y="0"/>
              <wp:positionH relativeFrom="column">
                <wp:posOffset>5180965</wp:posOffset>
              </wp:positionH>
              <wp:positionV relativeFrom="paragraph">
                <wp:posOffset>155575</wp:posOffset>
              </wp:positionV>
              <wp:extent cx="297815" cy="257175"/>
              <wp:effectExtent l="0" t="0" r="6985" b="9525"/>
              <wp:wrapNone/>
              <wp:docPr id="10" name="Hexagon 10"/>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10" o:spid="_x0000_s1026" type="#_x0000_t9" style="position:absolute;margin-left:407.95pt;margin-top:12.25pt;width:23.4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3lgIAAIcFAAAOAAAAZHJzL2Uyb0RvYy54bWysVMFu2zAMvQ/YPwi6r47TpGmCOkWQotuA&#10;og3WDj0rshQbkEVNUuJkXz9Kst2uK3YYloMjiuQj+UTy6vrYKHIQ1tWgC5qfjSgRmkNZ611Bvz/d&#10;frqkxHmmS6ZAi4KehKPXy48frlqzEGOoQJXCEgTRbtGaglbem0WWOV6JhrkzMEKjUoJtmEfR7rLS&#10;shbRG5WNR6OLrAVbGgtcOIe3N0lJlxFfSsH9g5ROeKIKirn5+LXxuw3fbHnFFjvLTFXzLg32D1k0&#10;rNYYdIC6YZ6Rva3/gGpqbsGB9GccmgykrLmINWA1+ehNNY8VMyLWguQ4M9Dk/h8svz9sLKlLfDuk&#10;R7MG3+iLOLIdaII3SE9r3AKtHs3GdpLDY6j1KG0T/rEKcoyUngZKxdETjpfj+ewyn1LCUTWezvLZ&#10;NGBmL87GOv9ZQEPCAetKsSOX7HDnfLLurUI4B6oub2ulomB327Wy5MDwgefzi4vz8y7Ab2ZKB2MN&#10;wS0hhpss1JaqiSd/UiLYKf1NSCQl5B8zie0ohjiMc6F9nlQVK0UKPx3hr48eGjh4xGIjYECWGH/A&#10;7gB6ywTSY6csO/vgKmI3D86jvyWWnAePGBm0H5ybWoN9D0BhVV3kZN+TlKgJLG2hPGHLWEiz5Ay/&#10;rfHp7pjzG2ZxeLCPcCH4B/xIBW1BoTtRUoH9+d59sMe3Ry0lLQ5jQd2PPbOCEvVVY7fP88kkTG8U&#10;JtPZGAX7WrN9rdH7Zg3YDjmuHsPjMdh71R+lheYZ98YqREUV0xxjF5R72wtrn5YEbh4uVqtohhNr&#10;mL/Tj4YH8MBq6Mun4zOzputfj41/D/3gssWbHk62wVPDau9B1rHBX3jt+MZpj43TbaawTl7L0epl&#10;fy5/AQAA//8DAFBLAwQUAAYACAAAACEAnh7c5N8AAAAJAQAADwAAAGRycy9kb3ducmV2LnhtbEyP&#10;wU7DMBBE70j8g7VIXCrqNJAQQjZVKSoSRwqiVzdekqj2OordNvw95gTH1T7NvKmWkzXiRKPvHSMs&#10;5gkI4sbpnluEj/fNTQHCB8VaGceE8E0elvXlRaVK7c78RqdtaEUMYV8qhC6EoZTSNx1Z5eduII6/&#10;LzdaFeI5tlKP6hzDrZFpkuTSqp5jQ6cGWnfUHLZHi7DePK12B/ky+3w1PN4/q1s/y3eI11fT6hFE&#10;oCn8wfCrH9Whjk57d2TthUEoFtlDRBHSuwxEBIo8jVv2CHmWgKwr+X9B/QMAAP//AwBQSwECLQAU&#10;AAYACAAAACEAtoM4kv4AAADhAQAAEwAAAAAAAAAAAAAAAAAAAAAAW0NvbnRlbnRfVHlwZXNdLnht&#10;bFBLAQItABQABgAIAAAAIQA4/SH/1gAAAJQBAAALAAAAAAAAAAAAAAAAAC8BAABfcmVscy8ucmVs&#10;c1BLAQItABQABgAIAAAAIQCtN/Q3lgIAAIcFAAAOAAAAAAAAAAAAAAAAAC4CAABkcnMvZTJvRG9j&#10;LnhtbFBLAQItABQABgAIAAAAIQCeHtzk3wAAAAkBAAAPAAAAAAAAAAAAAAAAAPAEAABkcnMvZG93&#10;bnJldi54bWxQSwUGAAAAAAQABADzAAAA/AUAAAAA&#10;" adj="4663" fillcolor="#963" stroked="f" strokeweight="2pt"/>
          </w:pict>
        </mc:Fallback>
      </mc:AlternateContent>
    </w:r>
    <w:r w:rsidRPr="0043442D">
      <w:rPr>
        <w:b/>
        <w:noProof/>
        <w:color w:val="365F91" w:themeColor="accent1" w:themeShade="BF"/>
        <w:spacing w:val="-2"/>
        <w:sz w:val="14"/>
        <w:szCs w:val="14"/>
        <w:lang w:val="en-US"/>
      </w:rPr>
      <mc:AlternateContent>
        <mc:Choice Requires="wps">
          <w:drawing>
            <wp:anchor distT="0" distB="0" distL="114300" distR="114300" simplePos="0" relativeHeight="251662336" behindDoc="0" locked="0" layoutInCell="1" allowOverlap="1" wp14:anchorId="693D6BAB" wp14:editId="74585FB3">
              <wp:simplePos x="0" y="0"/>
              <wp:positionH relativeFrom="column">
                <wp:posOffset>4929812</wp:posOffset>
              </wp:positionH>
              <wp:positionV relativeFrom="paragraph">
                <wp:posOffset>187</wp:posOffset>
              </wp:positionV>
              <wp:extent cx="297815" cy="257175"/>
              <wp:effectExtent l="0" t="0" r="6985" b="9525"/>
              <wp:wrapNone/>
              <wp:docPr id="9" name="Hexagon 9"/>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9" o:spid="_x0000_s1026" type="#_x0000_t9" style="position:absolute;margin-left:388.15pt;margin-top:0;width:23.4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WgujQIAAIgFAAAOAAAAZHJzL2Uyb0RvYy54bWysVFFv2yAQfp+0/4B4Xx1nzdJEdaqoVbdJ&#10;VVutnfpMMcSWgGNA4mS/fgfYbtZVe5jmB8xx333HHXd3frHXiuyE8y2YipYnE0qE4VC3ZlPR74/X&#10;H84o8YGZmikwoqIH4enF6v27884uxRQaULVwBEmMX3a2ok0IdlkUnjdCM38CVhhUSnCaBRTdpqgd&#10;65Bdq2I6mXwqOnC1dcCF93h6lZV0lfilFDzcSelFIKqieLeQVpfW57gWq3O23Dhmm5b312D/cAvN&#10;WoNOR6orFhjZuvYPKt1yBx5kOOGgC5Cy5SLFgNGUk1fRPDTMihQLJsfbMU3+/9Hy2929I21d0QUl&#10;hml8oi9izzZgyCImp7N+iZgHe+96yeM2RrqXTsc/xkD2KaGHMaFiHwjHw+liflbOKOGoms7m5XwW&#10;OYsXY+t8+CxAk7jBqLLrlEm2u/EhowdUdOdBtfV1q1QSYpmIS+XIjuEDM86FCR97H78hlYl4A9Ey&#10;k8aTIoaXA0q7cFAi4pT5JiRmJYaQLpPq8bWjMqsaVovsfzbBb/A+XC3Fmwgjs0T/I3dPMCCPgyh7&#10;mh4fTUUq59F48reL5RBHi+QZTBiNdWvAvUWgwug544ck5dTELD1DfcCacZCbyVt+3eLr3TAf7pnD&#10;7sE+w4kQ7nCRCrqKQr+jpAH3863ziMfnRy0lHXZjRf2PLXOCEvXVYLkvytPT2L5JOJ3Npyi4Y83z&#10;scZs9SVgPZQ4eyxP24gPathKB/oJB8c6ekUVMxx9V5QHNwiXIU8JHD1crNcJhi1rWbgxD5ZH8pjV&#10;WJqP+yfmbF/CAWv/FobOZctXZZyx0dLAehtAtqnGX/La5xvbPRVOP5riPDmWE+plgK5+AQAA//8D&#10;AFBLAwQUAAYACAAAACEA1jtZh9wAAAAHAQAADwAAAGRycy9kb3ducmV2LnhtbEyPQUvEMBCF74L/&#10;IYzgzU1sdbt0my4iKKj0sFX2nG3GtthMSpPt1n/veNLj8B7f+6bYLW4QM06h96ThdqVAIDXe9tRq&#10;+Hh/utmACNGQNYMn1PCNAXbl5UVhcuvPtMe5jq1gCIXcaOhiHHMpQ9OhM2HlRyTOPv3kTORzaqWd&#10;zJnhbpCJUmvpTE+80JkRHztsvuqTY0rAzA+VnA9vr+q5Sqr9S50uWl9fLQ9bEBGX+FeGX31Wh5Kd&#10;jv5ENohBQ5atU65q4I843iRpAuKo4U7dgywL+d+//AEAAP//AwBQSwECLQAUAAYACAAAACEAtoM4&#10;kv4AAADhAQAAEwAAAAAAAAAAAAAAAAAAAAAAW0NvbnRlbnRfVHlwZXNdLnhtbFBLAQItABQABgAI&#10;AAAAIQA4/SH/1gAAAJQBAAALAAAAAAAAAAAAAAAAAC8BAABfcmVscy8ucmVsc1BLAQItABQABgAI&#10;AAAAIQBNFWgujQIAAIgFAAAOAAAAAAAAAAAAAAAAAC4CAABkcnMvZTJvRG9jLnhtbFBLAQItABQA&#10;BgAIAAAAIQDWO1mH3AAAAAcBAAAPAAAAAAAAAAAAAAAAAOcEAABkcnMvZG93bnJldi54bWxQSwUG&#10;AAAAAAQABADzAAAA8AUAAAAA&#10;" adj="4663" fillcolor="#9bbb59 [3206]" stroked="f" strokeweight="2pt"/>
          </w:pict>
        </mc:Fallback>
      </mc:AlternateContent>
    </w:r>
    <w:r w:rsidRPr="0043442D">
      <w:rPr>
        <w:b/>
        <w:noProof/>
        <w:color w:val="4F81BD" w:themeColor="accent1"/>
        <w:spacing w:val="-2"/>
        <w:sz w:val="14"/>
        <w:szCs w:val="14"/>
        <w:lang w:val="en-US"/>
      </w:rPr>
      <mc:AlternateContent>
        <mc:Choice Requires="wps">
          <w:drawing>
            <wp:anchor distT="0" distB="0" distL="114300" distR="114300" simplePos="0" relativeHeight="251660288" behindDoc="0" locked="0" layoutInCell="1" allowOverlap="1" wp14:anchorId="7D5C5B65" wp14:editId="5B2B3E2E">
              <wp:simplePos x="0" y="0"/>
              <wp:positionH relativeFrom="column">
                <wp:posOffset>256233</wp:posOffset>
              </wp:positionH>
              <wp:positionV relativeFrom="paragraph">
                <wp:posOffset>163369</wp:posOffset>
              </wp:positionV>
              <wp:extent cx="297815" cy="257175"/>
              <wp:effectExtent l="0" t="0" r="6985" b="9525"/>
              <wp:wrapNone/>
              <wp:docPr id="4" name="Hexagon 4"/>
              <wp:cNvGraphicFramePr/>
              <a:graphic xmlns:a="http://schemas.openxmlformats.org/drawingml/2006/main">
                <a:graphicData uri="http://schemas.microsoft.com/office/word/2010/wordprocessingShape">
                  <wps:wsp>
                    <wps:cNvSpPr/>
                    <wps:spPr>
                      <a:xfrm>
                        <a:off x="0" y="0"/>
                        <a:ext cx="297815" cy="257175"/>
                      </a:xfrm>
                      <a:prstGeom prst="hexagon">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4" o:spid="_x0000_s1026" type="#_x0000_t9" style="position:absolute;margin-left:20.2pt;margin-top:12.85pt;width:23.4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5/GjQIAAIgFAAAOAAAAZHJzL2Uyb0RvYy54bWysVFFv2yAQfp+0/4B4Xx1nydJGdaqoVbdJ&#10;VVutnfpMMcSWgGNA4mS/fgfYbtZVe5jmB8xx333HHXd3frHXiuyE8y2YipYnE0qE4VC3ZlPR74/X&#10;H04p8YGZmikwoqIH4enF6v27884uxRQaULVwBEmMX3a2ok0IdlkUnjdCM38CVhhUSnCaBRTdpqgd&#10;65Bdq2I6mXwqOnC1dcCF93h6lZV0lfilFDzcSelFIKqieLeQVpfW57gWq3O23Dhmm5b312D/cAvN&#10;WoNOR6orFhjZuvYPKt1yBx5kOOGgC5Cy5SLFgNGUk1fRPDTMihQLJsfbMU3+/9Hy2929I21d0Rkl&#10;hml8oi9izzZgyCwmp7N+iZgHe+96yeM2RrqXTsc/xkD2KaGHMaFiHwjHw+nZ4rScU8JRNZ0vysU8&#10;chYvxtb58FmAJnGDUWXXKZNsd+NDRg+o6M6DauvrVqkkxDIRl8qRHcMHZpwLEz72Pn5DKhPxBqJl&#10;Jo0nRQwvB5R24aBExCnzTUjMSgwhXSbV42tHZVY1rBbZ/3yC3+B9uFqKNxFGZon+R+6eYEAeB1H2&#10;ND0+mopUzqPx5G8XyyGOFskzmDAa69aAe4tAhdFzxg9JyqmJWXqG+oA14yA3k7f8usXXu2E+3DOH&#10;3YN9hhMh3OEiFXQVhX5HSQPu51vnEY/Pj1pKOuzGivofW+YEJeqrwXI/K2ez2L5JmM0XUxTcseb5&#10;WGO2+hKwHkqcPZanbcQHNWylA/2Eg2MdvaKKGY6+K8qDG4TLkKcEjh4u1usEw5a1LNyYB8sjecxq&#10;LM3H/RNzti/hgLV/C0PnsuWrMs7YaGlgvQ0g21TjL3nt843tngqnH01xnhzLCfUyQFe/AAAA//8D&#10;AFBLAwQUAAYACAAAACEA52k5+9wAAAAHAQAADwAAAGRycy9kb3ducmV2LnhtbEyOwU7DMBBE70j8&#10;g7VI3KhNWpIqxKkQEkiAcmhAnN14SSLidRS7afh7llM5jmb05hW7xQ1ixin0njTcrhQIpMbbnloN&#10;H+9PN1sQIRqyZvCEGn4wwK68vChMbv2J9jjXsRUMoZAbDV2MYy5laDp0Jqz8iMTdl5+ciRynVtrJ&#10;nBjuBpkolUpneuKHzoz42GHzXR8dUwJmfqjk/Pn2qp6rpNq/1OtF6+ur5eEeRMQlnsfwp8/qULLT&#10;wR/JBjFo2KgNLzUkdxkI7rfZGsRBQ5omIMtC/vcvfwEAAP//AwBQSwECLQAUAAYACAAAACEAtoM4&#10;kv4AAADhAQAAEwAAAAAAAAAAAAAAAAAAAAAAW0NvbnRlbnRfVHlwZXNdLnhtbFBLAQItABQABgAI&#10;AAAAIQA4/SH/1gAAAJQBAAALAAAAAAAAAAAAAAAAAC8BAABfcmVscy8ucmVsc1BLAQItABQABgAI&#10;AAAAIQAIh5/GjQIAAIgFAAAOAAAAAAAAAAAAAAAAAC4CAABkcnMvZTJvRG9jLnhtbFBLAQItABQA&#10;BgAIAAAAIQDnaTn73AAAAAcBAAAPAAAAAAAAAAAAAAAAAOcEAABkcnMvZG93bnJldi54bWxQSwUG&#10;AAAAAAQABADzAAAA8AUAAAAA&#10;" adj="4663" fillcolor="#9bbb59 [3206]" stroked="f" strokeweight="2pt"/>
          </w:pict>
        </mc:Fallback>
      </mc:AlternateContent>
    </w:r>
    <w:r w:rsidRPr="0043442D">
      <w:rPr>
        <w:b/>
        <w:noProof/>
        <w:color w:val="996633"/>
        <w:spacing w:val="-2"/>
        <w:sz w:val="14"/>
        <w:szCs w:val="14"/>
        <w:lang w:val="en-US"/>
      </w:rPr>
      <mc:AlternateContent>
        <mc:Choice Requires="wps">
          <w:drawing>
            <wp:anchor distT="0" distB="0" distL="114300" distR="114300" simplePos="0" relativeHeight="251659264" behindDoc="0" locked="0" layoutInCell="1" allowOverlap="1" wp14:anchorId="24FD5ABB" wp14:editId="268E809E">
              <wp:simplePos x="0" y="0"/>
              <wp:positionH relativeFrom="column">
                <wp:posOffset>4445</wp:posOffset>
              </wp:positionH>
              <wp:positionV relativeFrom="paragraph">
                <wp:posOffset>7620</wp:posOffset>
              </wp:positionV>
              <wp:extent cx="297815" cy="257175"/>
              <wp:effectExtent l="0" t="0" r="6985" b="9525"/>
              <wp:wrapNone/>
              <wp:docPr id="2" name="Hexagon 2"/>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2" o:spid="_x0000_s1026" type="#_x0000_t9" style="position:absolute;margin-left:.35pt;margin-top:.6pt;width:23.4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MX3lQIAAIUFAAAOAAAAZHJzL2Uyb0RvYy54bWysVN9P2zAQfp+0/8Hy+0gTKKUVKapAbJMQ&#10;VIOJZ9exm0iOz7Pdpt1fv7OdBMbQHqb1wfX5vvvuR+7u8urQKrIX1jWgS5qfTCgRmkPV6G1Jvz/d&#10;frqgxHmmK6ZAi5IehaNXy48fLjuzEAXUoCphCZJot+hMSWvvzSLLHK9Fy9wJGKFRKcG2zKNot1ll&#10;WYfsrcqKyeQ868BWxgIXzuHrTVLSZeSXUnD/IKUTnqiSYmw+njaem3Bmy0u22Fpm6ob3YbB/iKJl&#10;jUanI9UN84zsbPMHVdtwCw6kP+HQZiBlw0XMAbPJJ2+yeayZETEXLI4zY5nc/6Pl9/u1JU1V0oIS&#10;zVr8RF/EgW1BkyIUpzNugZhHs7a95PAaMj1I24Z/zIEcYkGPY0HFwROOj8V8dpFPKeGoKqazfDYN&#10;nNmLsbHOfxbQknDBrJLrWEm2v3M+oQdUcOdANdVto1QU7HZzrSzZM/y88/n5+elp7+A3mNIBrCGY&#10;JcbwkoXcUjbx5o9KBJzS34TEkoT4YySxGcXoh3EutM+TqmaVSO6nE/wN3kP7BouYbCQMzBL9j9w9&#10;wYBMJAN3irLHB1MRe3k0nvwtsGQ8WkTPoP1o3DYa7HsECrPqPSf8UKRUmlClDVRHbBgLaZKc4bcN&#10;fro75vyaWRwdHDJcB/4BD6mgKyn0N0pqsD/few94/PaopaTDUSyp+7FjVlCivmrs9Xl+dhZmNwpn&#10;01mBgn2t2bzW6F17DdgOOS4ew+M14L0artJC+4xbYxW8ooppjr5Lyr0dhGufVgTuHS5WqwjDeTXM&#10;3+lHwwN5qGroy6fDM7Om71+PjX8Pw9iyxZseTthgqWG18yCb2OAvde3rjbMeG6ffS2GZvJYj6mV7&#10;Ln8BAAD//wMAUEsDBBQABgAIAAAAIQBxihb/2gAAAAQBAAAPAAAAZHJzL2Rvd25yZXYueG1sTI7B&#10;TsMwEETvSPyDtUhcKuq0oKQKcapSVCSOFNRe3XhJotrryHbb8PcsJ3oa7cxo9lXL0VlxxhB7Twpm&#10;0wwEUuNNT62Cr8/NwwJETJqMtp5QwQ9GWNa3N5Uujb/QB563qRU8QrHUCrqUhlLK2HTodJz6AYmz&#10;bx+cTnyGVpqgLzzurJxnWS6d7ok/dHrAdYfNcXtyCtabl9X+KN8mu3dLoXjVj3GS75W6vxtXzyAS&#10;jum/DH/4jA41Mx38iUwUVkHBPXbnIDh8KnIQB9ZZAbKu5DV8/QsAAP//AwBQSwECLQAUAAYACAAA&#10;ACEAtoM4kv4AAADhAQAAEwAAAAAAAAAAAAAAAAAAAAAAW0NvbnRlbnRfVHlwZXNdLnhtbFBLAQIt&#10;ABQABgAIAAAAIQA4/SH/1gAAAJQBAAALAAAAAAAAAAAAAAAAAC8BAABfcmVscy8ucmVsc1BLAQIt&#10;ABQABgAIAAAAIQBLbMX3lQIAAIUFAAAOAAAAAAAAAAAAAAAAAC4CAABkcnMvZTJvRG9jLnhtbFBL&#10;AQItABQABgAIAAAAIQBxihb/2gAAAAQBAAAPAAAAAAAAAAAAAAAAAO8EAABkcnMvZG93bnJldi54&#10;bWxQSwUGAAAAAAQABADzAAAA9gUAAAAA&#10;" adj="4663" fillcolor="#963" stroked="f" strokeweight="2pt"/>
          </w:pict>
        </mc:Fallback>
      </mc:AlternateContent>
    </w:r>
    <w:r w:rsidRPr="0043442D">
      <w:rPr>
        <w:b/>
        <w:noProof/>
        <w:color w:val="4F81BD" w:themeColor="accent1"/>
        <w:spacing w:val="-2"/>
        <w:sz w:val="14"/>
        <w:szCs w:val="14"/>
        <w:lang w:val="en-US"/>
      </w:rPr>
      <mc:AlternateContent>
        <mc:Choice Requires="wps">
          <w:drawing>
            <wp:anchor distT="0" distB="0" distL="114300" distR="114300" simplePos="0" relativeHeight="251661312" behindDoc="0" locked="0" layoutInCell="1" allowOverlap="1" wp14:anchorId="43E8E838" wp14:editId="5921765F">
              <wp:simplePos x="0" y="0"/>
              <wp:positionH relativeFrom="column">
                <wp:posOffset>507365</wp:posOffset>
              </wp:positionH>
              <wp:positionV relativeFrom="paragraph">
                <wp:posOffset>7620</wp:posOffset>
              </wp:positionV>
              <wp:extent cx="297815" cy="257175"/>
              <wp:effectExtent l="0" t="0" r="6985" b="9525"/>
              <wp:wrapNone/>
              <wp:docPr id="6" name="Hexagon 6"/>
              <wp:cNvGraphicFramePr/>
              <a:graphic xmlns:a="http://schemas.openxmlformats.org/drawingml/2006/main">
                <a:graphicData uri="http://schemas.microsoft.com/office/word/2010/wordprocessingShape">
                  <wps:wsp>
                    <wps:cNvSpPr/>
                    <wps:spPr>
                      <a:xfrm>
                        <a:off x="0" y="0"/>
                        <a:ext cx="297815" cy="257175"/>
                      </a:xfrm>
                      <a:prstGeom prst="hexagon">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Hexagon 6" o:spid="_x0000_s1026" type="#_x0000_t9" style="position:absolute;margin-left:39.95pt;margin-top:.6pt;width:23.4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DlQIAAIUFAAAOAAAAZHJzL2Uyb0RvYy54bWysVE1v2zAMvQ/YfxB0Xx2nTdIEdYogRbcB&#10;RVusHXpWZCk2IIuapMTJfv0oyXazrthhWA6KKD4+fpjk1fWhUWQvrKtBFzQ/G1EiNIey1tuCfn++&#10;/XRJifNMl0yBFgU9Ckevlx8/XLVmIcZQgSqFJUii3aI1Ba28N4ssc7wSDXNnYIRGpQTbMI+i3Wal&#10;ZS2yNyobj0bTrAVbGgtcOIevN0lJl5FfSsH9g5ROeKIKirH5eNp4bsKZLa/YYmuZqWrehcH+IYqG&#10;1RqdDlQ3zDOys/UfVE3NLTiQ/oxDk4GUNRcxB8wmH73J5qliRsRcsDjODGVy/4+W3+8fLanLgk4p&#10;0azBT/RFHNgWNJmG4rTGLRDzZB5tJzm8hkwP0jbhH3Mgh1jQ41BQcfCE4+N4PrvMJ5RwVI0ns3w2&#10;CZzZq7Gxzn8W0JBwwayS61hJtr9zPqF7VHDnQNXlba1UFOx2s1aW7Bl+3vl8Oj0/7xz8BlM6gDUE&#10;s8QYXrKQW8om3vxRiYBT+puQWJIQf4wkNqMY/DDOhfZ5UlWsFMn9ZIS/3nto32ARk42EgVmi/4G7&#10;I+iRiaTnTlF2+GAqYi8PxqO/BZaMB4voGbQfjJtag32PQGFWneeE74uUShOqtIHyiA1jIU2SM/y2&#10;xk93x5x/ZBZHB4cM14F/wEMqaAsK3Y2SCuzP994DHr89ailpcRQL6n7smBWUqK8ae32eX1yE2Y3C&#10;xWQ2RsGeajanGr1r1oDtkOPiMTxeA96r/iotNC+4NVbBK6qY5ui7oNzbXlj7tCJw73CxWkUYzqth&#10;/k4/GR7IQ1VDXz4fXpg1Xf96bPx76MeWLd70cMIGSw2rnQdZxwZ/rWtXb5z12DjdXgrL5FSOqNft&#10;ufwFAAD//wMAUEsDBBQABgAIAAAAIQD5ABLs3QAAAAcBAAAPAAAAZHJzL2Rvd25yZXYueG1sTI/B&#10;TsMwEETvSPyDtUhcqtZpQAkNcapSVCSOlIpe3XhJosbryHbb8PdsT3CcndHM23I52l6c0YfOkYL5&#10;LAGBVDvTUaNg97mZPoEIUZPRvSNU8IMBltXtTakL4y70gedtbASXUCi0gjbGoZAy1C1aHWZuQGLv&#10;23mrI0vfSOP1hcttL9MkyaTVHfFCqwdct1gftyerYL15We2P8m3y9d6Tz1/1Q5hke6Xu78bVM4iI&#10;Y/wLwxWf0aFipoM7kQmiV5AvFpzkewriaqcZf3JQ8DjPQVal/M9f/QIAAP//AwBQSwECLQAUAAYA&#10;CAAAACEAtoM4kv4AAADhAQAAEwAAAAAAAAAAAAAAAAAAAAAAW0NvbnRlbnRfVHlwZXNdLnhtbFBL&#10;AQItABQABgAIAAAAIQA4/SH/1gAAAJQBAAALAAAAAAAAAAAAAAAAAC8BAABfcmVscy8ucmVsc1BL&#10;AQItABQABgAIAAAAIQB+jngDlQIAAIUFAAAOAAAAAAAAAAAAAAAAAC4CAABkcnMvZTJvRG9jLnht&#10;bFBLAQItABQABgAIAAAAIQD5ABLs3QAAAAcBAAAPAAAAAAAAAAAAAAAAAO8EAABkcnMvZG93bnJl&#10;di54bWxQSwUGAAAAAAQABADzAAAA+QUAAAAA&#10;" adj="4663" fillcolor="#963" stroked="f" strokeweight="2pt"/>
          </w:pict>
        </mc:Fallback>
      </mc:AlternateContent>
    </w:r>
    <w:r w:rsidRPr="0043442D">
      <w:rPr>
        <w:b/>
        <w:color w:val="996633"/>
        <w:spacing w:val="-2"/>
        <w:sz w:val="14"/>
        <w:szCs w:val="14"/>
      </w:rPr>
      <w:t>REMOTE DETECTION OF (DE)POPULATION PROCESSES—PRODUCT DOCUMENTATION</w:t>
    </w:r>
  </w:p>
  <w:p w:rsidR="00AA17AA" w:rsidRDefault="00AA17AA" w:rsidP="00AA17AA">
    <w:pPr>
      <w:pStyle w:val="Header"/>
      <w:tabs>
        <w:tab w:val="clear" w:pos="4680"/>
        <w:tab w:val="clear" w:pos="9360"/>
        <w:tab w:val="left" w:pos="3555"/>
      </w:tabs>
      <w:jc w:val="center"/>
      <w:rPr>
        <w:b/>
        <w:i/>
        <w:color w:val="996633"/>
        <w:spacing w:val="-2"/>
        <w:sz w:val="14"/>
        <w:szCs w:val="14"/>
      </w:rPr>
    </w:pPr>
    <w:r w:rsidRPr="00C62138">
      <w:rPr>
        <w:b/>
        <w:color w:val="996633"/>
        <w:spacing w:val="-2"/>
        <w:sz w:val="14"/>
        <w:szCs w:val="14"/>
      </w:rPr>
      <w:t xml:space="preserve">INDICATOR </w:t>
    </w:r>
    <w:r w:rsidR="002B5857">
      <w:rPr>
        <w:b/>
        <w:color w:val="996633"/>
        <w:spacing w:val="-2"/>
        <w:sz w:val="14"/>
        <w:szCs w:val="14"/>
      </w:rPr>
      <w:t>12</w:t>
    </w:r>
    <w:r w:rsidRPr="00C62138">
      <w:rPr>
        <w:b/>
        <w:color w:val="996633"/>
        <w:spacing w:val="-2"/>
        <w:sz w:val="14"/>
        <w:szCs w:val="14"/>
      </w:rPr>
      <w:t xml:space="preserve">: </w:t>
    </w:r>
    <w:r w:rsidR="00BA6005" w:rsidRPr="00BA6005">
      <w:rPr>
        <w:b/>
        <w:i/>
        <w:color w:val="996633"/>
        <w:spacing w:val="-2"/>
        <w:sz w:val="14"/>
        <w:szCs w:val="14"/>
      </w:rPr>
      <w:t>Land Cover as a ‘Tool for Monitoring’ Population Change</w:t>
    </w:r>
  </w:p>
  <w:p w:rsidR="00AA17AA" w:rsidRPr="00824D59" w:rsidRDefault="00AA17AA" w:rsidP="00AA17AA">
    <w:pPr>
      <w:pStyle w:val="Header"/>
      <w:tabs>
        <w:tab w:val="clear" w:pos="4680"/>
        <w:tab w:val="clear" w:pos="9360"/>
        <w:tab w:val="left" w:pos="3555"/>
      </w:tabs>
      <w:rPr>
        <w:i/>
        <w:sz w:val="14"/>
        <w:szCs w:val="14"/>
      </w:rPr>
    </w:pPr>
  </w:p>
  <w:p w:rsidR="00AA17AA" w:rsidRPr="00824D59" w:rsidRDefault="00AA17AA" w:rsidP="00AA17AA">
    <w:pPr>
      <w:pStyle w:val="Header"/>
      <w:tabs>
        <w:tab w:val="clear" w:pos="4680"/>
        <w:tab w:val="clear" w:pos="9360"/>
        <w:tab w:val="left" w:pos="6240"/>
      </w:tabs>
      <w:rPr>
        <w:i/>
      </w:rPr>
    </w:pPr>
  </w:p>
  <w:p w:rsidR="00AA17AA" w:rsidRDefault="00AA17AA" w:rsidP="00AA17AA">
    <w:pPr>
      <w:pStyle w:val="Header"/>
      <w:tabs>
        <w:tab w:val="clear" w:pos="4680"/>
        <w:tab w:val="clear" w:pos="9360"/>
        <w:tab w:val="left" w:pos="2025"/>
      </w:tabs>
    </w:pPr>
  </w:p>
  <w:p w:rsidR="00AA17AA" w:rsidRDefault="00AA17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42AB6"/>
    <w:multiLevelType w:val="hybridMultilevel"/>
    <w:tmpl w:val="9F5897B4"/>
    <w:lvl w:ilvl="0" w:tplc="697C3774">
      <w:start w:val="1"/>
      <w:numFmt w:val="bullet"/>
      <w:lvlText w:val=""/>
      <w:lvlJc w:val="left"/>
      <w:pPr>
        <w:ind w:left="360" w:hanging="360"/>
      </w:pPr>
      <w:rPr>
        <w:rFonts w:ascii="Wingdings" w:hAnsi="Wingdings" w:hint="default"/>
        <w:color w:val="9BBB59" w:themeColor="accent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A0727"/>
    <w:rsid w:val="00004D31"/>
    <w:rsid w:val="000564A5"/>
    <w:rsid w:val="002A0D92"/>
    <w:rsid w:val="002B5857"/>
    <w:rsid w:val="00392A38"/>
    <w:rsid w:val="004749E0"/>
    <w:rsid w:val="004A5C00"/>
    <w:rsid w:val="004B1F9E"/>
    <w:rsid w:val="005A1785"/>
    <w:rsid w:val="00650F40"/>
    <w:rsid w:val="00980949"/>
    <w:rsid w:val="009F3499"/>
    <w:rsid w:val="00A909D5"/>
    <w:rsid w:val="00AA17AA"/>
    <w:rsid w:val="00BA0727"/>
    <w:rsid w:val="00BA6005"/>
    <w:rsid w:val="00BC5B1A"/>
    <w:rsid w:val="00BE23B7"/>
    <w:rsid w:val="00C075B3"/>
    <w:rsid w:val="00E43ED1"/>
    <w:rsid w:val="00E502EC"/>
    <w:rsid w:val="00E6606B"/>
    <w:rsid w:val="00EB0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A5C00"/>
    <w:pPr>
      <w:tabs>
        <w:tab w:val="center" w:pos="4680"/>
        <w:tab w:val="right" w:pos="9360"/>
      </w:tabs>
      <w:spacing w:line="240" w:lineRule="auto"/>
    </w:pPr>
  </w:style>
  <w:style w:type="character" w:customStyle="1" w:styleId="HeaderChar">
    <w:name w:val="Header Char"/>
    <w:basedOn w:val="DefaultParagraphFont"/>
    <w:link w:val="Header"/>
    <w:uiPriority w:val="99"/>
    <w:rsid w:val="004A5C00"/>
  </w:style>
  <w:style w:type="paragraph" w:styleId="Footer">
    <w:name w:val="footer"/>
    <w:basedOn w:val="Normal"/>
    <w:link w:val="FooterChar"/>
    <w:uiPriority w:val="99"/>
    <w:unhideWhenUsed/>
    <w:rsid w:val="004A5C00"/>
    <w:pPr>
      <w:tabs>
        <w:tab w:val="center" w:pos="4680"/>
        <w:tab w:val="right" w:pos="9360"/>
      </w:tabs>
      <w:spacing w:line="240" w:lineRule="auto"/>
    </w:pPr>
  </w:style>
  <w:style w:type="character" w:customStyle="1" w:styleId="FooterChar">
    <w:name w:val="Footer Char"/>
    <w:basedOn w:val="DefaultParagraphFont"/>
    <w:link w:val="Footer"/>
    <w:uiPriority w:val="99"/>
    <w:rsid w:val="004A5C00"/>
  </w:style>
  <w:style w:type="character" w:styleId="Hyperlink">
    <w:name w:val="Hyperlink"/>
    <w:basedOn w:val="DefaultParagraphFont"/>
    <w:uiPriority w:val="99"/>
    <w:unhideWhenUsed/>
    <w:rsid w:val="004A5C00"/>
    <w:rPr>
      <w:color w:val="0000FF" w:themeColor="hyperlink"/>
      <w:u w:val="single"/>
    </w:rPr>
  </w:style>
  <w:style w:type="paragraph" w:styleId="ListParagraph">
    <w:name w:val="List Paragraph"/>
    <w:basedOn w:val="Normal"/>
    <w:uiPriority w:val="34"/>
    <w:qFormat/>
    <w:rsid w:val="00AA17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4A5C00"/>
    <w:pPr>
      <w:tabs>
        <w:tab w:val="center" w:pos="4680"/>
        <w:tab w:val="right" w:pos="9360"/>
      </w:tabs>
      <w:spacing w:line="240" w:lineRule="auto"/>
    </w:pPr>
  </w:style>
  <w:style w:type="character" w:customStyle="1" w:styleId="HeaderChar">
    <w:name w:val="Header Char"/>
    <w:basedOn w:val="DefaultParagraphFont"/>
    <w:link w:val="Header"/>
    <w:uiPriority w:val="99"/>
    <w:rsid w:val="004A5C00"/>
  </w:style>
  <w:style w:type="paragraph" w:styleId="Footer">
    <w:name w:val="footer"/>
    <w:basedOn w:val="Normal"/>
    <w:link w:val="FooterChar"/>
    <w:uiPriority w:val="99"/>
    <w:unhideWhenUsed/>
    <w:rsid w:val="004A5C00"/>
    <w:pPr>
      <w:tabs>
        <w:tab w:val="center" w:pos="4680"/>
        <w:tab w:val="right" w:pos="9360"/>
      </w:tabs>
      <w:spacing w:line="240" w:lineRule="auto"/>
    </w:pPr>
  </w:style>
  <w:style w:type="character" w:customStyle="1" w:styleId="FooterChar">
    <w:name w:val="Footer Char"/>
    <w:basedOn w:val="DefaultParagraphFont"/>
    <w:link w:val="Footer"/>
    <w:uiPriority w:val="99"/>
    <w:rsid w:val="004A5C00"/>
  </w:style>
  <w:style w:type="character" w:styleId="Hyperlink">
    <w:name w:val="Hyperlink"/>
    <w:basedOn w:val="DefaultParagraphFont"/>
    <w:uiPriority w:val="99"/>
    <w:unhideWhenUsed/>
    <w:rsid w:val="004A5C00"/>
    <w:rPr>
      <w:color w:val="0000FF" w:themeColor="hyperlink"/>
      <w:u w:val="single"/>
    </w:rPr>
  </w:style>
  <w:style w:type="paragraph" w:styleId="ListParagraph">
    <w:name w:val="List Paragraph"/>
    <w:basedOn w:val="Normal"/>
    <w:uiPriority w:val="34"/>
    <w:qFormat/>
    <w:rsid w:val="00AA1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land.copernicus.eu/pan-european/corine-land-cover/clc-1990"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eosrbija.rs/usluge/otvoreni-podaci-nig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ta.jrc.ec.europa.eu/dataset/0c6b9751-a71f-4062-830b-43c9f432370f" TargetMode="External"/><Relationship Id="rId4" Type="http://schemas.openxmlformats.org/officeDocument/2006/relationships/settings" Target="settings.xml"/><Relationship Id="rId9" Type="http://schemas.openxmlformats.org/officeDocument/2006/relationships/hyperlink" Target="https://land.copernicus.eu/pan-european/corine-land-cover/clc201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dejan</dc:creator>
  <cp:lastModifiedBy>Tech. ed.</cp:lastModifiedBy>
  <cp:revision>13</cp:revision>
  <cp:lastPrinted>2020-10-25T23:58:00Z</cp:lastPrinted>
  <dcterms:created xsi:type="dcterms:W3CDTF">2020-10-14T10:19:00Z</dcterms:created>
  <dcterms:modified xsi:type="dcterms:W3CDTF">2020-10-29T19:21:00Z</dcterms:modified>
</cp:coreProperties>
</file>