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2AC1" w:rsidRDefault="00FB47B2">
      <w:pPr>
        <w:rPr>
          <w:b/>
          <w:sz w:val="24"/>
          <w:szCs w:val="24"/>
        </w:rPr>
      </w:pPr>
      <w:r>
        <w:rPr>
          <w:b/>
          <w:sz w:val="24"/>
          <w:szCs w:val="24"/>
        </w:rPr>
        <w:t>INDICATOR 3: Population Density in Serbia 2015</w:t>
      </w:r>
    </w:p>
    <w:p w14:paraId="00000002" w14:textId="77777777" w:rsidR="00C92AC1" w:rsidRDefault="00C92AC1">
      <w:pPr>
        <w:rPr>
          <w:b/>
          <w:sz w:val="24"/>
          <w:szCs w:val="24"/>
        </w:rPr>
      </w:pPr>
    </w:p>
    <w:p w14:paraId="1236CD3F" w14:textId="77777777" w:rsidR="00EE1B02" w:rsidRDefault="00EE1B02">
      <w:pPr>
        <w:rPr>
          <w:b/>
          <w:sz w:val="24"/>
          <w:szCs w:val="24"/>
        </w:rPr>
      </w:pPr>
    </w:p>
    <w:p w14:paraId="00000003" w14:textId="77777777" w:rsidR="00C92AC1" w:rsidRDefault="00FB47B2" w:rsidP="00EE1B02">
      <w:pPr>
        <w:numPr>
          <w:ilvl w:val="0"/>
          <w:numId w:val="2"/>
        </w:numPr>
        <w:spacing w:after="200" w:line="240" w:lineRule="auto"/>
        <w:ind w:left="284" w:hanging="284"/>
        <w:rPr>
          <w:b/>
        </w:rPr>
      </w:pPr>
      <w:r>
        <w:rPr>
          <w:b/>
        </w:rPr>
        <w:t>Population density</w:t>
      </w:r>
    </w:p>
    <w:p w14:paraId="00000004" w14:textId="77777777" w:rsidR="00C92AC1" w:rsidRDefault="00FB47B2" w:rsidP="003D4916">
      <w:pPr>
        <w:pStyle w:val="ListParagraph"/>
        <w:numPr>
          <w:ilvl w:val="0"/>
          <w:numId w:val="5"/>
        </w:numPr>
      </w:pPr>
      <w:r>
        <w:t>File Name: Pop_Dens_RS_2015</w:t>
      </w:r>
    </w:p>
    <w:p w14:paraId="00000005" w14:textId="77777777" w:rsidR="00C92AC1" w:rsidRDefault="00FB47B2" w:rsidP="003D4916">
      <w:pPr>
        <w:pStyle w:val="ListParagraph"/>
        <w:numPr>
          <w:ilvl w:val="0"/>
          <w:numId w:val="5"/>
        </w:numPr>
      </w:pPr>
      <w:r>
        <w:t>Coordinate Reference Systems: WGS 84 / UTM zone 34N (EPSG:32634)</w:t>
      </w:r>
    </w:p>
    <w:p w14:paraId="00000006" w14:textId="3891845D" w:rsidR="00C92AC1" w:rsidRDefault="00136B68" w:rsidP="003D4916">
      <w:pPr>
        <w:pStyle w:val="ListParagraph"/>
        <w:numPr>
          <w:ilvl w:val="0"/>
          <w:numId w:val="5"/>
        </w:numPr>
      </w:pPr>
      <w:r>
        <w:t>Spatial r</w:t>
      </w:r>
      <w:r w:rsidR="00FB47B2">
        <w:t>esolution: 250 m × 250 m</w:t>
      </w:r>
    </w:p>
    <w:p w14:paraId="00000007" w14:textId="77777777" w:rsidR="00C92AC1" w:rsidRDefault="00FB47B2" w:rsidP="003D4916">
      <w:pPr>
        <w:pStyle w:val="ListParagraph"/>
        <w:numPr>
          <w:ilvl w:val="0"/>
          <w:numId w:val="5"/>
        </w:numPr>
      </w:pPr>
      <w:r>
        <w:t>Max: 19,965.6484375</w:t>
      </w:r>
    </w:p>
    <w:p w14:paraId="00000009" w14:textId="77777777" w:rsidR="00C92AC1" w:rsidRDefault="00FB47B2" w:rsidP="003D4916">
      <w:pPr>
        <w:pStyle w:val="ListParagraph"/>
        <w:numPr>
          <w:ilvl w:val="0"/>
          <w:numId w:val="5"/>
        </w:numPr>
      </w:pPr>
      <w:r>
        <w:t xml:space="preserve">Min: </w:t>
      </w:r>
      <w:r w:rsidRPr="007C7783">
        <w:rPr>
          <w:rFonts w:ascii="Cambria" w:eastAsia="Cambria" w:hAnsi="Cambria" w:cs="Cambria"/>
        </w:rPr>
        <w:t>0</w:t>
      </w:r>
    </w:p>
    <w:p w14:paraId="0000000B" w14:textId="77777777" w:rsidR="00C92AC1" w:rsidRDefault="00FB47B2" w:rsidP="003D4916">
      <w:pPr>
        <w:pStyle w:val="ListParagraph"/>
        <w:numPr>
          <w:ilvl w:val="0"/>
          <w:numId w:val="5"/>
        </w:numPr>
      </w:pPr>
      <w:r>
        <w:t xml:space="preserve">No Data: </w:t>
      </w:r>
      <w:r w:rsidRPr="007C7783">
        <w:rPr>
          <w:rFonts w:ascii="Cambria" w:eastAsia="Cambria" w:hAnsi="Cambria" w:cs="Cambria"/>
        </w:rPr>
        <w:t>–</w:t>
      </w:r>
      <w:r>
        <w:t>3.40282e+38</w:t>
      </w:r>
    </w:p>
    <w:p w14:paraId="0725840A" w14:textId="454729F5" w:rsidR="007C7783" w:rsidRDefault="007C7783" w:rsidP="003D4916">
      <w:pPr>
        <w:pStyle w:val="ListParagraph"/>
        <w:numPr>
          <w:ilvl w:val="0"/>
          <w:numId w:val="5"/>
        </w:numPr>
      </w:pPr>
      <w:r>
        <w:t>Unit: inh./km</w:t>
      </w:r>
      <w:r w:rsidRPr="007C7783">
        <w:rPr>
          <w:vertAlign w:val="superscript"/>
        </w:rPr>
        <w:t>2</w:t>
      </w:r>
    </w:p>
    <w:p w14:paraId="0000000C" w14:textId="77777777" w:rsidR="00C92AC1" w:rsidRDefault="00C92AC1"/>
    <w:p w14:paraId="37EDE9F2" w14:textId="75B46339" w:rsidR="00F2580A" w:rsidRDefault="007C7783" w:rsidP="00EE1B02">
      <w:pPr>
        <w:jc w:val="both"/>
      </w:pPr>
      <w:r>
        <w:rPr>
          <w:b/>
        </w:rPr>
        <w:t xml:space="preserve">Description of Indicator: </w:t>
      </w:r>
      <w:r w:rsidRPr="006855F0">
        <w:t>Population density is one of the most used indicators in monitoring spatial changes and delimitation of rural and urban areas</w:t>
      </w:r>
      <w:r>
        <w:t xml:space="preserve">. </w:t>
      </w:r>
      <w:r w:rsidRPr="006855F0">
        <w:t xml:space="preserve">The identification of </w:t>
      </w:r>
      <w:r w:rsidRPr="007C7783">
        <w:t>sparsely populated territories</w:t>
      </w:r>
      <w:r w:rsidRPr="006855F0">
        <w:t xml:space="preserve">, through population density, is one of the key tasks for monitoring the depopulation process and delimitation of </w:t>
      </w:r>
      <w:r w:rsidRPr="00FE30B3">
        <w:t>demographically endangered</w:t>
      </w:r>
      <w:r>
        <w:t xml:space="preserve"> </w:t>
      </w:r>
      <w:r w:rsidRPr="006855F0">
        <w:t xml:space="preserve">areas. Areas with low population density are usually exposed to long-lasting and intense negative demographic trends. The </w:t>
      </w:r>
      <w:r w:rsidR="00982F69">
        <w:t>recognition</w:t>
      </w:r>
      <w:r w:rsidRPr="006855F0">
        <w:t xml:space="preserve"> of these population density categories indicates which areas are faced with the depopulation process</w:t>
      </w:r>
      <w:r>
        <w:t xml:space="preserve">. </w:t>
      </w:r>
      <w:r w:rsidR="00FB47B2" w:rsidRPr="006855F0">
        <w:t xml:space="preserve">The population density grid is calculated </w:t>
      </w:r>
      <w:r w:rsidR="00433BA1">
        <w:t xml:space="preserve">by </w:t>
      </w:r>
      <w:r w:rsidR="00FB47B2" w:rsidRPr="006855F0">
        <w:t xml:space="preserve">dividing the population count grid by the land area grid and represents </w:t>
      </w:r>
      <w:r w:rsidR="00433BA1">
        <w:t xml:space="preserve">the </w:t>
      </w:r>
      <w:r w:rsidR="00FB47B2">
        <w:t>number of inhabitants</w:t>
      </w:r>
      <w:r w:rsidR="00FB47B2" w:rsidRPr="006855F0">
        <w:t xml:space="preserve"> per square kilomet</w:t>
      </w:r>
      <w:r w:rsidR="005A1325">
        <w:t xml:space="preserve">re </w:t>
      </w:r>
      <w:r w:rsidR="00982F69">
        <w:t>(inh./km</w:t>
      </w:r>
      <w:r w:rsidR="00982F69" w:rsidRPr="00982F69">
        <w:rPr>
          <w:vertAlign w:val="superscript"/>
        </w:rPr>
        <w:t>2</w:t>
      </w:r>
      <w:r w:rsidR="00982F69">
        <w:t>)</w:t>
      </w:r>
      <w:r w:rsidR="00FB47B2" w:rsidRPr="006855F0">
        <w:t>.</w:t>
      </w:r>
    </w:p>
    <w:p w14:paraId="2F8EBB88" w14:textId="77777777" w:rsidR="00EE1B02" w:rsidRDefault="00EE1B02" w:rsidP="00EE1B02">
      <w:pPr>
        <w:jc w:val="both"/>
      </w:pPr>
    </w:p>
    <w:p w14:paraId="11BD212F" w14:textId="77777777" w:rsidR="00EE1B02" w:rsidRPr="00EE1B02" w:rsidRDefault="00EE1B02" w:rsidP="00EE1B02">
      <w:pPr>
        <w:jc w:val="both"/>
      </w:pPr>
    </w:p>
    <w:p w14:paraId="486D9FCC" w14:textId="3CA715C1" w:rsidR="007C7783" w:rsidRDefault="007C7783" w:rsidP="007C7783">
      <w:pPr>
        <w:spacing w:after="240"/>
        <w:jc w:val="both"/>
        <w:rPr>
          <w:b/>
        </w:rPr>
      </w:pPr>
      <w:r>
        <w:rPr>
          <w:b/>
        </w:rPr>
        <w:t xml:space="preserve">Source data for </w:t>
      </w:r>
      <w:r w:rsidR="00E47C2E">
        <w:rPr>
          <w:b/>
        </w:rPr>
        <w:t>I</w:t>
      </w:r>
      <w:r>
        <w:rPr>
          <w:b/>
        </w:rPr>
        <w:t>ndicator calculation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7C7783" w14:paraId="164EE918" w14:textId="77777777" w:rsidTr="003D4916">
        <w:tc>
          <w:tcPr>
            <w:tcW w:w="2490" w:type="dxa"/>
            <w:shd w:val="clear" w:color="auto" w:fill="9BBB59" w:themeFill="accent3"/>
            <w:tcMar>
              <w:top w:w="100" w:type="dxa"/>
              <w:left w:w="100" w:type="dxa"/>
              <w:bottom w:w="100" w:type="dxa"/>
              <w:right w:w="100" w:type="dxa"/>
            </w:tcMar>
          </w:tcPr>
          <w:p w14:paraId="309832C5" w14:textId="77777777" w:rsidR="007C7783" w:rsidRDefault="007C7783" w:rsidP="001E01E4">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14:paraId="59E08B5A" w14:textId="77777777" w:rsidR="007C7783" w:rsidRDefault="007C7783" w:rsidP="001E01E4">
            <w:pPr>
              <w:widowControl w:val="0"/>
              <w:pBdr>
                <w:top w:val="nil"/>
                <w:left w:val="nil"/>
                <w:bottom w:val="nil"/>
                <w:right w:val="nil"/>
                <w:between w:val="nil"/>
              </w:pBdr>
              <w:spacing w:line="240" w:lineRule="auto"/>
              <w:jc w:val="center"/>
              <w:rPr>
                <w:b/>
              </w:rPr>
            </w:pPr>
            <w:r>
              <w:rPr>
                <w:b/>
              </w:rPr>
              <w:t>Source</w:t>
            </w:r>
          </w:p>
        </w:tc>
      </w:tr>
      <w:tr w:rsidR="007C7783" w14:paraId="2543345A" w14:textId="77777777" w:rsidTr="001E01E4">
        <w:trPr>
          <w:trHeight w:val="850"/>
        </w:trPr>
        <w:tc>
          <w:tcPr>
            <w:tcW w:w="2490" w:type="dxa"/>
            <w:shd w:val="clear" w:color="auto" w:fill="auto"/>
            <w:tcMar>
              <w:top w:w="100" w:type="dxa"/>
              <w:left w:w="100" w:type="dxa"/>
              <w:bottom w:w="100" w:type="dxa"/>
              <w:right w:w="100" w:type="dxa"/>
            </w:tcMar>
            <w:vAlign w:val="center"/>
          </w:tcPr>
          <w:p w14:paraId="6C50F8AF" w14:textId="77777777" w:rsidR="007C7783" w:rsidRDefault="007C7783" w:rsidP="001E01E4">
            <w:pPr>
              <w:widowControl w:val="0"/>
              <w:pBdr>
                <w:top w:val="nil"/>
                <w:left w:val="nil"/>
                <w:bottom w:val="nil"/>
                <w:right w:val="nil"/>
                <w:between w:val="nil"/>
              </w:pBdr>
              <w:spacing w:line="240" w:lineRule="auto"/>
            </w:pPr>
            <w:r>
              <w:t>Population count*</w:t>
            </w:r>
          </w:p>
        </w:tc>
        <w:tc>
          <w:tcPr>
            <w:tcW w:w="6510" w:type="dxa"/>
            <w:shd w:val="clear" w:color="auto" w:fill="auto"/>
            <w:tcMar>
              <w:top w:w="100" w:type="dxa"/>
              <w:left w:w="100" w:type="dxa"/>
              <w:bottom w:w="100" w:type="dxa"/>
              <w:right w:w="100" w:type="dxa"/>
            </w:tcMar>
            <w:vAlign w:val="center"/>
          </w:tcPr>
          <w:p w14:paraId="79614FE6" w14:textId="0F3EF623" w:rsidR="007C7783" w:rsidRDefault="00634A7F" w:rsidP="00FB47B2">
            <w:pPr>
              <w:spacing w:after="240"/>
              <w:rPr>
                <w:b/>
              </w:rPr>
            </w:pPr>
            <w:hyperlink r:id="rId8" w:history="1">
              <w:r w:rsidR="007C7783" w:rsidRPr="00433BA1">
                <w:rPr>
                  <w:rStyle w:val="Hyperlink"/>
                </w:rPr>
                <w:t xml:space="preserve">GHS-POP R2019A dataset—GHS population grid multitemporal [European Commission, Joint </w:t>
              </w:r>
              <w:r w:rsidR="00DD0DF3">
                <w:rPr>
                  <w:rStyle w:val="Hyperlink"/>
                </w:rPr>
                <w:t>Research Center, 2019], dataset</w:t>
              </w:r>
              <w:r w:rsidR="007C7783" w:rsidRPr="00433BA1">
                <w:rPr>
                  <w:rStyle w:val="Hyperlink"/>
                </w:rPr>
                <w:t xml:space="preserve"> for 2015</w:t>
              </w:r>
            </w:hyperlink>
          </w:p>
        </w:tc>
      </w:tr>
    </w:tbl>
    <w:p w14:paraId="02182B13" w14:textId="41ECE397" w:rsidR="007C7783" w:rsidRPr="00C21888" w:rsidRDefault="00951B25" w:rsidP="003D4916">
      <w:pPr>
        <w:spacing w:before="240"/>
        <w:rPr>
          <w:lang w:val="sr-Latn-RS"/>
        </w:rPr>
      </w:pPr>
      <w:r>
        <w:t xml:space="preserve">*  </w:t>
      </w:r>
      <w:r w:rsidR="007C7783">
        <w:t>Population data for municipalites Pre</w:t>
      </w:r>
      <w:r w:rsidR="007C7783">
        <w:rPr>
          <w:lang w:val="sr-Latn-RS"/>
        </w:rPr>
        <w:t xml:space="preserve">ševo and Bujanovac are not included in datasets. </w:t>
      </w:r>
      <w:r w:rsidR="005A1325">
        <w:t>Accordingly, the indicator values within these aministrative units are missing.</w:t>
      </w:r>
    </w:p>
    <w:p w14:paraId="3F161BAF" w14:textId="77777777" w:rsidR="007C7783" w:rsidRDefault="007C7783"/>
    <w:p w14:paraId="4E30E88F" w14:textId="77777777" w:rsidR="007C7783" w:rsidRDefault="007C7783"/>
    <w:p w14:paraId="0000000D" w14:textId="77777777" w:rsidR="00C92AC1" w:rsidRDefault="00FB47B2" w:rsidP="00EE1B02">
      <w:pPr>
        <w:numPr>
          <w:ilvl w:val="0"/>
          <w:numId w:val="2"/>
        </w:numPr>
        <w:spacing w:after="200" w:line="240" w:lineRule="auto"/>
        <w:ind w:left="284" w:hanging="284"/>
        <w:rPr>
          <w:b/>
        </w:rPr>
      </w:pPr>
      <w:r>
        <w:rPr>
          <w:b/>
        </w:rPr>
        <w:t>Population density on built-up area</w:t>
      </w:r>
    </w:p>
    <w:p w14:paraId="0000000E" w14:textId="77777777" w:rsidR="00C92AC1" w:rsidRDefault="00FB47B2" w:rsidP="003D4916">
      <w:pPr>
        <w:pStyle w:val="ListParagraph"/>
        <w:numPr>
          <w:ilvl w:val="0"/>
          <w:numId w:val="6"/>
        </w:numPr>
      </w:pPr>
      <w:r>
        <w:t>File Name: Pop_Dens_Built-Up_RS_2015</w:t>
      </w:r>
    </w:p>
    <w:p w14:paraId="0000000F" w14:textId="77777777" w:rsidR="00C92AC1" w:rsidRDefault="00FB47B2" w:rsidP="003D4916">
      <w:pPr>
        <w:pStyle w:val="ListParagraph"/>
        <w:numPr>
          <w:ilvl w:val="0"/>
          <w:numId w:val="6"/>
        </w:numPr>
      </w:pPr>
      <w:r>
        <w:t>Coordinate Reference Systems: WGS 84 / UTM zone 34N (EPSG:32634)</w:t>
      </w:r>
    </w:p>
    <w:p w14:paraId="00000010" w14:textId="7E705EB3" w:rsidR="00C92AC1" w:rsidRDefault="00F2580A" w:rsidP="003D4916">
      <w:pPr>
        <w:pStyle w:val="ListParagraph"/>
        <w:numPr>
          <w:ilvl w:val="0"/>
          <w:numId w:val="6"/>
        </w:numPr>
      </w:pPr>
      <w:r>
        <w:t>Spatial r</w:t>
      </w:r>
      <w:r w:rsidR="00FB47B2">
        <w:t>esolution: 250 m × 250 m</w:t>
      </w:r>
    </w:p>
    <w:p w14:paraId="00000011" w14:textId="77777777" w:rsidR="00C92AC1" w:rsidRDefault="00FB47B2" w:rsidP="003D4916">
      <w:pPr>
        <w:pStyle w:val="ListParagraph"/>
        <w:numPr>
          <w:ilvl w:val="0"/>
          <w:numId w:val="6"/>
        </w:numPr>
      </w:pPr>
      <w:r>
        <w:t>Max: 72,510.3203125</w:t>
      </w:r>
    </w:p>
    <w:p w14:paraId="00000013" w14:textId="77777777" w:rsidR="00C92AC1" w:rsidRDefault="00FB47B2" w:rsidP="003D4916">
      <w:pPr>
        <w:pStyle w:val="ListParagraph"/>
        <w:numPr>
          <w:ilvl w:val="0"/>
          <w:numId w:val="6"/>
        </w:numPr>
      </w:pPr>
      <w:r>
        <w:t xml:space="preserve">Min: </w:t>
      </w:r>
      <w:r w:rsidRPr="007C7783">
        <w:rPr>
          <w:rFonts w:ascii="Cambria" w:eastAsia="Cambria" w:hAnsi="Cambria" w:cs="Cambria"/>
        </w:rPr>
        <w:t>0</w:t>
      </w:r>
    </w:p>
    <w:p w14:paraId="3AB98867" w14:textId="77777777" w:rsidR="00FB47B2" w:rsidRDefault="00FB47B2" w:rsidP="003D4916">
      <w:pPr>
        <w:pStyle w:val="ListParagraph"/>
        <w:numPr>
          <w:ilvl w:val="0"/>
          <w:numId w:val="6"/>
        </w:numPr>
      </w:pPr>
      <w:r>
        <w:t xml:space="preserve">No Data: </w:t>
      </w:r>
      <w:r w:rsidRPr="007C7783">
        <w:rPr>
          <w:rFonts w:ascii="Cambria" w:eastAsia="Cambria" w:hAnsi="Cambria" w:cs="Cambria"/>
        </w:rPr>
        <w:t>–</w:t>
      </w:r>
      <w:r>
        <w:t>3.40282e+38</w:t>
      </w:r>
    </w:p>
    <w:p w14:paraId="70576890" w14:textId="3276F4E6" w:rsidR="005A1325" w:rsidRDefault="005A1325" w:rsidP="003D4916">
      <w:pPr>
        <w:pStyle w:val="ListParagraph"/>
        <w:numPr>
          <w:ilvl w:val="0"/>
          <w:numId w:val="6"/>
        </w:numPr>
      </w:pPr>
      <w:r>
        <w:t>Unit: inh./ha</w:t>
      </w:r>
    </w:p>
    <w:p w14:paraId="70D460D6" w14:textId="17778C1E" w:rsidR="00FB47B2" w:rsidRDefault="00FB47B2" w:rsidP="00FB47B2">
      <w:pPr>
        <w:jc w:val="both"/>
      </w:pPr>
      <w:r w:rsidRPr="00FB47B2">
        <w:rPr>
          <w:b/>
        </w:rPr>
        <w:lastRenderedPageBreak/>
        <w:t xml:space="preserve">Description of Indicator: </w:t>
      </w:r>
      <w:r w:rsidRPr="00FB47B2">
        <w:t xml:space="preserve">Population density on </w:t>
      </w:r>
      <w:r w:rsidR="00433BA1">
        <w:t xml:space="preserve">the </w:t>
      </w:r>
      <w:r w:rsidRPr="00FB47B2">
        <w:t>built-up area</w:t>
      </w:r>
      <w:r>
        <w:t xml:space="preserve"> show</w:t>
      </w:r>
      <w:r w:rsidR="00490D13">
        <w:t>s</w:t>
      </w:r>
      <w:r>
        <w:t xml:space="preserve"> the concentration of the population in the built-up area</w:t>
      </w:r>
      <w:r w:rsidR="00490D13">
        <w:t>s</w:t>
      </w:r>
      <w:r>
        <w:t>. This indicator not only serves to delimit the zones of (de)concentration, but also indicates the type of construction in an area. Thus, where the values of the indicators are extremely high, these are densely populated urban areas with a dominant type of collective construction, while low values, in addition to indicating the demographic shrinkage, also illustrate a predominantly individual type, family houses. It was calculated d</w:t>
      </w:r>
      <w:r w:rsidR="00433BA1">
        <w:t>i</w:t>
      </w:r>
      <w:r>
        <w:t>vidin</w:t>
      </w:r>
      <w:r w:rsidR="002E2346">
        <w:t>g</w:t>
      </w:r>
      <w:r>
        <w:t xml:space="preserve"> the population count </w:t>
      </w:r>
      <w:r w:rsidR="00490D13">
        <w:t xml:space="preserve">grid by </w:t>
      </w:r>
      <w:r w:rsidR="00433BA1">
        <w:t xml:space="preserve">a </w:t>
      </w:r>
      <w:r w:rsidR="00490D13">
        <w:t>built-</w:t>
      </w:r>
      <w:r>
        <w:t>up area</w:t>
      </w:r>
      <w:r w:rsidR="00490D13">
        <w:t xml:space="preserve"> grid</w:t>
      </w:r>
      <w:r>
        <w:t xml:space="preserve"> and it is expressed in </w:t>
      </w:r>
      <w:r w:rsidR="00433BA1">
        <w:t xml:space="preserve">the </w:t>
      </w:r>
      <w:r>
        <w:t>number of inhabitants</w:t>
      </w:r>
      <w:r w:rsidRPr="006855F0">
        <w:t xml:space="preserve"> per </w:t>
      </w:r>
      <w:r w:rsidR="00490D13">
        <w:t>hectare of built-</w:t>
      </w:r>
      <w:r>
        <w:t>up area</w:t>
      </w:r>
      <w:r w:rsidR="00490D13">
        <w:t xml:space="preserve"> (inh./ha)</w:t>
      </w:r>
      <w:r w:rsidR="00EE1B02">
        <w:t>.</w:t>
      </w:r>
    </w:p>
    <w:p w14:paraId="604728F9" w14:textId="77777777" w:rsidR="00EE1B02" w:rsidRDefault="00EE1B02" w:rsidP="00FB47B2">
      <w:pPr>
        <w:jc w:val="both"/>
      </w:pPr>
    </w:p>
    <w:p w14:paraId="24FBBCA3" w14:textId="77777777" w:rsidR="00EE1B02" w:rsidRDefault="00EE1B02" w:rsidP="00FB47B2">
      <w:pPr>
        <w:jc w:val="both"/>
      </w:pPr>
      <w:bookmarkStart w:id="0" w:name="_GoBack"/>
      <w:bookmarkEnd w:id="0"/>
    </w:p>
    <w:p w14:paraId="1E93DDDE" w14:textId="506F1A45" w:rsidR="00FB47B2" w:rsidRPr="00FB47B2" w:rsidRDefault="00FB47B2" w:rsidP="00FB47B2">
      <w:pPr>
        <w:spacing w:after="240"/>
        <w:jc w:val="both"/>
        <w:rPr>
          <w:b/>
        </w:rPr>
      </w:pPr>
      <w:r w:rsidRPr="00FB47B2">
        <w:rPr>
          <w:b/>
        </w:rPr>
        <w:t xml:space="preserve">Source data for </w:t>
      </w:r>
      <w:r w:rsidR="00E47C2E">
        <w:rPr>
          <w:b/>
        </w:rPr>
        <w:t>I</w:t>
      </w:r>
      <w:r w:rsidRPr="00FB47B2">
        <w:rPr>
          <w:b/>
        </w:rPr>
        <w:t>ndicator calculation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FB47B2" w14:paraId="40EE78E0" w14:textId="77777777" w:rsidTr="003D4916">
        <w:tc>
          <w:tcPr>
            <w:tcW w:w="2490" w:type="dxa"/>
            <w:shd w:val="clear" w:color="auto" w:fill="9BBB59" w:themeFill="accent3"/>
            <w:tcMar>
              <w:top w:w="100" w:type="dxa"/>
              <w:left w:w="100" w:type="dxa"/>
              <w:bottom w:w="100" w:type="dxa"/>
              <w:right w:w="100" w:type="dxa"/>
            </w:tcMar>
          </w:tcPr>
          <w:p w14:paraId="29B34552" w14:textId="77777777" w:rsidR="00FB47B2" w:rsidRDefault="00FB47B2" w:rsidP="001E01E4">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14:paraId="5D77330E" w14:textId="77777777" w:rsidR="00FB47B2" w:rsidRDefault="00FB47B2" w:rsidP="001E01E4">
            <w:pPr>
              <w:widowControl w:val="0"/>
              <w:pBdr>
                <w:top w:val="nil"/>
                <w:left w:val="nil"/>
                <w:bottom w:val="nil"/>
                <w:right w:val="nil"/>
                <w:between w:val="nil"/>
              </w:pBdr>
              <w:spacing w:line="240" w:lineRule="auto"/>
              <w:jc w:val="center"/>
              <w:rPr>
                <w:b/>
              </w:rPr>
            </w:pPr>
            <w:r>
              <w:rPr>
                <w:b/>
              </w:rPr>
              <w:t>Source</w:t>
            </w:r>
          </w:p>
        </w:tc>
      </w:tr>
      <w:tr w:rsidR="00FB47B2" w14:paraId="56416264" w14:textId="77777777" w:rsidTr="001E01E4">
        <w:trPr>
          <w:trHeight w:val="850"/>
        </w:trPr>
        <w:tc>
          <w:tcPr>
            <w:tcW w:w="2490" w:type="dxa"/>
            <w:shd w:val="clear" w:color="auto" w:fill="auto"/>
            <w:tcMar>
              <w:top w:w="100" w:type="dxa"/>
              <w:left w:w="100" w:type="dxa"/>
              <w:bottom w:w="100" w:type="dxa"/>
              <w:right w:w="100" w:type="dxa"/>
            </w:tcMar>
            <w:vAlign w:val="center"/>
          </w:tcPr>
          <w:p w14:paraId="17A00C95" w14:textId="77777777" w:rsidR="00FB47B2" w:rsidRDefault="00FB47B2" w:rsidP="001E01E4">
            <w:pPr>
              <w:widowControl w:val="0"/>
              <w:pBdr>
                <w:top w:val="nil"/>
                <w:left w:val="nil"/>
                <w:bottom w:val="nil"/>
                <w:right w:val="nil"/>
                <w:between w:val="nil"/>
              </w:pBdr>
              <w:spacing w:line="240" w:lineRule="auto"/>
            </w:pPr>
            <w:r>
              <w:t>Population count*</w:t>
            </w:r>
          </w:p>
        </w:tc>
        <w:tc>
          <w:tcPr>
            <w:tcW w:w="6510" w:type="dxa"/>
            <w:shd w:val="clear" w:color="auto" w:fill="auto"/>
            <w:tcMar>
              <w:top w:w="100" w:type="dxa"/>
              <w:left w:w="100" w:type="dxa"/>
              <w:bottom w:w="100" w:type="dxa"/>
              <w:right w:w="100" w:type="dxa"/>
            </w:tcMar>
            <w:vAlign w:val="center"/>
          </w:tcPr>
          <w:p w14:paraId="720F767C" w14:textId="7F24A415" w:rsidR="00FB47B2" w:rsidRDefault="00634A7F" w:rsidP="001E01E4">
            <w:pPr>
              <w:spacing w:after="240"/>
              <w:rPr>
                <w:b/>
              </w:rPr>
            </w:pPr>
            <w:hyperlink r:id="rId9" w:history="1">
              <w:r w:rsidR="00FB47B2" w:rsidRPr="00433BA1">
                <w:rPr>
                  <w:rStyle w:val="Hyperlink"/>
                </w:rPr>
                <w:t xml:space="preserve">GHS-POP R2019A dataset—GHS population grid multitemporal [European Commission, Joint </w:t>
              </w:r>
              <w:r w:rsidR="00DD0DF3">
                <w:rPr>
                  <w:rStyle w:val="Hyperlink"/>
                </w:rPr>
                <w:t>Research Center, 2019], dataset</w:t>
              </w:r>
              <w:r w:rsidR="00FB47B2" w:rsidRPr="00433BA1">
                <w:rPr>
                  <w:rStyle w:val="Hyperlink"/>
                </w:rPr>
                <w:t xml:space="preserve"> for 2015</w:t>
              </w:r>
            </w:hyperlink>
          </w:p>
        </w:tc>
      </w:tr>
      <w:tr w:rsidR="00FB47B2" w14:paraId="65AC6901" w14:textId="77777777" w:rsidTr="001E01E4">
        <w:trPr>
          <w:trHeight w:val="850"/>
        </w:trPr>
        <w:tc>
          <w:tcPr>
            <w:tcW w:w="2490" w:type="dxa"/>
            <w:shd w:val="clear" w:color="auto" w:fill="auto"/>
            <w:tcMar>
              <w:top w:w="100" w:type="dxa"/>
              <w:left w:w="100" w:type="dxa"/>
              <w:bottom w:w="100" w:type="dxa"/>
              <w:right w:w="100" w:type="dxa"/>
            </w:tcMar>
            <w:vAlign w:val="center"/>
          </w:tcPr>
          <w:p w14:paraId="5CA3B6A3" w14:textId="47D80646" w:rsidR="00FB47B2" w:rsidRDefault="00951B25" w:rsidP="001E01E4">
            <w:pPr>
              <w:widowControl w:val="0"/>
              <w:pBdr>
                <w:top w:val="nil"/>
                <w:left w:val="nil"/>
                <w:bottom w:val="nil"/>
                <w:right w:val="nil"/>
                <w:between w:val="nil"/>
              </w:pBdr>
              <w:spacing w:line="240" w:lineRule="auto"/>
            </w:pPr>
            <w:r>
              <w:t>Built-</w:t>
            </w:r>
            <w:r w:rsidR="00FB47B2">
              <w:t>up area</w:t>
            </w:r>
          </w:p>
        </w:tc>
        <w:tc>
          <w:tcPr>
            <w:tcW w:w="6510" w:type="dxa"/>
            <w:shd w:val="clear" w:color="auto" w:fill="auto"/>
            <w:tcMar>
              <w:top w:w="100" w:type="dxa"/>
              <w:left w:w="100" w:type="dxa"/>
              <w:bottom w:w="100" w:type="dxa"/>
              <w:right w:w="100" w:type="dxa"/>
            </w:tcMar>
            <w:vAlign w:val="center"/>
          </w:tcPr>
          <w:p w14:paraId="0FA26FEC" w14:textId="5B51289C" w:rsidR="00FB47B2" w:rsidRDefault="00634A7F" w:rsidP="001E01E4">
            <w:pPr>
              <w:spacing w:after="240"/>
            </w:pPr>
            <w:hyperlink r:id="rId10" w:history="1">
              <w:r w:rsidR="00FB47B2" w:rsidRPr="00F2580A">
                <w:rPr>
                  <w:rStyle w:val="Hyperlink"/>
                </w:rPr>
                <w:t>GHS-BUILT R2018A—GHS built-up grid, derived from Landsat, multitemporal (1975-1990-2000-2014) [European Commission, Joint Research Center, 2018]</w:t>
              </w:r>
              <w:r w:rsidR="00DD0DF3" w:rsidRPr="00F2580A">
                <w:rPr>
                  <w:rStyle w:val="Hyperlink"/>
                </w:rPr>
                <w:t>, dataset for 2014</w:t>
              </w:r>
            </w:hyperlink>
          </w:p>
        </w:tc>
      </w:tr>
    </w:tbl>
    <w:p w14:paraId="3230F878" w14:textId="0312F9E3" w:rsidR="00FB47B2" w:rsidRPr="00951B25" w:rsidRDefault="00951B25" w:rsidP="00EE1B02">
      <w:pPr>
        <w:spacing w:before="240"/>
        <w:rPr>
          <w:lang w:val="sr-Latn-RS"/>
        </w:rPr>
      </w:pPr>
      <w:r>
        <w:t xml:space="preserve">*  </w:t>
      </w:r>
      <w:r w:rsidR="00FB47B2">
        <w:t>Population data for municipalites Pre</w:t>
      </w:r>
      <w:r w:rsidR="00FB47B2" w:rsidRPr="00951B25">
        <w:rPr>
          <w:lang w:val="sr-Latn-RS"/>
        </w:rPr>
        <w:t>ševo and Bujano</w:t>
      </w:r>
      <w:r w:rsidR="00433BA1" w:rsidRPr="00951B25">
        <w:rPr>
          <w:lang w:val="sr-Latn-RS"/>
        </w:rPr>
        <w:t>vac are not included in datasets</w:t>
      </w:r>
      <w:r w:rsidR="005A1325" w:rsidRPr="00951B25">
        <w:rPr>
          <w:lang w:val="sr-Latn-RS"/>
        </w:rPr>
        <w:t xml:space="preserve">. </w:t>
      </w:r>
      <w:r w:rsidR="005A1325">
        <w:t>Accordingly, the indicator values within these aministrative units are missing.</w:t>
      </w:r>
    </w:p>
    <w:p w14:paraId="1DD63E06" w14:textId="77777777" w:rsidR="007C7783" w:rsidRDefault="007C7783" w:rsidP="007C7783">
      <w:pPr>
        <w:pStyle w:val="ListParagraph"/>
      </w:pPr>
    </w:p>
    <w:p w14:paraId="383B1777" w14:textId="77777777" w:rsidR="00F2580A" w:rsidRDefault="00F2580A" w:rsidP="007C7783">
      <w:pPr>
        <w:pStyle w:val="ListParagraph"/>
      </w:pPr>
    </w:p>
    <w:sectPr w:rsidR="00F2580A">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C1427" w14:textId="77777777" w:rsidR="00634A7F" w:rsidRDefault="00634A7F" w:rsidP="00136B68">
      <w:pPr>
        <w:spacing w:line="240" w:lineRule="auto"/>
      </w:pPr>
      <w:r>
        <w:separator/>
      </w:r>
    </w:p>
  </w:endnote>
  <w:endnote w:type="continuationSeparator" w:id="0">
    <w:p w14:paraId="12EFF68B" w14:textId="77777777" w:rsidR="00634A7F" w:rsidRDefault="00634A7F" w:rsidP="00136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color w:val="996633"/>
        <w:sz w:val="16"/>
        <w:szCs w:val="16"/>
      </w:rPr>
      <w:id w:val="1201974107"/>
      <w:docPartObj>
        <w:docPartGallery w:val="Page Numbers (Bottom of Page)"/>
        <w:docPartUnique/>
      </w:docPartObj>
    </w:sdtPr>
    <w:sdtEndPr>
      <w:rPr>
        <w:noProof/>
      </w:rPr>
    </w:sdtEndPr>
    <w:sdtContent>
      <w:p w14:paraId="6395EFB2" w14:textId="235818F8" w:rsidR="00136B68" w:rsidRPr="003D4916" w:rsidRDefault="00136B68" w:rsidP="003D4916">
        <w:pPr>
          <w:pStyle w:val="Footer"/>
          <w:jc w:val="center"/>
          <w:rPr>
            <w:b/>
            <w:color w:val="996633"/>
            <w:sz w:val="16"/>
            <w:szCs w:val="16"/>
          </w:rPr>
        </w:pPr>
        <w:r w:rsidRPr="003D4916">
          <w:rPr>
            <w:b/>
            <w:color w:val="996633"/>
            <w:sz w:val="16"/>
            <w:szCs w:val="16"/>
          </w:rPr>
          <w:fldChar w:fldCharType="begin"/>
        </w:r>
        <w:r w:rsidRPr="003D4916">
          <w:rPr>
            <w:b/>
            <w:color w:val="996633"/>
            <w:sz w:val="16"/>
            <w:szCs w:val="16"/>
          </w:rPr>
          <w:instrText xml:space="preserve"> PAGE   \* MERGEFORMAT </w:instrText>
        </w:r>
        <w:r w:rsidRPr="003D4916">
          <w:rPr>
            <w:b/>
            <w:color w:val="996633"/>
            <w:sz w:val="16"/>
            <w:szCs w:val="16"/>
          </w:rPr>
          <w:fldChar w:fldCharType="separate"/>
        </w:r>
        <w:r w:rsidR="00634A7F">
          <w:rPr>
            <w:b/>
            <w:noProof/>
            <w:color w:val="996633"/>
            <w:sz w:val="16"/>
            <w:szCs w:val="16"/>
          </w:rPr>
          <w:t>1</w:t>
        </w:r>
        <w:r w:rsidRPr="003D4916">
          <w:rPr>
            <w:b/>
            <w:noProof/>
            <w:color w:val="996633"/>
            <w:sz w:val="16"/>
            <w:szCs w:val="16"/>
          </w:rPr>
          <w:fldChar w:fldCharType="end"/>
        </w:r>
        <w:r w:rsidR="00262F52" w:rsidRPr="003D4916">
          <w:rPr>
            <w:b/>
            <w:noProof/>
            <w:color w:val="996633"/>
            <w:sz w:val="16"/>
            <w:szCs w:val="16"/>
          </w:rPr>
          <w:t xml:space="preserve"> of 2</w:t>
        </w:r>
      </w:p>
    </w:sdtContent>
  </w:sdt>
  <w:p w14:paraId="2B6EF333" w14:textId="77777777" w:rsidR="00136B68" w:rsidRDefault="00136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2E03" w14:textId="77777777" w:rsidR="00634A7F" w:rsidRDefault="00634A7F" w:rsidP="00136B68">
      <w:pPr>
        <w:spacing w:line="240" w:lineRule="auto"/>
      </w:pPr>
      <w:r>
        <w:separator/>
      </w:r>
    </w:p>
  </w:footnote>
  <w:footnote w:type="continuationSeparator" w:id="0">
    <w:p w14:paraId="4FA4E43B" w14:textId="77777777" w:rsidR="00634A7F" w:rsidRDefault="00634A7F" w:rsidP="00136B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A8E9F" w14:textId="77777777" w:rsidR="003D4916" w:rsidRPr="00723668" w:rsidRDefault="003D4916" w:rsidP="003D4916">
    <w:pPr>
      <w:pStyle w:val="Header"/>
      <w:jc w:val="center"/>
      <w:rPr>
        <w:b/>
        <w:color w:val="996633"/>
        <w:sz w:val="14"/>
        <w:szCs w:val="14"/>
      </w:rPr>
    </w:pPr>
    <w:r w:rsidRPr="005866BA">
      <w:rPr>
        <w:b/>
        <w:color w:val="996633"/>
        <w:sz w:val="12"/>
        <w:szCs w:val="12"/>
      </w:rPr>
      <w:br/>
    </w:r>
    <w:r w:rsidRPr="00723668">
      <w:rPr>
        <w:b/>
        <w:noProof/>
        <w:color w:val="365F91" w:themeColor="accent1" w:themeShade="BF"/>
        <w:sz w:val="14"/>
        <w:szCs w:val="14"/>
        <w:lang w:val="en-US"/>
      </w:rPr>
      <mc:AlternateContent>
        <mc:Choice Requires="wps">
          <w:drawing>
            <wp:anchor distT="0" distB="0" distL="114300" distR="114300" simplePos="0" relativeHeight="251664384" behindDoc="0" locked="0" layoutInCell="1" allowOverlap="1" wp14:anchorId="3C90E181" wp14:editId="1D27D9B9">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723668">
      <w:rPr>
        <w:b/>
        <w:noProof/>
        <w:color w:val="365F91" w:themeColor="accent1" w:themeShade="BF"/>
        <w:sz w:val="14"/>
        <w:szCs w:val="14"/>
        <w:lang w:val="en-US"/>
      </w:rPr>
      <mc:AlternateContent>
        <mc:Choice Requires="wps">
          <w:drawing>
            <wp:anchor distT="0" distB="0" distL="114300" distR="114300" simplePos="0" relativeHeight="251663360" behindDoc="0" locked="0" layoutInCell="1" allowOverlap="1" wp14:anchorId="1CD8491A" wp14:editId="30793B72">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723668">
      <w:rPr>
        <w:b/>
        <w:noProof/>
        <w:color w:val="365F91" w:themeColor="accent1" w:themeShade="BF"/>
        <w:sz w:val="14"/>
        <w:szCs w:val="14"/>
        <w:lang w:val="en-US"/>
      </w:rPr>
      <mc:AlternateContent>
        <mc:Choice Requires="wps">
          <w:drawing>
            <wp:anchor distT="0" distB="0" distL="114300" distR="114300" simplePos="0" relativeHeight="251662336" behindDoc="0" locked="0" layoutInCell="1" allowOverlap="1" wp14:anchorId="35EA4574" wp14:editId="77774017">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723668">
      <w:rPr>
        <w:b/>
        <w:noProof/>
        <w:color w:val="4F81BD" w:themeColor="accent1"/>
        <w:sz w:val="14"/>
        <w:szCs w:val="14"/>
        <w:lang w:val="en-US"/>
      </w:rPr>
      <mc:AlternateContent>
        <mc:Choice Requires="wps">
          <w:drawing>
            <wp:anchor distT="0" distB="0" distL="114300" distR="114300" simplePos="0" relativeHeight="251660288" behindDoc="0" locked="0" layoutInCell="1" allowOverlap="1" wp14:anchorId="34E2A11A" wp14:editId="754B27C0">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723668">
      <w:rPr>
        <w:b/>
        <w:noProof/>
        <w:color w:val="996633"/>
        <w:sz w:val="14"/>
        <w:szCs w:val="14"/>
        <w:lang w:val="en-US"/>
      </w:rPr>
      <mc:AlternateContent>
        <mc:Choice Requires="wps">
          <w:drawing>
            <wp:anchor distT="0" distB="0" distL="114300" distR="114300" simplePos="0" relativeHeight="251659264" behindDoc="0" locked="0" layoutInCell="1" allowOverlap="1" wp14:anchorId="5F40F1A0" wp14:editId="59827126">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723668">
      <w:rPr>
        <w:b/>
        <w:noProof/>
        <w:color w:val="4F81BD" w:themeColor="accent1"/>
        <w:sz w:val="14"/>
        <w:szCs w:val="14"/>
        <w:lang w:val="en-US"/>
      </w:rPr>
      <mc:AlternateContent>
        <mc:Choice Requires="wps">
          <w:drawing>
            <wp:anchor distT="0" distB="0" distL="114300" distR="114300" simplePos="0" relativeHeight="251661312" behindDoc="0" locked="0" layoutInCell="1" allowOverlap="1" wp14:anchorId="7C3B9977" wp14:editId="157B6232">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723668">
      <w:rPr>
        <w:b/>
        <w:color w:val="996633"/>
        <w:sz w:val="14"/>
        <w:szCs w:val="14"/>
      </w:rPr>
      <w:t>REMOTE DETECTION OF (DE)POPULATION PROCESSES—</w:t>
    </w:r>
    <w:r w:rsidRPr="001B0FB0">
      <w:rPr>
        <w:b/>
        <w:color w:val="996633"/>
        <w:sz w:val="14"/>
        <w:szCs w:val="14"/>
      </w:rPr>
      <w:t>PRODUCT DOCUMENTATION</w:t>
    </w:r>
  </w:p>
  <w:p w14:paraId="05C3334F" w14:textId="15C89AA9" w:rsidR="003D4916" w:rsidRDefault="003D4916" w:rsidP="003D4916">
    <w:pPr>
      <w:pStyle w:val="Header"/>
      <w:tabs>
        <w:tab w:val="left" w:pos="1365"/>
        <w:tab w:val="center" w:pos="4514"/>
      </w:tabs>
      <w:rPr>
        <w:sz w:val="14"/>
        <w:szCs w:val="14"/>
      </w:rPr>
    </w:pPr>
    <w:r>
      <w:rPr>
        <w:b/>
        <w:color w:val="996633"/>
        <w:sz w:val="14"/>
        <w:szCs w:val="14"/>
      </w:rPr>
      <w:tab/>
    </w:r>
    <w:r>
      <w:rPr>
        <w:b/>
        <w:color w:val="996633"/>
        <w:sz w:val="14"/>
        <w:szCs w:val="14"/>
      </w:rPr>
      <w:tab/>
    </w:r>
    <w:r w:rsidRPr="003D4916">
      <w:rPr>
        <w:b/>
        <w:color w:val="996633"/>
        <w:sz w:val="14"/>
        <w:szCs w:val="14"/>
      </w:rPr>
      <w:t xml:space="preserve">INDICATOR 3: </w:t>
    </w:r>
    <w:r w:rsidRPr="003D4916">
      <w:rPr>
        <w:b/>
        <w:i/>
        <w:color w:val="996633"/>
        <w:sz w:val="14"/>
        <w:szCs w:val="14"/>
      </w:rPr>
      <w:t>Population Density in Serbia 2015</w:t>
    </w:r>
    <w:r>
      <w:rPr>
        <w:sz w:val="14"/>
        <w:szCs w:val="14"/>
      </w:rPr>
      <w:tab/>
    </w:r>
  </w:p>
  <w:p w14:paraId="2C941AEB" w14:textId="77777777" w:rsidR="003D4916" w:rsidRDefault="003D4916" w:rsidP="003D4916">
    <w:pPr>
      <w:pStyle w:val="Header"/>
      <w:rPr>
        <w:sz w:val="14"/>
        <w:szCs w:val="14"/>
      </w:rPr>
    </w:pPr>
  </w:p>
  <w:p w14:paraId="48D96C35" w14:textId="77777777" w:rsidR="003D4916" w:rsidRPr="00EE1B02" w:rsidRDefault="003D4916" w:rsidP="003D4916">
    <w:pPr>
      <w:pStyle w:val="Header"/>
    </w:pPr>
  </w:p>
  <w:p w14:paraId="581907FE" w14:textId="1B9101F8" w:rsidR="003D4916" w:rsidRPr="00EE1B02" w:rsidRDefault="003D4916" w:rsidP="003D4916">
    <w:pPr>
      <w:pStyle w:val="Header"/>
      <w:tabs>
        <w:tab w:val="clear" w:pos="4680"/>
        <w:tab w:val="clear" w:pos="9360"/>
        <w:tab w:val="left" w:pos="3555"/>
      </w:tabs>
    </w:pPr>
  </w:p>
  <w:p w14:paraId="1F541FC8" w14:textId="77777777" w:rsidR="003D4916" w:rsidRDefault="003D4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D65"/>
    <w:multiLevelType w:val="hybridMultilevel"/>
    <w:tmpl w:val="177E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E69A7"/>
    <w:multiLevelType w:val="hybridMultilevel"/>
    <w:tmpl w:val="D75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B4A31"/>
    <w:multiLevelType w:val="multilevel"/>
    <w:tmpl w:val="E89A00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B784961"/>
    <w:multiLevelType w:val="multilevel"/>
    <w:tmpl w:val="C7E665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8863DE0"/>
    <w:multiLevelType w:val="hybridMultilevel"/>
    <w:tmpl w:val="1ADE2236"/>
    <w:lvl w:ilvl="0" w:tplc="697C3774">
      <w:start w:val="1"/>
      <w:numFmt w:val="bullet"/>
      <w:lvlText w:val=""/>
      <w:lvlJc w:val="left"/>
      <w:pPr>
        <w:ind w:left="643" w:hanging="360"/>
      </w:pPr>
      <w:rPr>
        <w:rFonts w:ascii="Wingdings" w:hAnsi="Wingdings" w:hint="default"/>
        <w:color w:val="9BBB59" w:themeColor="accent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nsid w:val="6C472D49"/>
    <w:multiLevelType w:val="hybridMultilevel"/>
    <w:tmpl w:val="2E3E880A"/>
    <w:lvl w:ilvl="0" w:tplc="697C3774">
      <w:start w:val="1"/>
      <w:numFmt w:val="bullet"/>
      <w:lvlText w:val=""/>
      <w:lvlJc w:val="left"/>
      <w:pPr>
        <w:ind w:left="643" w:hanging="360"/>
      </w:pPr>
      <w:rPr>
        <w:rFonts w:ascii="Wingdings" w:hAnsi="Wingdings" w:hint="default"/>
        <w:color w:val="9BBB59" w:themeColor="accent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92AC1"/>
    <w:rsid w:val="00113804"/>
    <w:rsid w:val="00136B68"/>
    <w:rsid w:val="00262F52"/>
    <w:rsid w:val="002E2346"/>
    <w:rsid w:val="003D4916"/>
    <w:rsid w:val="00433BA1"/>
    <w:rsid w:val="00490D13"/>
    <w:rsid w:val="005A1325"/>
    <w:rsid w:val="005F100D"/>
    <w:rsid w:val="00634A7F"/>
    <w:rsid w:val="007C7783"/>
    <w:rsid w:val="00951B25"/>
    <w:rsid w:val="00982F69"/>
    <w:rsid w:val="00C92AC1"/>
    <w:rsid w:val="00CD575B"/>
    <w:rsid w:val="00DD0DF3"/>
    <w:rsid w:val="00E47C2E"/>
    <w:rsid w:val="00EE1B02"/>
    <w:rsid w:val="00F2580A"/>
    <w:rsid w:val="00FA5E5B"/>
    <w:rsid w:val="00FB47B2"/>
    <w:rsid w:val="00FE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C7783"/>
    <w:pPr>
      <w:ind w:left="720"/>
      <w:contextualSpacing/>
    </w:pPr>
  </w:style>
  <w:style w:type="character" w:styleId="Hyperlink">
    <w:name w:val="Hyperlink"/>
    <w:basedOn w:val="DefaultParagraphFont"/>
    <w:uiPriority w:val="99"/>
    <w:unhideWhenUsed/>
    <w:rsid w:val="00433BA1"/>
    <w:rPr>
      <w:color w:val="0000FF" w:themeColor="hyperlink"/>
      <w:u w:val="single"/>
    </w:rPr>
  </w:style>
  <w:style w:type="paragraph" w:styleId="Header">
    <w:name w:val="header"/>
    <w:basedOn w:val="Normal"/>
    <w:link w:val="HeaderChar"/>
    <w:uiPriority w:val="99"/>
    <w:unhideWhenUsed/>
    <w:rsid w:val="00136B68"/>
    <w:pPr>
      <w:tabs>
        <w:tab w:val="center" w:pos="4680"/>
        <w:tab w:val="right" w:pos="9360"/>
      </w:tabs>
      <w:spacing w:line="240" w:lineRule="auto"/>
    </w:pPr>
  </w:style>
  <w:style w:type="character" w:customStyle="1" w:styleId="HeaderChar">
    <w:name w:val="Header Char"/>
    <w:basedOn w:val="DefaultParagraphFont"/>
    <w:link w:val="Header"/>
    <w:uiPriority w:val="99"/>
    <w:rsid w:val="00136B68"/>
  </w:style>
  <w:style w:type="paragraph" w:styleId="Footer">
    <w:name w:val="footer"/>
    <w:basedOn w:val="Normal"/>
    <w:link w:val="FooterChar"/>
    <w:uiPriority w:val="99"/>
    <w:unhideWhenUsed/>
    <w:rsid w:val="00136B68"/>
    <w:pPr>
      <w:tabs>
        <w:tab w:val="center" w:pos="4680"/>
        <w:tab w:val="right" w:pos="9360"/>
      </w:tabs>
      <w:spacing w:line="240" w:lineRule="auto"/>
    </w:pPr>
  </w:style>
  <w:style w:type="character" w:customStyle="1" w:styleId="FooterChar">
    <w:name w:val="Footer Char"/>
    <w:basedOn w:val="DefaultParagraphFont"/>
    <w:link w:val="Footer"/>
    <w:uiPriority w:val="99"/>
    <w:rsid w:val="00136B68"/>
  </w:style>
  <w:style w:type="character" w:styleId="FollowedHyperlink">
    <w:name w:val="FollowedHyperlink"/>
    <w:basedOn w:val="DefaultParagraphFont"/>
    <w:uiPriority w:val="99"/>
    <w:semiHidden/>
    <w:unhideWhenUsed/>
    <w:rsid w:val="00136B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C7783"/>
    <w:pPr>
      <w:ind w:left="720"/>
      <w:contextualSpacing/>
    </w:pPr>
  </w:style>
  <w:style w:type="character" w:styleId="Hyperlink">
    <w:name w:val="Hyperlink"/>
    <w:basedOn w:val="DefaultParagraphFont"/>
    <w:uiPriority w:val="99"/>
    <w:unhideWhenUsed/>
    <w:rsid w:val="00433BA1"/>
    <w:rPr>
      <w:color w:val="0000FF" w:themeColor="hyperlink"/>
      <w:u w:val="single"/>
    </w:rPr>
  </w:style>
  <w:style w:type="paragraph" w:styleId="Header">
    <w:name w:val="header"/>
    <w:basedOn w:val="Normal"/>
    <w:link w:val="HeaderChar"/>
    <w:uiPriority w:val="99"/>
    <w:unhideWhenUsed/>
    <w:rsid w:val="00136B68"/>
    <w:pPr>
      <w:tabs>
        <w:tab w:val="center" w:pos="4680"/>
        <w:tab w:val="right" w:pos="9360"/>
      </w:tabs>
      <w:spacing w:line="240" w:lineRule="auto"/>
    </w:pPr>
  </w:style>
  <w:style w:type="character" w:customStyle="1" w:styleId="HeaderChar">
    <w:name w:val="Header Char"/>
    <w:basedOn w:val="DefaultParagraphFont"/>
    <w:link w:val="Header"/>
    <w:uiPriority w:val="99"/>
    <w:rsid w:val="00136B68"/>
  </w:style>
  <w:style w:type="paragraph" w:styleId="Footer">
    <w:name w:val="footer"/>
    <w:basedOn w:val="Normal"/>
    <w:link w:val="FooterChar"/>
    <w:uiPriority w:val="99"/>
    <w:unhideWhenUsed/>
    <w:rsid w:val="00136B68"/>
    <w:pPr>
      <w:tabs>
        <w:tab w:val="center" w:pos="4680"/>
        <w:tab w:val="right" w:pos="9360"/>
      </w:tabs>
      <w:spacing w:line="240" w:lineRule="auto"/>
    </w:pPr>
  </w:style>
  <w:style w:type="character" w:customStyle="1" w:styleId="FooterChar">
    <w:name w:val="Footer Char"/>
    <w:basedOn w:val="DefaultParagraphFont"/>
    <w:link w:val="Footer"/>
    <w:uiPriority w:val="99"/>
    <w:rsid w:val="00136B68"/>
  </w:style>
  <w:style w:type="character" w:styleId="FollowedHyperlink">
    <w:name w:val="FollowedHyperlink"/>
    <w:basedOn w:val="DefaultParagraphFont"/>
    <w:uiPriority w:val="99"/>
    <w:semiHidden/>
    <w:unhideWhenUsed/>
    <w:rsid w:val="00136B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jrc.ec.europa.eu/dataset/0c6b9751-a71f-4062-830b-43c9f432370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a.europa.eu/euodp/data/dataset/jrc-ghsl-10007" TargetMode="External"/><Relationship Id="rId4" Type="http://schemas.openxmlformats.org/officeDocument/2006/relationships/settings" Target="settings.xml"/><Relationship Id="rId9" Type="http://schemas.openxmlformats.org/officeDocument/2006/relationships/hyperlink" Target="https://data.jrc.ec.europa.eu/dataset/0c6b9751-a71f-4062-830b-43c9f432370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Tech. ed.</cp:lastModifiedBy>
  <cp:revision>16</cp:revision>
  <cp:lastPrinted>2020-10-26T00:09:00Z</cp:lastPrinted>
  <dcterms:created xsi:type="dcterms:W3CDTF">2020-10-13T16:14:00Z</dcterms:created>
  <dcterms:modified xsi:type="dcterms:W3CDTF">2020-10-26T00:10:00Z</dcterms:modified>
</cp:coreProperties>
</file>