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B74C8B" w:rsidRDefault="00127057">
      <w:pPr>
        <w:rPr>
          <w:b/>
          <w:sz w:val="24"/>
          <w:szCs w:val="24"/>
        </w:rPr>
      </w:pPr>
      <w:r>
        <w:rPr>
          <w:b/>
          <w:sz w:val="24"/>
          <w:szCs w:val="24"/>
        </w:rPr>
        <w:t>INDICATOR 4: Lot Coverage Change Index, 1975–2014</w:t>
      </w:r>
    </w:p>
    <w:p w14:paraId="00000002" w14:textId="77777777" w:rsidR="00B74C8B" w:rsidRDefault="00B74C8B">
      <w:pPr>
        <w:rPr>
          <w:b/>
          <w:sz w:val="24"/>
          <w:szCs w:val="24"/>
        </w:rPr>
      </w:pPr>
    </w:p>
    <w:p w14:paraId="49A6E86F" w14:textId="77777777" w:rsidR="00091823" w:rsidRDefault="00091823">
      <w:pPr>
        <w:rPr>
          <w:b/>
          <w:sz w:val="24"/>
          <w:szCs w:val="24"/>
        </w:rPr>
      </w:pPr>
    </w:p>
    <w:p w14:paraId="00000003" w14:textId="77777777" w:rsidR="00B74C8B" w:rsidRPr="00091823" w:rsidRDefault="00127057" w:rsidP="00091823">
      <w:pPr>
        <w:spacing w:after="120"/>
        <w:rPr>
          <w:b/>
        </w:rPr>
      </w:pPr>
      <w:r w:rsidRPr="00091823">
        <w:rPr>
          <w:b/>
        </w:rPr>
        <w:t>File Name: Lot_Cvge_Chg_Ind_1975-2014</w:t>
      </w:r>
    </w:p>
    <w:p w14:paraId="00000004" w14:textId="77777777" w:rsidR="00B74C8B" w:rsidRDefault="00127057" w:rsidP="00E341F9">
      <w:pPr>
        <w:pStyle w:val="ListParagraph"/>
        <w:numPr>
          <w:ilvl w:val="0"/>
          <w:numId w:val="3"/>
        </w:numPr>
        <w:ind w:left="284" w:hanging="284"/>
      </w:pPr>
      <w:r>
        <w:t>Coordinate Reference Systems: WGS 84 / UTM zone 34N (EPSG:32634)</w:t>
      </w:r>
    </w:p>
    <w:p w14:paraId="00000005" w14:textId="77777777" w:rsidR="00B74C8B" w:rsidRDefault="00127057" w:rsidP="00E341F9">
      <w:pPr>
        <w:pStyle w:val="ListParagraph"/>
        <w:numPr>
          <w:ilvl w:val="0"/>
          <w:numId w:val="3"/>
        </w:numPr>
        <w:ind w:left="284" w:hanging="284"/>
      </w:pPr>
      <w:r>
        <w:t>Resolution: 250 m × 250 m</w:t>
      </w:r>
    </w:p>
    <w:p w14:paraId="00000006" w14:textId="77777777" w:rsidR="00B74C8B" w:rsidRDefault="00127057" w:rsidP="00E341F9">
      <w:pPr>
        <w:pStyle w:val="ListParagraph"/>
        <w:numPr>
          <w:ilvl w:val="0"/>
          <w:numId w:val="3"/>
        </w:numPr>
        <w:ind w:left="284" w:hanging="284"/>
      </w:pPr>
      <w:r>
        <w:t xml:space="preserve">Max: 98.9168 </w:t>
      </w:r>
    </w:p>
    <w:p w14:paraId="00000007" w14:textId="77777777" w:rsidR="00B74C8B" w:rsidRDefault="00127057" w:rsidP="00E341F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84" w:hanging="284"/>
      </w:pPr>
      <w:r>
        <w:t>Min: -99.9504</w:t>
      </w:r>
    </w:p>
    <w:p w14:paraId="00000008" w14:textId="35D3F420" w:rsidR="00B74C8B" w:rsidRPr="00161A14" w:rsidRDefault="00161A14" w:rsidP="00E341F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84" w:hanging="284"/>
      </w:pPr>
      <w:r w:rsidRPr="00161A14">
        <w:t xml:space="preserve">Built-up area change: form </w:t>
      </w:r>
      <w:r w:rsidR="0088693B">
        <w:t>–</w:t>
      </w:r>
      <w:r w:rsidR="00DE4976">
        <w:t>0</w:t>
      </w:r>
      <w:r w:rsidR="0088693B">
        <w:t>.01</w:t>
      </w:r>
      <w:r w:rsidR="00DE4976">
        <w:t xml:space="preserve"> </w:t>
      </w:r>
      <w:r w:rsidR="00127057" w:rsidRPr="00161A14">
        <w:t xml:space="preserve"> to –100</w:t>
      </w:r>
      <w:r w:rsidR="00295047" w:rsidRPr="00295047">
        <w:rPr>
          <w:b/>
        </w:rPr>
        <w:t>*</w:t>
      </w:r>
      <w:r>
        <w:t xml:space="preserve"> </w:t>
      </w:r>
    </w:p>
    <w:p w14:paraId="00000009" w14:textId="7917A70E" w:rsidR="00B74C8B" w:rsidRDefault="00127057" w:rsidP="00E341F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84" w:hanging="284"/>
      </w:pPr>
      <w:r>
        <w:t>New built-up areas</w:t>
      </w:r>
      <w:r w:rsidR="00295047">
        <w:t xml:space="preserve"> change</w:t>
      </w:r>
      <w:r>
        <w:t>: form 0</w:t>
      </w:r>
      <w:r w:rsidR="00161A14">
        <w:t>.01</w:t>
      </w:r>
      <w:r>
        <w:t xml:space="preserve"> to 100</w:t>
      </w:r>
    </w:p>
    <w:p w14:paraId="1F492ECB" w14:textId="5594D9F1" w:rsidR="0088693B" w:rsidRDefault="0088693B" w:rsidP="00E341F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84" w:hanging="284"/>
      </w:pPr>
      <w:r>
        <w:t>No Changes in built-up aeras: 0.00</w:t>
      </w:r>
    </w:p>
    <w:p w14:paraId="0000000A" w14:textId="1F8E5F9D" w:rsidR="00B74C8B" w:rsidRDefault="00127057" w:rsidP="00E341F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84" w:hanging="284"/>
      </w:pPr>
      <w:r>
        <w:t xml:space="preserve">Units: </w:t>
      </w:r>
      <w:r w:rsidR="00171A18">
        <w:t>%</w:t>
      </w:r>
    </w:p>
    <w:p w14:paraId="0000000B" w14:textId="2D512987" w:rsidR="00B74C8B" w:rsidRPr="00295047" w:rsidRDefault="00295047" w:rsidP="00E341F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84" w:hanging="284"/>
      </w:pPr>
      <w:r w:rsidRPr="00295047">
        <w:t>Unbuilt</w:t>
      </w:r>
      <w:r w:rsidR="00127057" w:rsidRPr="00295047">
        <w:t xml:space="preserve"> areas: 999</w:t>
      </w:r>
    </w:p>
    <w:p w14:paraId="0000000C" w14:textId="2BC4930C" w:rsidR="00B74C8B" w:rsidRDefault="00127057" w:rsidP="00091823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84" w:hanging="284"/>
      </w:pPr>
      <w:r>
        <w:t>No Data: –3.40282e+38</w:t>
      </w:r>
    </w:p>
    <w:p w14:paraId="1615B647" w14:textId="1CAB562E" w:rsidR="00295047" w:rsidRDefault="00295047" w:rsidP="00295047">
      <w:pPr>
        <w:pBdr>
          <w:top w:val="nil"/>
          <w:left w:val="nil"/>
          <w:bottom w:val="nil"/>
          <w:right w:val="nil"/>
          <w:between w:val="nil"/>
        </w:pBdr>
      </w:pPr>
      <w:r w:rsidRPr="00091823">
        <w:rPr>
          <w:i/>
        </w:rPr>
        <w:t>*</w:t>
      </w:r>
      <w:r w:rsidR="00091823" w:rsidRPr="00091823">
        <w:rPr>
          <w:i/>
        </w:rPr>
        <w:t>Note</w:t>
      </w:r>
      <w:r w:rsidR="00091823" w:rsidRPr="00091823">
        <w:t>.</w:t>
      </w:r>
      <w:r>
        <w:t xml:space="preserve"> To get apsolute numbers multiply with –1</w:t>
      </w:r>
    </w:p>
    <w:p w14:paraId="56F8B1CC" w14:textId="77777777" w:rsidR="00295047" w:rsidRDefault="00295047" w:rsidP="00295047">
      <w:pPr>
        <w:pBdr>
          <w:top w:val="nil"/>
          <w:left w:val="nil"/>
          <w:bottom w:val="nil"/>
          <w:right w:val="nil"/>
          <w:between w:val="nil"/>
        </w:pBdr>
      </w:pPr>
    </w:p>
    <w:p w14:paraId="7415EFCF" w14:textId="77777777" w:rsidR="00091823" w:rsidRDefault="00091823" w:rsidP="00295047">
      <w:pPr>
        <w:pBdr>
          <w:top w:val="nil"/>
          <w:left w:val="nil"/>
          <w:bottom w:val="nil"/>
          <w:right w:val="nil"/>
          <w:between w:val="nil"/>
        </w:pBdr>
      </w:pPr>
    </w:p>
    <w:p w14:paraId="2722F5A8" w14:textId="4F20DE52" w:rsidR="0068621D" w:rsidRDefault="00295047" w:rsidP="0068621D">
      <w:pPr>
        <w:jc w:val="both"/>
      </w:pPr>
      <w:r w:rsidRPr="00FB47B2">
        <w:rPr>
          <w:b/>
        </w:rPr>
        <w:t xml:space="preserve">Description of Indicator: </w:t>
      </w:r>
      <w:r w:rsidR="0068621D">
        <w:t>The changes in built-up areas over time are presented by Lot Coverage Change Index. It was calculated d</w:t>
      </w:r>
      <w:r w:rsidR="002B339B">
        <w:t>i</w:t>
      </w:r>
      <w:r w:rsidR="0068621D">
        <w:t>viding bui</w:t>
      </w:r>
      <w:r w:rsidR="00577223">
        <w:t>l</w:t>
      </w:r>
      <w:r w:rsidR="0068621D">
        <w:t>t-up area for 201</w:t>
      </w:r>
      <w:r w:rsidR="00171A18">
        <w:t>4</w:t>
      </w:r>
      <w:r w:rsidR="0068621D">
        <w:t xml:space="preserve"> by </w:t>
      </w:r>
      <w:r w:rsidR="002B339B">
        <w:t xml:space="preserve">the </w:t>
      </w:r>
      <w:r w:rsidR="0068621D">
        <w:t xml:space="preserve">built-up area for </w:t>
      </w:r>
      <w:r w:rsidR="00577223">
        <w:t>1975</w:t>
      </w:r>
      <w:r w:rsidR="0068621D">
        <w:t xml:space="preserve"> an</w:t>
      </w:r>
      <w:r w:rsidR="002B339B">
        <w:t>d it is expressed in percent</w:t>
      </w:r>
      <w:r w:rsidR="00B10DAD">
        <w:t xml:space="preserve"> (%)</w:t>
      </w:r>
      <w:r w:rsidR="0068621D">
        <w:t xml:space="preserve">. Two processes are identified: i) the change in </w:t>
      </w:r>
      <w:r w:rsidR="002B339B">
        <w:t>the</w:t>
      </w:r>
      <w:r w:rsidR="00171A18">
        <w:t xml:space="preserve"> existing</w:t>
      </w:r>
      <w:r w:rsidR="002B339B">
        <w:t xml:space="preserve"> </w:t>
      </w:r>
      <w:r w:rsidR="0068621D">
        <w:t>built-up area</w:t>
      </w:r>
      <w:r w:rsidR="00127057">
        <w:t xml:space="preserve"> (up to 100%)</w:t>
      </w:r>
      <w:r w:rsidR="0068621D">
        <w:t xml:space="preserve"> and ii) the new</w:t>
      </w:r>
      <w:r w:rsidR="002B339B">
        <w:t>ly</w:t>
      </w:r>
      <w:r w:rsidR="0068621D">
        <w:t xml:space="preserve"> built-up area</w:t>
      </w:r>
      <w:r w:rsidR="00127057">
        <w:t xml:space="preserve"> (up to 100%). The areas with no cha</w:t>
      </w:r>
      <w:r w:rsidR="002B339B">
        <w:t>n</w:t>
      </w:r>
      <w:r w:rsidR="00127057">
        <w:t xml:space="preserve">ge and unbuilt areas are also identified. It </w:t>
      </w:r>
      <w:r w:rsidR="00127057" w:rsidRPr="006855F0">
        <w:t>is an urban indicator, used for attractiveness estimation for newly settling and construction. The index over a longer period offers indirectly to follow the demographic shrinkage and an influx of the population on the territory. Mapping the are</w:t>
      </w:r>
      <w:r w:rsidR="002B339B">
        <w:t>as with increasing index values</w:t>
      </w:r>
      <w:r w:rsidR="00127057" w:rsidRPr="006855F0">
        <w:t xml:space="preserve"> enables</w:t>
      </w:r>
      <w:r w:rsidR="002B339B">
        <w:t xml:space="preserve"> the</w:t>
      </w:r>
      <w:r w:rsidR="00127057" w:rsidRPr="006855F0">
        <w:t xml:space="preserve"> identification of migration directions. Such areas are demographically vital, with certain development potential, increased concentration of activities, whether it is economic or in the domain of housing policy</w:t>
      </w:r>
      <w:r w:rsidR="00127057">
        <w:t>.</w:t>
      </w:r>
    </w:p>
    <w:p w14:paraId="54D3F518" w14:textId="7E94A24A" w:rsidR="00295047" w:rsidRDefault="00295047" w:rsidP="00295047">
      <w:pPr>
        <w:jc w:val="both"/>
      </w:pPr>
    </w:p>
    <w:p w14:paraId="626E71AF" w14:textId="77777777" w:rsidR="00295047" w:rsidRDefault="00295047" w:rsidP="00295047">
      <w:pPr>
        <w:ind w:left="360"/>
      </w:pPr>
    </w:p>
    <w:p w14:paraId="420C29DB" w14:textId="6E1349BA" w:rsidR="00295047" w:rsidRPr="00FB47B2" w:rsidRDefault="00295047" w:rsidP="00295047">
      <w:pPr>
        <w:spacing w:after="240"/>
        <w:jc w:val="both"/>
        <w:rPr>
          <w:b/>
        </w:rPr>
      </w:pPr>
      <w:r w:rsidRPr="00FB47B2">
        <w:rPr>
          <w:b/>
        </w:rPr>
        <w:t xml:space="preserve">Source data for </w:t>
      </w:r>
      <w:r w:rsidR="008F4753">
        <w:rPr>
          <w:b/>
        </w:rPr>
        <w:t>I</w:t>
      </w:r>
      <w:r w:rsidRPr="00FB47B2">
        <w:rPr>
          <w:b/>
        </w:rPr>
        <w:t>ndicator calculation</w:t>
      </w:r>
    </w:p>
    <w:tbl>
      <w:tblPr>
        <w:tblW w:w="9000" w:type="dxa"/>
        <w:jc w:val="center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10"/>
      </w:tblGrid>
      <w:tr w:rsidR="00295047" w14:paraId="68AA2738" w14:textId="77777777" w:rsidTr="00091823">
        <w:trPr>
          <w:jc w:val="center"/>
        </w:trPr>
        <w:tc>
          <w:tcPr>
            <w:tcW w:w="249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E83E2" w14:textId="77777777" w:rsidR="00295047" w:rsidRPr="00E341F9" w:rsidRDefault="00295047" w:rsidP="001E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bookmarkStart w:id="0" w:name="_GoBack"/>
            <w:r w:rsidRPr="00E341F9">
              <w:rPr>
                <w:b/>
              </w:rPr>
              <w:t>Type of data</w:t>
            </w:r>
          </w:p>
        </w:tc>
        <w:tc>
          <w:tcPr>
            <w:tcW w:w="651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66053" w14:textId="77777777" w:rsidR="00295047" w:rsidRPr="00E341F9" w:rsidRDefault="00295047" w:rsidP="001E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E341F9">
              <w:rPr>
                <w:b/>
              </w:rPr>
              <w:t>Source</w:t>
            </w:r>
          </w:p>
        </w:tc>
      </w:tr>
      <w:tr w:rsidR="00295047" w14:paraId="03CC263B" w14:textId="77777777" w:rsidTr="00091823">
        <w:trPr>
          <w:trHeight w:val="1122"/>
          <w:jc w:val="center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A6A87D" w14:textId="32A619DD" w:rsidR="00295047" w:rsidRDefault="00577223" w:rsidP="001E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Built-</w:t>
            </w:r>
            <w:r w:rsidR="00295047">
              <w:t>up area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9A917C" w14:textId="1128B8B9" w:rsidR="00295047" w:rsidRDefault="001D22FE" w:rsidP="00091823">
            <w:hyperlink r:id="rId8" w:history="1">
              <w:r w:rsidR="00295047" w:rsidRPr="002B339B">
                <w:rPr>
                  <w:rStyle w:val="Hyperlink"/>
                </w:rPr>
                <w:t>GHS-BUILT R2018A—GHS built-up grid, derived from Landsat, multitemporal (1975-1990-2000-2014) [European Commission, Joint Research Center, 2018]</w:t>
              </w:r>
              <w:r w:rsidR="0088693B" w:rsidRPr="002B339B">
                <w:rPr>
                  <w:rStyle w:val="Hyperlink"/>
                </w:rPr>
                <w:t>, datasets for 1975 and 201</w:t>
              </w:r>
              <w:r w:rsidR="00171A18">
                <w:rPr>
                  <w:rStyle w:val="Hyperlink"/>
                </w:rPr>
                <w:t>4</w:t>
              </w:r>
            </w:hyperlink>
          </w:p>
        </w:tc>
      </w:tr>
      <w:bookmarkEnd w:id="0"/>
    </w:tbl>
    <w:p w14:paraId="49E3534A" w14:textId="77777777" w:rsidR="00295047" w:rsidRPr="00FB47B2" w:rsidRDefault="00295047" w:rsidP="00295047">
      <w:pPr>
        <w:pStyle w:val="ListParagraph"/>
        <w:spacing w:after="240"/>
        <w:jc w:val="both"/>
        <w:rPr>
          <w:b/>
        </w:rPr>
      </w:pPr>
    </w:p>
    <w:p w14:paraId="462F5B04" w14:textId="77777777" w:rsidR="00295047" w:rsidRDefault="00295047" w:rsidP="00295047">
      <w:pPr>
        <w:pStyle w:val="ListParagraph"/>
      </w:pPr>
    </w:p>
    <w:p w14:paraId="1DC9BAC0" w14:textId="77777777" w:rsidR="00295047" w:rsidRPr="00295047" w:rsidRDefault="00295047" w:rsidP="00295047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sectPr w:rsidR="00295047" w:rsidRPr="00295047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90A1EF" w14:textId="77777777" w:rsidR="001D22FE" w:rsidRDefault="001D22FE" w:rsidP="009B4060">
      <w:pPr>
        <w:spacing w:line="240" w:lineRule="auto"/>
      </w:pPr>
      <w:r>
        <w:separator/>
      </w:r>
    </w:p>
  </w:endnote>
  <w:endnote w:type="continuationSeparator" w:id="0">
    <w:p w14:paraId="2A84418E" w14:textId="77777777" w:rsidR="001D22FE" w:rsidRDefault="001D22FE" w:rsidP="009B40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  <w:szCs w:val="16"/>
      </w:rPr>
      <w:id w:val="420915159"/>
      <w:docPartObj>
        <w:docPartGallery w:val="Page Numbers (Bottom of Page)"/>
        <w:docPartUnique/>
      </w:docPartObj>
    </w:sdtPr>
    <w:sdtEndPr>
      <w:rPr>
        <w:noProof/>
        <w:color w:val="996633"/>
      </w:rPr>
    </w:sdtEndPr>
    <w:sdtContent>
      <w:p w14:paraId="0E7118FD" w14:textId="44EE9C11" w:rsidR="009B4060" w:rsidRPr="00495041" w:rsidRDefault="009B4060" w:rsidP="00495041">
        <w:pPr>
          <w:pStyle w:val="Footer"/>
          <w:jc w:val="center"/>
          <w:rPr>
            <w:color w:val="996633"/>
            <w:sz w:val="16"/>
            <w:szCs w:val="16"/>
          </w:rPr>
        </w:pPr>
        <w:r w:rsidRPr="00495041">
          <w:rPr>
            <w:color w:val="996633"/>
            <w:sz w:val="16"/>
            <w:szCs w:val="16"/>
          </w:rPr>
          <w:fldChar w:fldCharType="begin"/>
        </w:r>
        <w:r w:rsidRPr="00495041">
          <w:rPr>
            <w:color w:val="996633"/>
            <w:sz w:val="16"/>
            <w:szCs w:val="16"/>
          </w:rPr>
          <w:instrText xml:space="preserve"> PAGE   \* MERGEFORMAT </w:instrText>
        </w:r>
        <w:r w:rsidRPr="00495041">
          <w:rPr>
            <w:color w:val="996633"/>
            <w:sz w:val="16"/>
            <w:szCs w:val="16"/>
          </w:rPr>
          <w:fldChar w:fldCharType="separate"/>
        </w:r>
        <w:r w:rsidR="001D22FE">
          <w:rPr>
            <w:noProof/>
            <w:color w:val="996633"/>
            <w:sz w:val="16"/>
            <w:szCs w:val="16"/>
          </w:rPr>
          <w:t>1</w:t>
        </w:r>
        <w:r w:rsidRPr="00495041">
          <w:rPr>
            <w:noProof/>
            <w:color w:val="996633"/>
            <w:sz w:val="16"/>
            <w:szCs w:val="16"/>
          </w:rPr>
          <w:fldChar w:fldCharType="end"/>
        </w:r>
        <w:r w:rsidR="00F33E05" w:rsidRPr="00495041">
          <w:rPr>
            <w:noProof/>
            <w:color w:val="996633"/>
            <w:sz w:val="16"/>
            <w:szCs w:val="16"/>
          </w:rPr>
          <w:t xml:space="preserve"> of 1</w:t>
        </w:r>
      </w:p>
    </w:sdtContent>
  </w:sdt>
  <w:p w14:paraId="2ED1C53E" w14:textId="77777777" w:rsidR="009B4060" w:rsidRDefault="009B40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480EAF" w14:textId="77777777" w:rsidR="001D22FE" w:rsidRDefault="001D22FE" w:rsidP="009B4060">
      <w:pPr>
        <w:spacing w:line="240" w:lineRule="auto"/>
      </w:pPr>
      <w:r>
        <w:separator/>
      </w:r>
    </w:p>
  </w:footnote>
  <w:footnote w:type="continuationSeparator" w:id="0">
    <w:p w14:paraId="64AAE8F5" w14:textId="77777777" w:rsidR="001D22FE" w:rsidRDefault="001D22FE" w:rsidP="009B40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EBD6A9" w14:textId="77777777" w:rsidR="00495041" w:rsidRPr="00723668" w:rsidRDefault="00495041" w:rsidP="00495041">
    <w:pPr>
      <w:pStyle w:val="Header"/>
      <w:jc w:val="center"/>
      <w:rPr>
        <w:b/>
        <w:color w:val="996633"/>
        <w:sz w:val="14"/>
        <w:szCs w:val="14"/>
      </w:rPr>
    </w:pPr>
    <w:r w:rsidRPr="005866BA">
      <w:rPr>
        <w:b/>
        <w:color w:val="996633"/>
        <w:sz w:val="12"/>
        <w:szCs w:val="12"/>
      </w:rPr>
      <w:br/>
    </w:r>
    <w:r w:rsidRPr="00723668">
      <w:rPr>
        <w:b/>
        <w:noProof/>
        <w:color w:val="365F91" w:themeColor="accent1" w:themeShade="BF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D56F60" wp14:editId="251EADFD">
              <wp:simplePos x="0" y="0"/>
              <wp:positionH relativeFrom="column">
                <wp:posOffset>5432425</wp:posOffset>
              </wp:positionH>
              <wp:positionV relativeFrom="paragraph">
                <wp:posOffset>0</wp:posOffset>
              </wp:positionV>
              <wp:extent cx="297815" cy="257175"/>
              <wp:effectExtent l="0" t="0" r="6985" b="9525"/>
              <wp:wrapNone/>
              <wp:docPr id="11" name="Hexagon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7815" cy="257175"/>
                      </a:xfrm>
                      <a:prstGeom prst="hexagon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Hexagon 11" o:spid="_x0000_s1026" type="#_x0000_t9" style="position:absolute;margin-left:427.75pt;margin-top:0;width:23.45pt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" adj="4663" fillcolor="#9bbb59 [3206]" stroked="f" strokeweight="2pt"/>
          </w:pict>
        </mc:Fallback>
      </mc:AlternateContent>
    </w:r>
    <w:r w:rsidRPr="00723668">
      <w:rPr>
        <w:b/>
        <w:noProof/>
        <w:color w:val="365F91" w:themeColor="accent1" w:themeShade="BF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057CE8" wp14:editId="5E959A62">
              <wp:simplePos x="0" y="0"/>
              <wp:positionH relativeFrom="column">
                <wp:posOffset>5180965</wp:posOffset>
              </wp:positionH>
              <wp:positionV relativeFrom="paragraph">
                <wp:posOffset>155575</wp:posOffset>
              </wp:positionV>
              <wp:extent cx="297815" cy="257175"/>
              <wp:effectExtent l="0" t="0" r="6985" b="9525"/>
              <wp:wrapNone/>
              <wp:docPr id="10" name="Hexagon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7815" cy="257175"/>
                      </a:xfrm>
                      <a:prstGeom prst="hexagon">
                        <a:avLst/>
                      </a:prstGeom>
                      <a:solidFill>
                        <a:srgbClr val="99663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Hexagon 10" o:spid="_x0000_s1026" type="#_x0000_t9" style="position:absolute;margin-left:407.95pt;margin-top:12.25pt;width:23.45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" adj="4663" fillcolor="#963" stroked="f" strokeweight="2pt"/>
          </w:pict>
        </mc:Fallback>
      </mc:AlternateContent>
    </w:r>
    <w:r w:rsidRPr="00723668">
      <w:rPr>
        <w:b/>
        <w:noProof/>
        <w:color w:val="365F91" w:themeColor="accent1" w:themeShade="BF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C509418" wp14:editId="2A4E252D">
              <wp:simplePos x="0" y="0"/>
              <wp:positionH relativeFrom="column">
                <wp:posOffset>4929812</wp:posOffset>
              </wp:positionH>
              <wp:positionV relativeFrom="paragraph">
                <wp:posOffset>187</wp:posOffset>
              </wp:positionV>
              <wp:extent cx="297815" cy="257175"/>
              <wp:effectExtent l="0" t="0" r="6985" b="9525"/>
              <wp:wrapNone/>
              <wp:docPr id="9" name="Hexagon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7815" cy="257175"/>
                      </a:xfrm>
                      <a:prstGeom prst="hexagon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Hexagon 9" o:spid="_x0000_s1026" type="#_x0000_t9" style="position:absolute;margin-left:388.15pt;margin-top:0;width:23.45pt;height:2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" adj="4663" fillcolor="#9bbb59 [3206]" stroked="f" strokeweight="2pt"/>
          </w:pict>
        </mc:Fallback>
      </mc:AlternateContent>
    </w:r>
    <w:r w:rsidRPr="00723668">
      <w:rPr>
        <w:b/>
        <w:noProof/>
        <w:color w:val="4F81BD" w:themeColor="accent1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2F4FBA1" wp14:editId="5B65FF84">
              <wp:simplePos x="0" y="0"/>
              <wp:positionH relativeFrom="column">
                <wp:posOffset>256233</wp:posOffset>
              </wp:positionH>
              <wp:positionV relativeFrom="paragraph">
                <wp:posOffset>163369</wp:posOffset>
              </wp:positionV>
              <wp:extent cx="297815" cy="257175"/>
              <wp:effectExtent l="0" t="0" r="6985" b="9525"/>
              <wp:wrapNone/>
              <wp:docPr id="4" name="Hexagon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7815" cy="257175"/>
                      </a:xfrm>
                      <a:prstGeom prst="hexagon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Hexagon 4" o:spid="_x0000_s1026" type="#_x0000_t9" style="position:absolute;margin-left:20.2pt;margin-top:12.85pt;width:23.45pt;height:2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" adj="4663" fillcolor="#9bbb59 [3206]" stroked="f" strokeweight="2pt"/>
          </w:pict>
        </mc:Fallback>
      </mc:AlternateContent>
    </w:r>
    <w:r w:rsidRPr="00723668">
      <w:rPr>
        <w:b/>
        <w:noProof/>
        <w:color w:val="996633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085559" wp14:editId="21BF34D7">
              <wp:simplePos x="0" y="0"/>
              <wp:positionH relativeFrom="column">
                <wp:posOffset>4445</wp:posOffset>
              </wp:positionH>
              <wp:positionV relativeFrom="paragraph">
                <wp:posOffset>7620</wp:posOffset>
              </wp:positionV>
              <wp:extent cx="297815" cy="257175"/>
              <wp:effectExtent l="0" t="0" r="6985" b="9525"/>
              <wp:wrapNone/>
              <wp:docPr id="2" name="Hexagon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7815" cy="257175"/>
                      </a:xfrm>
                      <a:prstGeom prst="hexagon">
                        <a:avLst/>
                      </a:prstGeom>
                      <a:solidFill>
                        <a:srgbClr val="99663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Hexagon 2" o:spid="_x0000_s1026" type="#_x0000_t9" style="position:absolute;margin-left:.35pt;margin-top:.6pt;width:23.4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" adj="4663" fillcolor="#963" stroked="f" strokeweight="2pt"/>
          </w:pict>
        </mc:Fallback>
      </mc:AlternateContent>
    </w:r>
    <w:r w:rsidRPr="00723668">
      <w:rPr>
        <w:b/>
        <w:noProof/>
        <w:color w:val="4F81BD" w:themeColor="accent1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5AD92C" wp14:editId="1B4A4840">
              <wp:simplePos x="0" y="0"/>
              <wp:positionH relativeFrom="column">
                <wp:posOffset>507365</wp:posOffset>
              </wp:positionH>
              <wp:positionV relativeFrom="paragraph">
                <wp:posOffset>7620</wp:posOffset>
              </wp:positionV>
              <wp:extent cx="297815" cy="257175"/>
              <wp:effectExtent l="0" t="0" r="6985" b="9525"/>
              <wp:wrapNone/>
              <wp:docPr id="6" name="Hexagon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7815" cy="257175"/>
                      </a:xfrm>
                      <a:prstGeom prst="hexagon">
                        <a:avLst/>
                      </a:prstGeom>
                      <a:solidFill>
                        <a:srgbClr val="99663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Hexagon 6" o:spid="_x0000_s1026" type="#_x0000_t9" style="position:absolute;margin-left:39.95pt;margin-top:.6pt;width:23.45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" adj="4663" fillcolor="#963" stroked="f" strokeweight="2pt"/>
          </w:pict>
        </mc:Fallback>
      </mc:AlternateContent>
    </w:r>
    <w:r w:rsidRPr="00723668">
      <w:rPr>
        <w:b/>
        <w:color w:val="996633"/>
        <w:sz w:val="14"/>
        <w:szCs w:val="14"/>
      </w:rPr>
      <w:t>REMOTE DETECTION OF (DE)POPULATION PROCESSES—</w:t>
    </w:r>
    <w:r w:rsidRPr="001B0FB0">
      <w:rPr>
        <w:b/>
        <w:color w:val="996633"/>
        <w:sz w:val="14"/>
        <w:szCs w:val="14"/>
      </w:rPr>
      <w:t>PRODUCT DOCUMENTATION</w:t>
    </w:r>
  </w:p>
  <w:p w14:paraId="4096CDA3" w14:textId="6CADB42D" w:rsidR="00495041" w:rsidRDefault="00E341F9" w:rsidP="00E341F9">
    <w:pPr>
      <w:pStyle w:val="Header"/>
      <w:tabs>
        <w:tab w:val="left" w:pos="1365"/>
        <w:tab w:val="center" w:pos="4514"/>
      </w:tabs>
      <w:jc w:val="center"/>
      <w:rPr>
        <w:sz w:val="14"/>
        <w:szCs w:val="14"/>
      </w:rPr>
    </w:pPr>
    <w:r w:rsidRPr="00E341F9">
      <w:rPr>
        <w:b/>
        <w:color w:val="996633"/>
        <w:sz w:val="14"/>
        <w:szCs w:val="14"/>
      </w:rPr>
      <w:t xml:space="preserve">INDICATOR 4: </w:t>
    </w:r>
    <w:r w:rsidRPr="00E341F9">
      <w:rPr>
        <w:b/>
        <w:i/>
        <w:color w:val="996633"/>
        <w:sz w:val="14"/>
        <w:szCs w:val="14"/>
      </w:rPr>
      <w:t>Lot Coverage Change Index, 1975–2014</w:t>
    </w:r>
  </w:p>
  <w:p w14:paraId="745BC18D" w14:textId="77777777" w:rsidR="00495041" w:rsidRDefault="00495041" w:rsidP="00495041">
    <w:pPr>
      <w:pStyle w:val="Header"/>
      <w:rPr>
        <w:sz w:val="14"/>
        <w:szCs w:val="14"/>
      </w:rPr>
    </w:pPr>
  </w:p>
  <w:p w14:paraId="7F1D282B" w14:textId="77777777" w:rsidR="00495041" w:rsidRDefault="00495041" w:rsidP="00495041">
    <w:pPr>
      <w:pStyle w:val="Header"/>
      <w:rPr>
        <w:sz w:val="14"/>
        <w:szCs w:val="14"/>
      </w:rPr>
    </w:pPr>
  </w:p>
  <w:p w14:paraId="1C9AF3AF" w14:textId="77777777" w:rsidR="00495041" w:rsidRDefault="00495041" w:rsidP="00495041">
    <w:pPr>
      <w:pStyle w:val="Header"/>
      <w:tabs>
        <w:tab w:val="clear" w:pos="4680"/>
        <w:tab w:val="clear" w:pos="9360"/>
        <w:tab w:val="left" w:pos="3555"/>
      </w:tabs>
      <w:rPr>
        <w:sz w:val="14"/>
        <w:szCs w:val="14"/>
      </w:rPr>
    </w:pPr>
    <w:r>
      <w:rPr>
        <w:sz w:val="14"/>
        <w:szCs w:val="14"/>
      </w:rPr>
      <w:tab/>
    </w:r>
  </w:p>
  <w:p w14:paraId="21809085" w14:textId="77777777" w:rsidR="00495041" w:rsidRDefault="004950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D3E6F"/>
    <w:multiLevelType w:val="hybridMultilevel"/>
    <w:tmpl w:val="D2D2587A"/>
    <w:lvl w:ilvl="0" w:tplc="697C3774">
      <w:start w:val="1"/>
      <w:numFmt w:val="bullet"/>
      <w:lvlText w:val=""/>
      <w:lvlJc w:val="left"/>
      <w:pPr>
        <w:ind w:left="720" w:hanging="360"/>
      </w:pPr>
      <w:rPr>
        <w:rFonts w:ascii="Wingdings" w:hAnsi="Wingdings" w:hint="default"/>
        <w:color w:val="9BBB59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775B0E"/>
    <w:multiLevelType w:val="hybridMultilevel"/>
    <w:tmpl w:val="D3282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0E4CA6"/>
    <w:multiLevelType w:val="multilevel"/>
    <w:tmpl w:val="77D0F6C6"/>
    <w:lvl w:ilvl="0">
      <w:start w:val="1"/>
      <w:numFmt w:val="bullet"/>
      <w:lvlText w:val="⎼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74C8B"/>
    <w:rsid w:val="00091823"/>
    <w:rsid w:val="00127057"/>
    <w:rsid w:val="00161A14"/>
    <w:rsid w:val="0016402F"/>
    <w:rsid w:val="00171A18"/>
    <w:rsid w:val="001D22FE"/>
    <w:rsid w:val="00295047"/>
    <w:rsid w:val="002B339B"/>
    <w:rsid w:val="00495041"/>
    <w:rsid w:val="00577223"/>
    <w:rsid w:val="0068621D"/>
    <w:rsid w:val="0088693B"/>
    <w:rsid w:val="008F4753"/>
    <w:rsid w:val="00927F3D"/>
    <w:rsid w:val="009B4060"/>
    <w:rsid w:val="00B10DAD"/>
    <w:rsid w:val="00B26870"/>
    <w:rsid w:val="00B74C8B"/>
    <w:rsid w:val="00BF1FEC"/>
    <w:rsid w:val="00DE4976"/>
    <w:rsid w:val="00E341F9"/>
    <w:rsid w:val="00F3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s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61A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339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406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060"/>
  </w:style>
  <w:style w:type="paragraph" w:styleId="Footer">
    <w:name w:val="footer"/>
    <w:basedOn w:val="Normal"/>
    <w:link w:val="FooterChar"/>
    <w:uiPriority w:val="99"/>
    <w:unhideWhenUsed/>
    <w:rsid w:val="009B406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0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s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61A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339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406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060"/>
  </w:style>
  <w:style w:type="paragraph" w:styleId="Footer">
    <w:name w:val="footer"/>
    <w:basedOn w:val="Normal"/>
    <w:link w:val="FooterChar"/>
    <w:uiPriority w:val="99"/>
    <w:unhideWhenUsed/>
    <w:rsid w:val="009B406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europa.eu/euodp/data/dataset/jrc-ghsl-10007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dejan</dc:creator>
  <cp:lastModifiedBy>Tech. ed.</cp:lastModifiedBy>
  <cp:revision>13</cp:revision>
  <cp:lastPrinted>2020-10-26T08:30:00Z</cp:lastPrinted>
  <dcterms:created xsi:type="dcterms:W3CDTF">2020-10-13T16:36:00Z</dcterms:created>
  <dcterms:modified xsi:type="dcterms:W3CDTF">2020-10-26T08:30:00Z</dcterms:modified>
</cp:coreProperties>
</file>