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A9F" w:rsidRDefault="00C43AA7">
      <w:pPr>
        <w:rPr>
          <w:b/>
        </w:rPr>
      </w:pPr>
      <w:r>
        <w:rPr>
          <w:b/>
        </w:rPr>
        <w:t xml:space="preserve">INDICATOR 6: </w:t>
      </w:r>
      <w:r w:rsidR="00736166">
        <w:rPr>
          <w:b/>
        </w:rPr>
        <w:t>Hypsometric Structure (</w:t>
      </w:r>
      <w:r w:rsidRPr="00C43AA7">
        <w:rPr>
          <w:b/>
        </w:rPr>
        <w:t>Altitudinal Zonality</w:t>
      </w:r>
      <w:r w:rsidR="00736166">
        <w:rPr>
          <w:b/>
        </w:rPr>
        <w:t>)</w:t>
      </w:r>
      <w:r w:rsidRPr="00C43AA7">
        <w:rPr>
          <w:b/>
        </w:rPr>
        <w:t xml:space="preserve"> of municipalities and settlements</w:t>
      </w:r>
    </w:p>
    <w:p w:rsidR="0043442D" w:rsidRDefault="0043442D">
      <w:pPr>
        <w:rPr>
          <w:b/>
        </w:rPr>
      </w:pPr>
    </w:p>
    <w:p w:rsidR="002A2A9F" w:rsidRPr="0043442D" w:rsidRDefault="002A2A9F"/>
    <w:p w:rsidR="002A2A9F" w:rsidRPr="0043442D" w:rsidRDefault="00C43AA7">
      <w:pPr>
        <w:numPr>
          <w:ilvl w:val="0"/>
          <w:numId w:val="1"/>
        </w:numPr>
        <w:ind w:left="283" w:hanging="283"/>
        <w:rPr>
          <w:b/>
        </w:rPr>
      </w:pPr>
      <w:r w:rsidRPr="0043442D">
        <w:rPr>
          <w:b/>
        </w:rPr>
        <w:t>File Name: Hypso_Struct_Settl</w:t>
      </w:r>
    </w:p>
    <w:p w:rsidR="0043442D" w:rsidRDefault="0043442D" w:rsidP="0043442D">
      <w:pPr>
        <w:pStyle w:val="ListParagraph"/>
        <w:numPr>
          <w:ilvl w:val="0"/>
          <w:numId w:val="2"/>
        </w:numPr>
      </w:pPr>
      <w:r>
        <w:t>Coordinate Reference Systems: WGS 84 / UTM zone 34N (EPSG:32634)</w:t>
      </w:r>
    </w:p>
    <w:p w:rsidR="0043442D" w:rsidRPr="0043442D" w:rsidRDefault="0043442D" w:rsidP="0043442D">
      <w:pPr>
        <w:ind w:left="283"/>
      </w:pPr>
    </w:p>
    <w:p w:rsidR="002A2A9F" w:rsidRPr="0043442D" w:rsidRDefault="00C43AA7">
      <w:pPr>
        <w:numPr>
          <w:ilvl w:val="0"/>
          <w:numId w:val="1"/>
        </w:numPr>
        <w:ind w:left="283" w:hanging="283"/>
        <w:rPr>
          <w:b/>
        </w:rPr>
      </w:pPr>
      <w:r w:rsidRPr="0043442D">
        <w:rPr>
          <w:b/>
        </w:rPr>
        <w:t>File Name: Hypso_Struct_Mun</w:t>
      </w:r>
    </w:p>
    <w:p w:rsidR="0043442D" w:rsidRPr="0043442D" w:rsidRDefault="0043442D" w:rsidP="0043442D">
      <w:pPr>
        <w:pStyle w:val="ListParagraph"/>
        <w:numPr>
          <w:ilvl w:val="0"/>
          <w:numId w:val="2"/>
        </w:numPr>
      </w:pPr>
      <w:r>
        <w:t>Coordinate Reference Systems: WGS 84 / UTM zone 34N (EPSG:32634)</w:t>
      </w:r>
    </w:p>
    <w:p w:rsidR="002A2A9F" w:rsidRDefault="002A2A9F"/>
    <w:p w:rsidR="0043442D" w:rsidRDefault="0043442D"/>
    <w:tbl>
      <w:tblPr>
        <w:tblStyle w:val="a"/>
        <w:tblW w:w="9027" w:type="dxa"/>
        <w:jc w:val="center"/>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62"/>
        <w:gridCol w:w="3552"/>
        <w:gridCol w:w="3713"/>
      </w:tblGrid>
      <w:tr w:rsidR="002A2A9F" w:rsidRPr="00C96498" w:rsidTr="006E7206">
        <w:trPr>
          <w:trHeight w:val="30"/>
          <w:jc w:val="center"/>
        </w:trPr>
        <w:tc>
          <w:tcPr>
            <w:tcW w:w="1770" w:type="dxa"/>
            <w:tcBorders>
              <w:top w:val="single" w:sz="4" w:space="0" w:color="000000"/>
              <w:left w:val="single" w:sz="4" w:space="0" w:color="000000"/>
              <w:bottom w:val="single" w:sz="4" w:space="0" w:color="000000"/>
              <w:right w:val="single" w:sz="4" w:space="0" w:color="000000"/>
            </w:tcBorders>
            <w:shd w:val="clear" w:color="auto" w:fill="9BBB59" w:themeFill="accent3"/>
            <w:tcMar>
              <w:top w:w="100" w:type="dxa"/>
              <w:left w:w="100" w:type="dxa"/>
              <w:bottom w:w="100" w:type="dxa"/>
              <w:right w:w="100" w:type="dxa"/>
            </w:tcMar>
          </w:tcPr>
          <w:p w:rsidR="002A2A9F" w:rsidRPr="00C96498" w:rsidRDefault="00C43AA7">
            <w:pPr>
              <w:widowControl w:val="0"/>
              <w:jc w:val="center"/>
              <w:rPr>
                <w:b/>
                <w:sz w:val="20"/>
                <w:szCs w:val="20"/>
              </w:rPr>
            </w:pPr>
            <w:r w:rsidRPr="00C96498">
              <w:rPr>
                <w:b/>
                <w:sz w:val="20"/>
                <w:szCs w:val="20"/>
              </w:rPr>
              <w:t>Attribute</w:t>
            </w:r>
          </w:p>
        </w:tc>
        <w:tc>
          <w:tcPr>
            <w:tcW w:w="3570" w:type="dxa"/>
            <w:tcBorders>
              <w:top w:val="single" w:sz="4" w:space="0" w:color="000000"/>
              <w:left w:val="single" w:sz="4" w:space="0" w:color="000000"/>
              <w:bottom w:val="single" w:sz="4" w:space="0" w:color="000000"/>
              <w:right w:val="single" w:sz="4" w:space="0" w:color="000000"/>
            </w:tcBorders>
            <w:shd w:val="clear" w:color="auto" w:fill="9BBB59" w:themeFill="accent3"/>
            <w:tcMar>
              <w:top w:w="100" w:type="dxa"/>
              <w:left w:w="100" w:type="dxa"/>
              <w:bottom w:w="100" w:type="dxa"/>
              <w:right w:w="100" w:type="dxa"/>
            </w:tcMar>
          </w:tcPr>
          <w:p w:rsidR="002A2A9F" w:rsidRPr="00C96498" w:rsidRDefault="00C43AA7">
            <w:pPr>
              <w:widowControl w:val="0"/>
              <w:ind w:right="-49"/>
              <w:jc w:val="center"/>
              <w:rPr>
                <w:b/>
                <w:sz w:val="20"/>
                <w:szCs w:val="20"/>
              </w:rPr>
            </w:pPr>
            <w:r w:rsidRPr="00C96498">
              <w:rPr>
                <w:b/>
                <w:sz w:val="20"/>
                <w:szCs w:val="20"/>
              </w:rPr>
              <w:t xml:space="preserve"> Alias</w:t>
            </w:r>
          </w:p>
        </w:tc>
        <w:tc>
          <w:tcPr>
            <w:tcW w:w="3732" w:type="dxa"/>
            <w:tcBorders>
              <w:top w:val="single" w:sz="4" w:space="0" w:color="000000"/>
              <w:left w:val="single" w:sz="4" w:space="0" w:color="000000"/>
              <w:bottom w:val="single" w:sz="4" w:space="0" w:color="000000"/>
              <w:right w:val="single" w:sz="4" w:space="0" w:color="000000"/>
            </w:tcBorders>
            <w:shd w:val="clear" w:color="auto" w:fill="9BBB59" w:themeFill="accent3"/>
            <w:tcMar>
              <w:top w:w="100" w:type="dxa"/>
              <w:left w:w="100" w:type="dxa"/>
              <w:bottom w:w="100" w:type="dxa"/>
              <w:right w:w="100" w:type="dxa"/>
            </w:tcMar>
          </w:tcPr>
          <w:p w:rsidR="002A2A9F" w:rsidRPr="00C96498" w:rsidRDefault="00C43AA7">
            <w:pPr>
              <w:widowControl w:val="0"/>
              <w:ind w:right="-49"/>
              <w:jc w:val="center"/>
              <w:rPr>
                <w:b/>
                <w:sz w:val="20"/>
                <w:szCs w:val="20"/>
              </w:rPr>
            </w:pPr>
            <w:r w:rsidRPr="00C96498">
              <w:rPr>
                <w:b/>
                <w:sz w:val="20"/>
                <w:szCs w:val="20"/>
              </w:rPr>
              <w:t>Pseudonim</w:t>
            </w:r>
          </w:p>
        </w:tc>
      </w:tr>
      <w:tr w:rsidR="002A2A9F" w:rsidRPr="00C96498" w:rsidTr="006E7206">
        <w:trPr>
          <w:trHeight w:val="81"/>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MatBrO</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Municipality identification number</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Matični broj opštine</w:t>
            </w:r>
          </w:p>
        </w:tc>
      </w:tr>
      <w:tr w:rsidR="002A2A9F" w:rsidRPr="00C96498" w:rsidTr="006E7206">
        <w:trPr>
          <w:trHeight w:val="105"/>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MatBrNas</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Settlement identification number</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Matični broj naselja</w:t>
            </w:r>
          </w:p>
        </w:tc>
      </w:tr>
      <w:tr w:rsidR="002A2A9F" w:rsidRPr="00C96498" w:rsidTr="006E7206">
        <w:trPr>
          <w:trHeight w:val="3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ImeNasCir</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Name of the settlement in Cyrillic</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Ime naselja (ćirilica)</w:t>
            </w:r>
          </w:p>
        </w:tc>
      </w:tr>
      <w:tr w:rsidR="002A2A9F" w:rsidRPr="00C96498" w:rsidTr="006E7206">
        <w:trPr>
          <w:trHeight w:val="3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ImeNasLat</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Name of the settlement in Latin</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Ime naselja (latinica)</w:t>
            </w:r>
          </w:p>
        </w:tc>
      </w:tr>
      <w:tr w:rsidR="002A2A9F" w:rsidRPr="00C96498" w:rsidTr="006E7206">
        <w:trPr>
          <w:trHeight w:val="3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ImeOpsCir</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Name of the municipality in Cyrillic</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Ime opštine (ćirilica)</w:t>
            </w:r>
          </w:p>
        </w:tc>
      </w:tr>
      <w:tr w:rsidR="002A2A9F" w:rsidRPr="00C96498" w:rsidTr="006E7206">
        <w:trPr>
          <w:trHeight w:val="3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ImeOpsLat</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Name of the municipality in Latin</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Ime opštine (latinica)</w:t>
            </w:r>
          </w:p>
        </w:tc>
      </w:tr>
      <w:tr w:rsidR="002A2A9F" w:rsidRPr="00C96498" w:rsidTr="006E7206">
        <w:trPr>
          <w:trHeight w:val="3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Mean_ELEV</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rsidP="00C96498">
            <w:pPr>
              <w:widowControl w:val="0"/>
              <w:ind w:right="-49"/>
              <w:rPr>
                <w:sz w:val="20"/>
                <w:szCs w:val="20"/>
              </w:rPr>
            </w:pPr>
            <w:r w:rsidRPr="00C96498">
              <w:rPr>
                <w:sz w:val="20"/>
                <w:szCs w:val="20"/>
              </w:rPr>
              <w:t>Mean elevation</w:t>
            </w:r>
            <w:r w:rsidR="00C96498">
              <w:rPr>
                <w:sz w:val="20"/>
                <w:szCs w:val="20"/>
              </w:rPr>
              <w:t xml:space="preserve"> </w:t>
            </w:r>
            <w:r w:rsidR="00C96498" w:rsidRPr="00C96498">
              <w:rPr>
                <w:sz w:val="20"/>
                <w:szCs w:val="20"/>
              </w:rPr>
              <w:t>(m a.s.l.)</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Prosečna nadmorska visina</w:t>
            </w:r>
            <w:r w:rsidR="00C96498">
              <w:rPr>
                <w:sz w:val="20"/>
                <w:szCs w:val="20"/>
              </w:rPr>
              <w:t xml:space="preserve"> </w:t>
            </w:r>
            <w:r w:rsidR="00C96498" w:rsidRPr="00C96498">
              <w:rPr>
                <w:sz w:val="20"/>
                <w:szCs w:val="20"/>
              </w:rPr>
              <w:t>(m a.s.l.)</w:t>
            </w:r>
          </w:p>
        </w:tc>
      </w:tr>
      <w:tr w:rsidR="002A2A9F" w:rsidRPr="00C96498" w:rsidTr="006E7206">
        <w:trPr>
          <w:trHeight w:val="47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P_1</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rsidP="00907D5B">
            <w:pPr>
              <w:widowControl w:val="0"/>
              <w:ind w:right="-49"/>
              <w:rPr>
                <w:sz w:val="20"/>
                <w:szCs w:val="20"/>
              </w:rPr>
            </w:pPr>
            <w:r w:rsidRPr="00C96498">
              <w:rPr>
                <w:sz w:val="20"/>
                <w:szCs w:val="20"/>
              </w:rPr>
              <w:t xml:space="preserve">Share of hypsometric zone </w:t>
            </w:r>
            <w:r w:rsidR="00907D5B" w:rsidRPr="00C96498">
              <w:rPr>
                <w:sz w:val="20"/>
                <w:szCs w:val="20"/>
              </w:rPr>
              <w:t>&lt; 200</w:t>
            </w:r>
            <w:r w:rsidR="00C96498" w:rsidRPr="00C96498">
              <w:rPr>
                <w:sz w:val="20"/>
                <w:szCs w:val="20"/>
              </w:rPr>
              <w:t xml:space="preserve"> </w:t>
            </w:r>
            <w:r w:rsidR="00C96498">
              <w:rPr>
                <w:sz w:val="20"/>
                <w:szCs w:val="20"/>
              </w:rPr>
              <w:t>m a.s.l.</w:t>
            </w:r>
            <w:r w:rsidRPr="00C96498">
              <w:rPr>
                <w:sz w:val="20"/>
                <w:szCs w:val="20"/>
              </w:rPr>
              <w:t xml:space="preserve"> (%) in </w:t>
            </w:r>
            <w:r w:rsidR="00C96498" w:rsidRPr="00C96498">
              <w:rPr>
                <w:sz w:val="20"/>
                <w:szCs w:val="20"/>
              </w:rPr>
              <w:t xml:space="preserve">total area of </w:t>
            </w:r>
            <w:r w:rsidRPr="00C96498">
              <w:rPr>
                <w:sz w:val="20"/>
                <w:szCs w:val="20"/>
              </w:rPr>
              <w:t>settlement/municipality</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rsidP="00C96498">
            <w:pPr>
              <w:widowControl w:val="0"/>
              <w:ind w:right="-49"/>
              <w:rPr>
                <w:sz w:val="20"/>
                <w:szCs w:val="20"/>
              </w:rPr>
            </w:pPr>
            <w:r w:rsidRPr="00C96498">
              <w:rPr>
                <w:sz w:val="20"/>
                <w:szCs w:val="20"/>
              </w:rPr>
              <w:t xml:space="preserve">Učešće hipsometrijske zone </w:t>
            </w:r>
            <w:r w:rsidR="00C96498" w:rsidRPr="00C96498">
              <w:rPr>
                <w:sz w:val="20"/>
                <w:szCs w:val="20"/>
              </w:rPr>
              <w:t xml:space="preserve">&lt; </w:t>
            </w:r>
            <w:r w:rsidRPr="00C96498">
              <w:rPr>
                <w:sz w:val="20"/>
                <w:szCs w:val="20"/>
              </w:rPr>
              <w:t>200</w:t>
            </w:r>
            <w:r w:rsidR="00C96498" w:rsidRPr="00C96498">
              <w:rPr>
                <w:sz w:val="20"/>
                <w:szCs w:val="20"/>
              </w:rPr>
              <w:t xml:space="preserve"> </w:t>
            </w:r>
            <w:r w:rsidR="00C96498">
              <w:rPr>
                <w:sz w:val="20"/>
                <w:szCs w:val="20"/>
              </w:rPr>
              <w:t>m a.s.l.</w:t>
            </w:r>
            <w:r w:rsidRPr="00C96498">
              <w:rPr>
                <w:sz w:val="20"/>
                <w:szCs w:val="20"/>
              </w:rPr>
              <w:t xml:space="preserve"> (%) u </w:t>
            </w:r>
            <w:r w:rsidR="00C96498" w:rsidRPr="00C96498">
              <w:rPr>
                <w:sz w:val="20"/>
                <w:szCs w:val="20"/>
              </w:rPr>
              <w:t xml:space="preserve">ukupnoj površini </w:t>
            </w:r>
            <w:r w:rsidRPr="00C96498">
              <w:rPr>
                <w:sz w:val="20"/>
                <w:szCs w:val="20"/>
              </w:rPr>
              <w:t>neselj</w:t>
            </w:r>
            <w:r w:rsidR="00C96498" w:rsidRPr="00C96498">
              <w:rPr>
                <w:sz w:val="20"/>
                <w:szCs w:val="20"/>
              </w:rPr>
              <w:t>a</w:t>
            </w:r>
            <w:r w:rsidRPr="00C96498">
              <w:rPr>
                <w:sz w:val="20"/>
                <w:szCs w:val="20"/>
              </w:rPr>
              <w:t>/opštin</w:t>
            </w:r>
            <w:r w:rsidR="00C96498" w:rsidRPr="00C96498">
              <w:rPr>
                <w:sz w:val="20"/>
                <w:szCs w:val="20"/>
              </w:rPr>
              <w:t>e</w:t>
            </w:r>
          </w:p>
        </w:tc>
      </w:tr>
      <w:tr w:rsidR="002A2A9F" w:rsidRPr="00C96498" w:rsidTr="006E7206">
        <w:trPr>
          <w:trHeight w:val="47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P_2</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Share of hypsometric zone 200–500</w:t>
            </w:r>
            <w:r w:rsidR="00C96498" w:rsidRPr="00C96498">
              <w:rPr>
                <w:sz w:val="20"/>
                <w:szCs w:val="20"/>
              </w:rPr>
              <w:t xml:space="preserve"> </w:t>
            </w:r>
            <w:r w:rsidR="00C96498">
              <w:rPr>
                <w:sz w:val="20"/>
                <w:szCs w:val="20"/>
              </w:rPr>
              <w:t>m a.s.l.</w:t>
            </w:r>
            <w:r w:rsidRPr="00C96498">
              <w:rPr>
                <w:sz w:val="20"/>
                <w:szCs w:val="20"/>
              </w:rPr>
              <w:t xml:space="preserve"> (%)</w:t>
            </w:r>
            <w:r w:rsidR="00C96498" w:rsidRPr="00C96498">
              <w:rPr>
                <w:sz w:val="20"/>
                <w:szCs w:val="20"/>
              </w:rPr>
              <w:t xml:space="preserve"> in total area of</w:t>
            </w:r>
            <w:r w:rsidRPr="00C96498">
              <w:rPr>
                <w:sz w:val="20"/>
                <w:szCs w:val="20"/>
              </w:rPr>
              <w:t xml:space="preserve"> settlement/municipality</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Učešće hipsometrijske zone 200–500</w:t>
            </w:r>
            <w:r w:rsidR="00C96498" w:rsidRPr="00C96498">
              <w:rPr>
                <w:sz w:val="20"/>
                <w:szCs w:val="20"/>
              </w:rPr>
              <w:t xml:space="preserve"> </w:t>
            </w:r>
            <w:r w:rsidR="00C96498">
              <w:rPr>
                <w:sz w:val="20"/>
                <w:szCs w:val="20"/>
              </w:rPr>
              <w:t>m a.s.l.</w:t>
            </w:r>
            <w:r w:rsidRPr="00C96498">
              <w:rPr>
                <w:sz w:val="20"/>
                <w:szCs w:val="20"/>
              </w:rPr>
              <w:t xml:space="preserve"> (%)</w:t>
            </w:r>
            <w:r w:rsidR="00C96498" w:rsidRPr="00C96498">
              <w:rPr>
                <w:sz w:val="20"/>
                <w:szCs w:val="20"/>
              </w:rPr>
              <w:t xml:space="preserve"> u ukupnoj površini neselja/opštine</w:t>
            </w:r>
          </w:p>
        </w:tc>
      </w:tr>
      <w:tr w:rsidR="002A2A9F" w:rsidRPr="00C96498" w:rsidTr="006E7206">
        <w:trPr>
          <w:trHeight w:val="47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P_3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Share of hypsometric zone 500–800</w:t>
            </w:r>
            <w:r w:rsidR="00C96498" w:rsidRPr="00C96498">
              <w:rPr>
                <w:sz w:val="20"/>
                <w:szCs w:val="20"/>
              </w:rPr>
              <w:t xml:space="preserve"> </w:t>
            </w:r>
            <w:r w:rsidR="00C96498">
              <w:rPr>
                <w:sz w:val="20"/>
                <w:szCs w:val="20"/>
              </w:rPr>
              <w:t>m a.s.l.</w:t>
            </w:r>
            <w:r w:rsidRPr="00C96498">
              <w:rPr>
                <w:sz w:val="20"/>
                <w:szCs w:val="20"/>
              </w:rPr>
              <w:t xml:space="preserve"> (%)</w:t>
            </w:r>
            <w:r w:rsidR="00C96498" w:rsidRPr="00C96498">
              <w:rPr>
                <w:sz w:val="20"/>
                <w:szCs w:val="20"/>
              </w:rPr>
              <w:t xml:space="preserve"> in total area of</w:t>
            </w:r>
            <w:r w:rsidRPr="00C96498">
              <w:rPr>
                <w:sz w:val="20"/>
                <w:szCs w:val="20"/>
              </w:rPr>
              <w:t xml:space="preserve"> settlement/municipality</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Učešće hipsometrijske zone 500–800</w:t>
            </w:r>
            <w:r w:rsidR="00C96498" w:rsidRPr="00C96498">
              <w:rPr>
                <w:sz w:val="20"/>
                <w:szCs w:val="20"/>
              </w:rPr>
              <w:t xml:space="preserve"> </w:t>
            </w:r>
            <w:r w:rsidR="00C96498">
              <w:rPr>
                <w:sz w:val="20"/>
                <w:szCs w:val="20"/>
              </w:rPr>
              <w:t>m a.s.l.</w:t>
            </w:r>
            <w:r w:rsidRPr="00C96498">
              <w:rPr>
                <w:sz w:val="20"/>
                <w:szCs w:val="20"/>
              </w:rPr>
              <w:t xml:space="preserve"> (%)</w:t>
            </w:r>
            <w:r w:rsidR="00C96498" w:rsidRPr="00C96498">
              <w:rPr>
                <w:sz w:val="20"/>
                <w:szCs w:val="20"/>
              </w:rPr>
              <w:t xml:space="preserve"> u ukupnoj površini neselja/opštine</w:t>
            </w:r>
          </w:p>
        </w:tc>
      </w:tr>
      <w:tr w:rsidR="002A2A9F" w:rsidRPr="00C96498" w:rsidTr="006E7206">
        <w:trPr>
          <w:trHeight w:val="65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P_4</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Share of hypsometric zone 800–1000</w:t>
            </w:r>
            <w:r w:rsidR="00C96498" w:rsidRPr="00C96498">
              <w:rPr>
                <w:sz w:val="20"/>
                <w:szCs w:val="20"/>
              </w:rPr>
              <w:t xml:space="preserve"> </w:t>
            </w:r>
            <w:r w:rsidR="00C96498">
              <w:rPr>
                <w:sz w:val="20"/>
                <w:szCs w:val="20"/>
              </w:rPr>
              <w:t>m a.s.l.</w:t>
            </w:r>
            <w:r w:rsidRPr="00C96498">
              <w:rPr>
                <w:sz w:val="20"/>
                <w:szCs w:val="20"/>
              </w:rPr>
              <w:t xml:space="preserve"> (%)</w:t>
            </w:r>
            <w:r w:rsidR="00C96498" w:rsidRPr="00C96498">
              <w:rPr>
                <w:sz w:val="20"/>
                <w:szCs w:val="20"/>
              </w:rPr>
              <w:t xml:space="preserve"> in total area of</w:t>
            </w:r>
            <w:r w:rsidRPr="00C96498">
              <w:rPr>
                <w:sz w:val="20"/>
                <w:szCs w:val="20"/>
              </w:rPr>
              <w:t xml:space="preserve"> settlement/municipality</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Učeš</w:t>
            </w:r>
            <w:r w:rsidR="00C96498" w:rsidRPr="00C96498">
              <w:rPr>
                <w:sz w:val="20"/>
                <w:szCs w:val="20"/>
              </w:rPr>
              <w:t xml:space="preserve">će hipsometrijske zone 800–1000 </w:t>
            </w:r>
            <w:r w:rsidR="00C96498">
              <w:rPr>
                <w:sz w:val="20"/>
                <w:szCs w:val="20"/>
              </w:rPr>
              <w:t>m a.s.l.</w:t>
            </w:r>
            <w:r w:rsidR="00C96498" w:rsidRPr="00C96498">
              <w:rPr>
                <w:sz w:val="20"/>
                <w:szCs w:val="20"/>
              </w:rPr>
              <w:t xml:space="preserve"> </w:t>
            </w:r>
            <w:r w:rsidRPr="00C96498">
              <w:rPr>
                <w:sz w:val="20"/>
                <w:szCs w:val="20"/>
              </w:rPr>
              <w:t>(%)</w:t>
            </w:r>
            <w:r w:rsidR="00C96498" w:rsidRPr="00C96498">
              <w:rPr>
                <w:sz w:val="20"/>
                <w:szCs w:val="20"/>
              </w:rPr>
              <w:t xml:space="preserve"> u ukupnoj površini neselja/opštine</w:t>
            </w:r>
          </w:p>
        </w:tc>
      </w:tr>
      <w:tr w:rsidR="002A2A9F" w:rsidRPr="00C96498" w:rsidTr="006E7206">
        <w:trPr>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P_5</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Share of hypsometric zone 1000–1500</w:t>
            </w:r>
            <w:r w:rsidR="00C96498" w:rsidRPr="00C96498">
              <w:rPr>
                <w:sz w:val="20"/>
                <w:szCs w:val="20"/>
              </w:rPr>
              <w:t xml:space="preserve"> </w:t>
            </w:r>
            <w:r w:rsidR="00C96498">
              <w:rPr>
                <w:sz w:val="20"/>
                <w:szCs w:val="20"/>
              </w:rPr>
              <w:t xml:space="preserve">m a.s.l. </w:t>
            </w:r>
            <w:r w:rsidRPr="00C96498">
              <w:rPr>
                <w:sz w:val="20"/>
                <w:szCs w:val="20"/>
              </w:rPr>
              <w:t>(%)</w:t>
            </w:r>
            <w:r w:rsidR="00C96498" w:rsidRPr="00C96498">
              <w:rPr>
                <w:sz w:val="20"/>
                <w:szCs w:val="20"/>
              </w:rPr>
              <w:t xml:space="preserve"> in total area of</w:t>
            </w:r>
            <w:r w:rsidRPr="00C96498">
              <w:rPr>
                <w:sz w:val="20"/>
                <w:szCs w:val="20"/>
              </w:rPr>
              <w:t xml:space="preserve"> settlement/municipality</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Učešće hipsometrijske zone 1000–1500</w:t>
            </w:r>
            <w:r w:rsidR="00C96498" w:rsidRPr="00C96498">
              <w:rPr>
                <w:sz w:val="20"/>
                <w:szCs w:val="20"/>
              </w:rPr>
              <w:t xml:space="preserve"> </w:t>
            </w:r>
            <w:r w:rsidR="00C96498">
              <w:rPr>
                <w:sz w:val="20"/>
                <w:szCs w:val="20"/>
              </w:rPr>
              <w:t>m a.s.l.</w:t>
            </w:r>
            <w:r w:rsidRPr="00C96498">
              <w:rPr>
                <w:sz w:val="20"/>
                <w:szCs w:val="20"/>
              </w:rPr>
              <w:t xml:space="preserve"> (%)</w:t>
            </w:r>
            <w:r w:rsidR="00C96498" w:rsidRPr="00C96498">
              <w:rPr>
                <w:sz w:val="20"/>
                <w:szCs w:val="20"/>
              </w:rPr>
              <w:t xml:space="preserve"> u ukupnoj površini neselja/opštine</w:t>
            </w:r>
          </w:p>
        </w:tc>
      </w:tr>
      <w:tr w:rsidR="002A2A9F" w:rsidRPr="00C96498" w:rsidTr="006E7206">
        <w:trPr>
          <w:trHeight w:val="470"/>
          <w:jc w:val="center"/>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rPr>
                <w:sz w:val="20"/>
                <w:szCs w:val="20"/>
              </w:rPr>
            </w:pPr>
            <w:r w:rsidRPr="00C96498">
              <w:rPr>
                <w:sz w:val="20"/>
                <w:szCs w:val="20"/>
              </w:rPr>
              <w:t>P_6</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Share of hypsometric zone &gt; 1500</w:t>
            </w:r>
            <w:r w:rsidR="00C96498" w:rsidRPr="00C96498">
              <w:rPr>
                <w:sz w:val="20"/>
                <w:szCs w:val="20"/>
              </w:rPr>
              <w:t xml:space="preserve"> </w:t>
            </w:r>
            <w:r w:rsidR="00C96498">
              <w:rPr>
                <w:sz w:val="20"/>
                <w:szCs w:val="20"/>
              </w:rPr>
              <w:t xml:space="preserve">m a.s.l. </w:t>
            </w:r>
            <w:r w:rsidRPr="00C96498">
              <w:rPr>
                <w:sz w:val="20"/>
                <w:szCs w:val="20"/>
              </w:rPr>
              <w:t>(%)</w:t>
            </w:r>
            <w:r w:rsidR="00C96498" w:rsidRPr="00C96498">
              <w:rPr>
                <w:sz w:val="20"/>
                <w:szCs w:val="20"/>
              </w:rPr>
              <w:t xml:space="preserve"> in total area of</w:t>
            </w:r>
            <w:r w:rsidRPr="00C96498">
              <w:rPr>
                <w:sz w:val="20"/>
                <w:szCs w:val="20"/>
              </w:rPr>
              <w:t xml:space="preserve"> settlement/municipality</w:t>
            </w:r>
          </w:p>
        </w:tc>
        <w:tc>
          <w:tcPr>
            <w:tcW w:w="3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2A2A9F" w:rsidRPr="00C96498" w:rsidRDefault="00C43AA7">
            <w:pPr>
              <w:widowControl w:val="0"/>
              <w:ind w:right="-49"/>
              <w:rPr>
                <w:sz w:val="20"/>
                <w:szCs w:val="20"/>
              </w:rPr>
            </w:pPr>
            <w:r w:rsidRPr="00C96498">
              <w:rPr>
                <w:sz w:val="20"/>
                <w:szCs w:val="20"/>
              </w:rPr>
              <w:t>Učešće hipsometrijske zone &gt; 1500</w:t>
            </w:r>
            <w:r w:rsidR="00C96498" w:rsidRPr="00C96498">
              <w:rPr>
                <w:sz w:val="20"/>
                <w:szCs w:val="20"/>
              </w:rPr>
              <w:t xml:space="preserve"> </w:t>
            </w:r>
            <w:r w:rsidR="00C96498">
              <w:rPr>
                <w:sz w:val="20"/>
                <w:szCs w:val="20"/>
              </w:rPr>
              <w:t>m a.s.l.</w:t>
            </w:r>
            <w:r w:rsidRPr="00C96498">
              <w:rPr>
                <w:sz w:val="20"/>
                <w:szCs w:val="20"/>
              </w:rPr>
              <w:t xml:space="preserve"> (%)</w:t>
            </w:r>
            <w:r w:rsidR="00C96498" w:rsidRPr="00C96498">
              <w:rPr>
                <w:sz w:val="20"/>
                <w:szCs w:val="20"/>
              </w:rPr>
              <w:t xml:space="preserve"> u ukupnoj površini neselja/opštine</w:t>
            </w:r>
          </w:p>
        </w:tc>
      </w:tr>
    </w:tbl>
    <w:p w:rsidR="002A2A9F" w:rsidRDefault="002A2A9F"/>
    <w:p w:rsidR="00C43AA7" w:rsidRDefault="00C43AA7" w:rsidP="00C43AA7">
      <w:pPr>
        <w:jc w:val="both"/>
      </w:pPr>
      <w:r w:rsidRPr="00FB47B2">
        <w:rPr>
          <w:b/>
        </w:rPr>
        <w:lastRenderedPageBreak/>
        <w:t xml:space="preserve">Description of Indicator: </w:t>
      </w:r>
      <w:r w:rsidRPr="00C43AA7">
        <w:t xml:space="preserve">Hypsometric Structure </w:t>
      </w:r>
      <w:r w:rsidR="00736166">
        <w:t>(</w:t>
      </w:r>
      <w:r w:rsidRPr="00C43AA7">
        <w:t>Altitudinal Zonality</w:t>
      </w:r>
      <w:r w:rsidR="00736166">
        <w:t>)</w:t>
      </w:r>
      <w:r w:rsidRPr="00C43AA7">
        <w:t xml:space="preserve"> of municipalities and settlements</w:t>
      </w:r>
      <w:r>
        <w:t xml:space="preserve"> </w:t>
      </w:r>
      <w:r w:rsidRPr="006855F0">
        <w:t xml:space="preserve">provides an insight into the share (%) of </w:t>
      </w:r>
      <w:r w:rsidR="00736166">
        <w:t>defined</w:t>
      </w:r>
      <w:r w:rsidRPr="006855F0">
        <w:t xml:space="preserve"> hypsometric classes</w:t>
      </w:r>
      <w:r>
        <w:t xml:space="preserve"> (</w:t>
      </w:r>
      <w:r w:rsidR="00907D5B">
        <w:t xml:space="preserve">&lt; 200 </w:t>
      </w:r>
      <w:r w:rsidR="00907D5B" w:rsidRPr="006855F0">
        <w:t>m a.s.l.</w:t>
      </w:r>
      <w:r w:rsidR="00907D5B">
        <w:t>, 200–</w:t>
      </w:r>
      <w:r w:rsidRPr="006855F0">
        <w:t>500 m a.s.l., 500–800 m a.s.l., 800–1000 m a.s.l., 1000–1500 m a.s.l., &gt; 1500 m a.s.l.)</w:t>
      </w:r>
      <w:r>
        <w:t xml:space="preserve"> in total area of settlements</w:t>
      </w:r>
      <w:r w:rsidRPr="006855F0">
        <w:t>. Th</w:t>
      </w:r>
      <w:r w:rsidR="00736166">
        <w:t>ese</w:t>
      </w:r>
      <w:r w:rsidRPr="006855F0">
        <w:t xml:space="preserve"> data </w:t>
      </w:r>
      <w:r w:rsidR="00736166">
        <w:t>allow</w:t>
      </w:r>
      <w:r w:rsidRPr="006855F0">
        <w:t xml:space="preserve"> morphological structuring of settlements</w:t>
      </w:r>
      <w:r w:rsidR="00881412">
        <w:t xml:space="preserve"> and</w:t>
      </w:r>
      <w:r>
        <w:t xml:space="preserve"> based on </w:t>
      </w:r>
      <w:r w:rsidRPr="006855F0">
        <w:t>it is possible to establish the relationship between area altitude and settling, as well as the extent to which the morphometric of the terrain is a driving factor of population distribution</w:t>
      </w:r>
      <w:r>
        <w:t>.</w:t>
      </w:r>
    </w:p>
    <w:p w:rsidR="0043442D" w:rsidRDefault="0043442D" w:rsidP="00C43AA7">
      <w:pPr>
        <w:spacing w:after="240"/>
        <w:jc w:val="both"/>
        <w:rPr>
          <w:b/>
        </w:rPr>
      </w:pPr>
    </w:p>
    <w:p w:rsidR="00C43AA7" w:rsidRPr="00FB47B2" w:rsidRDefault="00C43AA7" w:rsidP="00C43AA7">
      <w:pPr>
        <w:spacing w:after="240"/>
        <w:jc w:val="both"/>
        <w:rPr>
          <w:b/>
        </w:rPr>
      </w:pPr>
      <w:r w:rsidRPr="00FB47B2">
        <w:rPr>
          <w:b/>
        </w:rPr>
        <w:t xml:space="preserve">Source data for </w:t>
      </w:r>
      <w:r w:rsidR="00C96498">
        <w:rPr>
          <w:b/>
        </w:rPr>
        <w:t>I</w:t>
      </w:r>
      <w:r w:rsidRPr="00FB47B2">
        <w:rPr>
          <w:b/>
        </w:rPr>
        <w:t>ndicator calculation</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C43AA7" w:rsidTr="0043442D">
        <w:tc>
          <w:tcPr>
            <w:tcW w:w="2490" w:type="dxa"/>
            <w:shd w:val="clear" w:color="auto" w:fill="9BBB59" w:themeFill="accent3"/>
            <w:tcMar>
              <w:top w:w="100" w:type="dxa"/>
              <w:left w:w="100" w:type="dxa"/>
              <w:bottom w:w="100" w:type="dxa"/>
              <w:right w:w="100" w:type="dxa"/>
            </w:tcMar>
          </w:tcPr>
          <w:p w:rsidR="00C43AA7" w:rsidRDefault="00C43AA7" w:rsidP="006E7206">
            <w:pPr>
              <w:widowControl w:val="0"/>
              <w:pBdr>
                <w:top w:val="nil"/>
                <w:left w:val="nil"/>
                <w:bottom w:val="nil"/>
                <w:right w:val="nil"/>
                <w:between w:val="nil"/>
              </w:pBdr>
              <w:spacing w:line="240" w:lineRule="auto"/>
              <w:jc w:val="center"/>
              <w:rPr>
                <w:b/>
              </w:rPr>
            </w:pPr>
            <w:r>
              <w:rPr>
                <w:b/>
              </w:rPr>
              <w:t>Type of data</w:t>
            </w:r>
          </w:p>
        </w:tc>
        <w:tc>
          <w:tcPr>
            <w:tcW w:w="6510" w:type="dxa"/>
            <w:shd w:val="clear" w:color="auto" w:fill="9BBB59" w:themeFill="accent3"/>
            <w:tcMar>
              <w:top w:w="100" w:type="dxa"/>
              <w:left w:w="100" w:type="dxa"/>
              <w:bottom w:w="100" w:type="dxa"/>
              <w:right w:w="100" w:type="dxa"/>
            </w:tcMar>
          </w:tcPr>
          <w:p w:rsidR="00C43AA7" w:rsidRDefault="00C43AA7" w:rsidP="006E7206">
            <w:pPr>
              <w:widowControl w:val="0"/>
              <w:pBdr>
                <w:top w:val="nil"/>
                <w:left w:val="nil"/>
                <w:bottom w:val="nil"/>
                <w:right w:val="nil"/>
                <w:between w:val="nil"/>
              </w:pBdr>
              <w:spacing w:line="240" w:lineRule="auto"/>
              <w:jc w:val="center"/>
              <w:rPr>
                <w:b/>
              </w:rPr>
            </w:pPr>
            <w:r>
              <w:rPr>
                <w:b/>
              </w:rPr>
              <w:t>Source</w:t>
            </w:r>
          </w:p>
        </w:tc>
      </w:tr>
      <w:tr w:rsidR="00C43AA7" w:rsidTr="001E01E4">
        <w:trPr>
          <w:trHeight w:val="850"/>
        </w:trPr>
        <w:tc>
          <w:tcPr>
            <w:tcW w:w="2490" w:type="dxa"/>
            <w:shd w:val="clear" w:color="auto" w:fill="auto"/>
            <w:tcMar>
              <w:top w:w="100" w:type="dxa"/>
              <w:left w:w="100" w:type="dxa"/>
              <w:bottom w:w="100" w:type="dxa"/>
              <w:right w:w="100" w:type="dxa"/>
            </w:tcMar>
            <w:vAlign w:val="center"/>
          </w:tcPr>
          <w:p w:rsidR="00C43AA7" w:rsidRDefault="00C43AA7" w:rsidP="006E7206">
            <w:pPr>
              <w:widowControl w:val="0"/>
              <w:pBdr>
                <w:top w:val="nil"/>
                <w:left w:val="nil"/>
                <w:bottom w:val="nil"/>
                <w:right w:val="nil"/>
                <w:between w:val="nil"/>
              </w:pBdr>
              <w:spacing w:line="240" w:lineRule="auto"/>
            </w:pPr>
            <w:r>
              <w:t>Elevation data</w:t>
            </w:r>
          </w:p>
        </w:tc>
        <w:tc>
          <w:tcPr>
            <w:tcW w:w="6510" w:type="dxa"/>
            <w:shd w:val="clear" w:color="auto" w:fill="auto"/>
            <w:tcMar>
              <w:top w:w="100" w:type="dxa"/>
              <w:left w:w="100" w:type="dxa"/>
              <w:bottom w:w="100" w:type="dxa"/>
              <w:right w:w="100" w:type="dxa"/>
            </w:tcMar>
            <w:vAlign w:val="center"/>
          </w:tcPr>
          <w:p w:rsidR="00C43AA7" w:rsidRDefault="00DB1068" w:rsidP="006E7206">
            <w:pPr>
              <w:spacing w:line="240" w:lineRule="auto"/>
              <w:rPr>
                <w:b/>
              </w:rPr>
            </w:pPr>
            <w:hyperlink r:id="rId8" w:history="1">
              <w:r w:rsidR="00C43AA7" w:rsidRPr="00907D5B">
                <w:rPr>
                  <w:rStyle w:val="Hyperlink"/>
                </w:rPr>
                <w:t>European Digital Elevation Model (EU-DEM) version 1.1 [European Environment Agency, 2016]</w:t>
              </w:r>
            </w:hyperlink>
          </w:p>
        </w:tc>
      </w:tr>
      <w:tr w:rsidR="00C43AA7" w:rsidTr="001E01E4">
        <w:trPr>
          <w:trHeight w:val="850"/>
        </w:trPr>
        <w:tc>
          <w:tcPr>
            <w:tcW w:w="2490" w:type="dxa"/>
            <w:shd w:val="clear" w:color="auto" w:fill="auto"/>
            <w:tcMar>
              <w:top w:w="100" w:type="dxa"/>
              <w:left w:w="100" w:type="dxa"/>
              <w:bottom w:w="100" w:type="dxa"/>
              <w:right w:w="100" w:type="dxa"/>
            </w:tcMar>
            <w:vAlign w:val="center"/>
          </w:tcPr>
          <w:p w:rsidR="00C43AA7" w:rsidRDefault="00C43AA7" w:rsidP="006E7206">
            <w:pPr>
              <w:widowControl w:val="0"/>
              <w:pBdr>
                <w:top w:val="nil"/>
                <w:left w:val="nil"/>
                <w:bottom w:val="nil"/>
                <w:right w:val="nil"/>
                <w:between w:val="nil"/>
              </w:pBdr>
              <w:spacing w:line="240" w:lineRule="auto"/>
            </w:pPr>
            <w:r>
              <w:t>Administrative units*</w:t>
            </w:r>
          </w:p>
        </w:tc>
        <w:tc>
          <w:tcPr>
            <w:tcW w:w="6510" w:type="dxa"/>
            <w:shd w:val="clear" w:color="auto" w:fill="auto"/>
            <w:tcMar>
              <w:top w:w="100" w:type="dxa"/>
              <w:left w:w="100" w:type="dxa"/>
              <w:bottom w:w="100" w:type="dxa"/>
              <w:right w:w="100" w:type="dxa"/>
            </w:tcMar>
            <w:vAlign w:val="center"/>
          </w:tcPr>
          <w:p w:rsidR="00C43AA7" w:rsidRDefault="00DB1068" w:rsidP="006E7206">
            <w:pPr>
              <w:spacing w:line="240" w:lineRule="auto"/>
              <w:rPr>
                <w:b/>
              </w:rPr>
            </w:pPr>
            <w:hyperlink r:id="rId9" w:history="1">
              <w:r w:rsidR="00C43AA7" w:rsidRPr="00907D5B">
                <w:rPr>
                  <w:rStyle w:val="Hyperlink"/>
                </w:rPr>
                <w:t>GeoSrbija [Open data of the National Data Infrastructure, Republic Geodetic Authority, n.d.]</w:t>
              </w:r>
            </w:hyperlink>
          </w:p>
        </w:tc>
      </w:tr>
    </w:tbl>
    <w:p w:rsidR="00C43AA7" w:rsidRDefault="00C43AA7" w:rsidP="005B78DB">
      <w:pPr>
        <w:spacing w:before="240" w:after="240"/>
        <w:jc w:val="both"/>
      </w:pPr>
      <w:r>
        <w:t xml:space="preserve">* </w:t>
      </w:r>
      <w:r w:rsidR="00881412">
        <w:t xml:space="preserve"> </w:t>
      </w:r>
      <w:r w:rsidR="00712212">
        <w:t>GeoSrbija</w:t>
      </w:r>
      <w:r w:rsidR="00F01A08" w:rsidRPr="00676529">
        <w:t xml:space="preserve"> (Open Data of the National Data Infrastructure, Republic Geodetic Authority, n.d.) from which the administrative settlements boundaries were taken have no data for the province Kosovo and Metohija. Accordingly, these administrative units were not included in the analysis.</w:t>
      </w:r>
    </w:p>
    <w:p w:rsidR="00C43AA7" w:rsidRDefault="00C43AA7">
      <w:bookmarkStart w:id="0" w:name="_GoBack"/>
      <w:bookmarkEnd w:id="0"/>
    </w:p>
    <w:sectPr w:rsidR="00C43AA7">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068" w:rsidRDefault="00DB1068" w:rsidP="005E6F6D">
      <w:pPr>
        <w:spacing w:line="240" w:lineRule="auto"/>
      </w:pPr>
      <w:r>
        <w:separator/>
      </w:r>
    </w:p>
  </w:endnote>
  <w:endnote w:type="continuationSeparator" w:id="0">
    <w:p w:rsidR="00DB1068" w:rsidRDefault="00DB1068" w:rsidP="005E6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color w:val="996633"/>
        <w:sz w:val="16"/>
        <w:szCs w:val="16"/>
      </w:rPr>
      <w:id w:val="-1545660929"/>
      <w:docPartObj>
        <w:docPartGallery w:val="Page Numbers (Bottom of Page)"/>
        <w:docPartUnique/>
      </w:docPartObj>
    </w:sdtPr>
    <w:sdtEndPr>
      <w:rPr>
        <w:noProof/>
      </w:rPr>
    </w:sdtEndPr>
    <w:sdtContent>
      <w:p w:rsidR="005E6F6D" w:rsidRPr="0043442D" w:rsidRDefault="005E6F6D" w:rsidP="0043442D">
        <w:pPr>
          <w:pStyle w:val="Footer"/>
          <w:jc w:val="center"/>
          <w:rPr>
            <w:b/>
            <w:color w:val="996633"/>
            <w:sz w:val="16"/>
            <w:szCs w:val="16"/>
          </w:rPr>
        </w:pPr>
        <w:r w:rsidRPr="0043442D">
          <w:rPr>
            <w:b/>
            <w:color w:val="996633"/>
            <w:sz w:val="16"/>
            <w:szCs w:val="16"/>
          </w:rPr>
          <w:fldChar w:fldCharType="begin"/>
        </w:r>
        <w:r w:rsidRPr="0043442D">
          <w:rPr>
            <w:b/>
            <w:color w:val="996633"/>
            <w:sz w:val="16"/>
            <w:szCs w:val="16"/>
          </w:rPr>
          <w:instrText xml:space="preserve"> PAGE   \* MERGEFORMAT </w:instrText>
        </w:r>
        <w:r w:rsidRPr="0043442D">
          <w:rPr>
            <w:b/>
            <w:color w:val="996633"/>
            <w:sz w:val="16"/>
            <w:szCs w:val="16"/>
          </w:rPr>
          <w:fldChar w:fldCharType="separate"/>
        </w:r>
        <w:r w:rsidR="00DB1068">
          <w:rPr>
            <w:b/>
            <w:noProof/>
            <w:color w:val="996633"/>
            <w:sz w:val="16"/>
            <w:szCs w:val="16"/>
          </w:rPr>
          <w:t>1</w:t>
        </w:r>
        <w:r w:rsidRPr="0043442D">
          <w:rPr>
            <w:b/>
            <w:noProof/>
            <w:color w:val="996633"/>
            <w:sz w:val="16"/>
            <w:szCs w:val="16"/>
          </w:rPr>
          <w:fldChar w:fldCharType="end"/>
        </w:r>
        <w:r w:rsidR="00A902CD" w:rsidRPr="0043442D">
          <w:rPr>
            <w:b/>
            <w:noProof/>
            <w:color w:val="996633"/>
            <w:sz w:val="16"/>
            <w:szCs w:val="16"/>
          </w:rPr>
          <w:t xml:space="preserve"> of 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068" w:rsidRDefault="00DB1068" w:rsidP="005E6F6D">
      <w:pPr>
        <w:spacing w:line="240" w:lineRule="auto"/>
      </w:pPr>
      <w:r>
        <w:separator/>
      </w:r>
    </w:p>
  </w:footnote>
  <w:footnote w:type="continuationSeparator" w:id="0">
    <w:p w:rsidR="00DB1068" w:rsidRDefault="00DB1068" w:rsidP="005E6F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42D" w:rsidRPr="0043442D" w:rsidRDefault="0043442D" w:rsidP="0043442D">
    <w:pPr>
      <w:pStyle w:val="Header"/>
      <w:jc w:val="center"/>
      <w:rPr>
        <w:b/>
        <w:color w:val="996633"/>
        <w:spacing w:val="-2"/>
        <w:sz w:val="14"/>
        <w:szCs w:val="14"/>
      </w:rPr>
    </w:pPr>
    <w:r w:rsidRPr="0043442D">
      <w:rPr>
        <w:b/>
        <w:color w:val="996633"/>
        <w:spacing w:val="-2"/>
        <w:sz w:val="12"/>
        <w:szCs w:val="12"/>
      </w:rPr>
      <w:br/>
    </w:r>
    <w:r w:rsidRPr="0043442D">
      <w:rPr>
        <w:b/>
        <w:noProof/>
        <w:color w:val="365F91" w:themeColor="accent1" w:themeShade="BF"/>
        <w:spacing w:val="-2"/>
        <w:sz w:val="14"/>
        <w:szCs w:val="14"/>
        <w:lang w:val="en-US"/>
      </w:rPr>
      <mc:AlternateContent>
        <mc:Choice Requires="wps">
          <w:drawing>
            <wp:anchor distT="0" distB="0" distL="114300" distR="114300" simplePos="0" relativeHeight="251664384" behindDoc="0" locked="0" layoutInCell="1" allowOverlap="1" wp14:anchorId="0384805E" wp14:editId="0D3D3F23">
              <wp:simplePos x="0" y="0"/>
              <wp:positionH relativeFrom="column">
                <wp:posOffset>5432425</wp:posOffset>
              </wp:positionH>
              <wp:positionV relativeFrom="paragraph">
                <wp:posOffset>0</wp:posOffset>
              </wp:positionV>
              <wp:extent cx="297815" cy="257175"/>
              <wp:effectExtent l="0" t="0" r="6985" b="9525"/>
              <wp:wrapNone/>
              <wp:docPr id="11" name="Hexagon 11"/>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26" type="#_x0000_t9" style="position:absolute;margin-left:427.75pt;margin-top:0;width:23.4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" adj="4663" fillcolor="#9bbb59 [3206]"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3360" behindDoc="0" locked="0" layoutInCell="1" allowOverlap="1" wp14:anchorId="01ABE2E8" wp14:editId="3A2C92CF">
              <wp:simplePos x="0" y="0"/>
              <wp:positionH relativeFrom="column">
                <wp:posOffset>5180965</wp:posOffset>
              </wp:positionH>
              <wp:positionV relativeFrom="paragraph">
                <wp:posOffset>155575</wp:posOffset>
              </wp:positionV>
              <wp:extent cx="297815" cy="257175"/>
              <wp:effectExtent l="0" t="0" r="6985" b="9525"/>
              <wp:wrapNone/>
              <wp:docPr id="10" name="Hexagon 10"/>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10" o:spid="_x0000_s1026" type="#_x0000_t9" style="position:absolute;margin-left:407.95pt;margin-top:12.25pt;width:23.4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" adj="4663" fillcolor="#963"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2336" behindDoc="0" locked="0" layoutInCell="1" allowOverlap="1" wp14:anchorId="5B08CF57" wp14:editId="7C0719AA">
              <wp:simplePos x="0" y="0"/>
              <wp:positionH relativeFrom="column">
                <wp:posOffset>4929812</wp:posOffset>
              </wp:positionH>
              <wp:positionV relativeFrom="paragraph">
                <wp:posOffset>187</wp:posOffset>
              </wp:positionV>
              <wp:extent cx="297815" cy="257175"/>
              <wp:effectExtent l="0" t="0" r="6985" b="9525"/>
              <wp:wrapNone/>
              <wp:docPr id="9" name="Hexagon 9"/>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9" o:spid="_x0000_s1026" type="#_x0000_t9" style="position:absolute;margin-left:388.15pt;margin-top:0;width:23.4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" adj="4663" fillcolor="#9bbb59 [3206]"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0288" behindDoc="0" locked="0" layoutInCell="1" allowOverlap="1" wp14:anchorId="37707F87" wp14:editId="71D91FC1">
              <wp:simplePos x="0" y="0"/>
              <wp:positionH relativeFrom="column">
                <wp:posOffset>256233</wp:posOffset>
              </wp:positionH>
              <wp:positionV relativeFrom="paragraph">
                <wp:posOffset>163369</wp:posOffset>
              </wp:positionV>
              <wp:extent cx="297815" cy="257175"/>
              <wp:effectExtent l="0" t="0" r="6985" b="9525"/>
              <wp:wrapNone/>
              <wp:docPr id="4" name="Hexagon 4"/>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4" o:spid="_x0000_s1026" type="#_x0000_t9" style="position:absolute;margin-left:20.2pt;margin-top:12.85pt;width:23.4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" adj="4663" fillcolor="#9bbb59 [3206]" stroked="f" strokeweight="2pt"/>
          </w:pict>
        </mc:Fallback>
      </mc:AlternateContent>
    </w:r>
    <w:r w:rsidRPr="0043442D">
      <w:rPr>
        <w:b/>
        <w:noProof/>
        <w:color w:val="996633"/>
        <w:spacing w:val="-2"/>
        <w:sz w:val="14"/>
        <w:szCs w:val="14"/>
        <w:lang w:val="en-US"/>
      </w:rPr>
      <mc:AlternateContent>
        <mc:Choice Requires="wps">
          <w:drawing>
            <wp:anchor distT="0" distB="0" distL="114300" distR="114300" simplePos="0" relativeHeight="251659264" behindDoc="0" locked="0" layoutInCell="1" allowOverlap="1" wp14:anchorId="31A4146B" wp14:editId="7EB01686">
              <wp:simplePos x="0" y="0"/>
              <wp:positionH relativeFrom="column">
                <wp:posOffset>4445</wp:posOffset>
              </wp:positionH>
              <wp:positionV relativeFrom="paragraph">
                <wp:posOffset>7620</wp:posOffset>
              </wp:positionV>
              <wp:extent cx="297815" cy="257175"/>
              <wp:effectExtent l="0" t="0" r="6985" b="9525"/>
              <wp:wrapNone/>
              <wp:docPr id="2" name="Hexagon 2"/>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2" o:spid="_x0000_s1026" type="#_x0000_t9" style="position:absolute;margin-left:.35pt;margin-top:.6pt;width:23.4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" adj="4663" fillcolor="#963"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1312" behindDoc="0" locked="0" layoutInCell="1" allowOverlap="1" wp14:anchorId="445D01B9" wp14:editId="3F17F764">
              <wp:simplePos x="0" y="0"/>
              <wp:positionH relativeFrom="column">
                <wp:posOffset>507365</wp:posOffset>
              </wp:positionH>
              <wp:positionV relativeFrom="paragraph">
                <wp:posOffset>7620</wp:posOffset>
              </wp:positionV>
              <wp:extent cx="297815" cy="257175"/>
              <wp:effectExtent l="0" t="0" r="6985" b="9525"/>
              <wp:wrapNone/>
              <wp:docPr id="6" name="Hexagon 6"/>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6" o:spid="_x0000_s1026" type="#_x0000_t9" style="position:absolute;margin-left:39.95pt;margin-top:.6pt;width:23.4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" adj="4663" fillcolor="#963" stroked="f" strokeweight="2pt"/>
          </w:pict>
        </mc:Fallback>
      </mc:AlternateContent>
    </w:r>
    <w:r w:rsidRPr="0043442D">
      <w:rPr>
        <w:b/>
        <w:color w:val="996633"/>
        <w:spacing w:val="-2"/>
        <w:sz w:val="14"/>
        <w:szCs w:val="14"/>
      </w:rPr>
      <w:t>REMOTE DETECTION OF (DE)POPULATION PROCESSES—PRODUCT DOCUMENTATION</w:t>
    </w:r>
  </w:p>
  <w:p w:rsidR="0043442D" w:rsidRPr="0043442D" w:rsidRDefault="0043442D" w:rsidP="0043442D">
    <w:pPr>
      <w:pStyle w:val="Header"/>
      <w:jc w:val="center"/>
      <w:rPr>
        <w:spacing w:val="-2"/>
        <w:sz w:val="14"/>
        <w:szCs w:val="14"/>
      </w:rPr>
    </w:pPr>
    <w:r w:rsidRPr="0043442D">
      <w:rPr>
        <w:b/>
        <w:color w:val="996633"/>
        <w:spacing w:val="-2"/>
        <w:sz w:val="14"/>
        <w:szCs w:val="14"/>
      </w:rPr>
      <w:t xml:space="preserve">INDICATOR 6: </w:t>
    </w:r>
    <w:r w:rsidRPr="0043442D">
      <w:rPr>
        <w:b/>
        <w:i/>
        <w:color w:val="996633"/>
        <w:spacing w:val="-2"/>
        <w:sz w:val="14"/>
        <w:szCs w:val="14"/>
      </w:rPr>
      <w:t>Hypsometric Structure (Altitudinal Zonality) of municipalities and settlements</w:t>
    </w:r>
  </w:p>
  <w:p w:rsidR="0043442D" w:rsidRDefault="0043442D" w:rsidP="0043442D">
    <w:pPr>
      <w:pStyle w:val="Header"/>
      <w:tabs>
        <w:tab w:val="clear" w:pos="4680"/>
        <w:tab w:val="clear" w:pos="9360"/>
        <w:tab w:val="left" w:pos="3555"/>
      </w:tabs>
      <w:rPr>
        <w:sz w:val="14"/>
        <w:szCs w:val="14"/>
      </w:rPr>
    </w:pPr>
  </w:p>
  <w:p w:rsidR="0043442D" w:rsidRDefault="0043442D" w:rsidP="0043442D">
    <w:pPr>
      <w:pStyle w:val="Header"/>
      <w:tabs>
        <w:tab w:val="clear" w:pos="4680"/>
        <w:tab w:val="clear" w:pos="9360"/>
        <w:tab w:val="left" w:pos="6240"/>
      </w:tabs>
    </w:pPr>
  </w:p>
  <w:p w:rsidR="0043442D" w:rsidRDefault="0043442D" w:rsidP="0043442D">
    <w:pPr>
      <w:pStyle w:val="Header"/>
      <w:tabs>
        <w:tab w:val="clear" w:pos="4680"/>
        <w:tab w:val="clear" w:pos="9360"/>
        <w:tab w:val="left" w:pos="2025"/>
      </w:tabs>
    </w:pPr>
  </w:p>
  <w:p w:rsidR="0043442D" w:rsidRDefault="0043442D" w:rsidP="0043442D">
    <w:pPr>
      <w:pStyle w:val="Header"/>
      <w:tabs>
        <w:tab w:val="clear" w:pos="4680"/>
        <w:tab w:val="clear" w:pos="9360"/>
        <w:tab w:val="left" w:pos="202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9115A"/>
    <w:multiLevelType w:val="hybridMultilevel"/>
    <w:tmpl w:val="139EEA20"/>
    <w:lvl w:ilvl="0" w:tplc="697C3774">
      <w:start w:val="1"/>
      <w:numFmt w:val="bullet"/>
      <w:lvlText w:val=""/>
      <w:lvlJc w:val="left"/>
      <w:pPr>
        <w:ind w:left="643" w:hanging="360"/>
      </w:pPr>
      <w:rPr>
        <w:rFonts w:ascii="Wingdings" w:hAnsi="Wingdings" w:hint="default"/>
        <w:color w:val="9BBB59" w:themeColor="accent3"/>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nsid w:val="7B6E7BF8"/>
    <w:multiLevelType w:val="multilevel"/>
    <w:tmpl w:val="7A408B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2A2A9F"/>
    <w:rsid w:val="002A2A9F"/>
    <w:rsid w:val="003A5F8D"/>
    <w:rsid w:val="003C2280"/>
    <w:rsid w:val="0043442D"/>
    <w:rsid w:val="005B78DB"/>
    <w:rsid w:val="005E6F6D"/>
    <w:rsid w:val="00615C80"/>
    <w:rsid w:val="00621A21"/>
    <w:rsid w:val="006E7206"/>
    <w:rsid w:val="00712212"/>
    <w:rsid w:val="00736166"/>
    <w:rsid w:val="00881412"/>
    <w:rsid w:val="00907D5B"/>
    <w:rsid w:val="00A902CD"/>
    <w:rsid w:val="00C43AA7"/>
    <w:rsid w:val="00C96498"/>
    <w:rsid w:val="00DB1068"/>
    <w:rsid w:val="00F0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3AA7"/>
    <w:pPr>
      <w:ind w:left="720"/>
      <w:contextualSpacing/>
    </w:pPr>
  </w:style>
  <w:style w:type="character" w:styleId="Hyperlink">
    <w:name w:val="Hyperlink"/>
    <w:basedOn w:val="DefaultParagraphFont"/>
    <w:uiPriority w:val="99"/>
    <w:unhideWhenUsed/>
    <w:rsid w:val="00907D5B"/>
    <w:rPr>
      <w:color w:val="0000FF" w:themeColor="hyperlink"/>
      <w:u w:val="single"/>
    </w:rPr>
  </w:style>
  <w:style w:type="paragraph" w:styleId="Header">
    <w:name w:val="header"/>
    <w:basedOn w:val="Normal"/>
    <w:link w:val="HeaderChar"/>
    <w:uiPriority w:val="99"/>
    <w:unhideWhenUsed/>
    <w:rsid w:val="005E6F6D"/>
    <w:pPr>
      <w:tabs>
        <w:tab w:val="center" w:pos="4680"/>
        <w:tab w:val="right" w:pos="9360"/>
      </w:tabs>
      <w:spacing w:line="240" w:lineRule="auto"/>
    </w:pPr>
  </w:style>
  <w:style w:type="character" w:customStyle="1" w:styleId="HeaderChar">
    <w:name w:val="Header Char"/>
    <w:basedOn w:val="DefaultParagraphFont"/>
    <w:link w:val="Header"/>
    <w:uiPriority w:val="99"/>
    <w:rsid w:val="005E6F6D"/>
  </w:style>
  <w:style w:type="paragraph" w:styleId="Footer">
    <w:name w:val="footer"/>
    <w:basedOn w:val="Normal"/>
    <w:link w:val="FooterChar"/>
    <w:uiPriority w:val="99"/>
    <w:unhideWhenUsed/>
    <w:rsid w:val="005E6F6D"/>
    <w:pPr>
      <w:tabs>
        <w:tab w:val="center" w:pos="4680"/>
        <w:tab w:val="right" w:pos="9360"/>
      </w:tabs>
      <w:spacing w:line="240" w:lineRule="auto"/>
    </w:pPr>
  </w:style>
  <w:style w:type="character" w:customStyle="1" w:styleId="FooterChar">
    <w:name w:val="Footer Char"/>
    <w:basedOn w:val="DefaultParagraphFont"/>
    <w:link w:val="Footer"/>
    <w:uiPriority w:val="99"/>
    <w:rsid w:val="005E6F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3AA7"/>
    <w:pPr>
      <w:ind w:left="720"/>
      <w:contextualSpacing/>
    </w:pPr>
  </w:style>
  <w:style w:type="character" w:styleId="Hyperlink">
    <w:name w:val="Hyperlink"/>
    <w:basedOn w:val="DefaultParagraphFont"/>
    <w:uiPriority w:val="99"/>
    <w:unhideWhenUsed/>
    <w:rsid w:val="00907D5B"/>
    <w:rPr>
      <w:color w:val="0000FF" w:themeColor="hyperlink"/>
      <w:u w:val="single"/>
    </w:rPr>
  </w:style>
  <w:style w:type="paragraph" w:styleId="Header">
    <w:name w:val="header"/>
    <w:basedOn w:val="Normal"/>
    <w:link w:val="HeaderChar"/>
    <w:uiPriority w:val="99"/>
    <w:unhideWhenUsed/>
    <w:rsid w:val="005E6F6D"/>
    <w:pPr>
      <w:tabs>
        <w:tab w:val="center" w:pos="4680"/>
        <w:tab w:val="right" w:pos="9360"/>
      </w:tabs>
      <w:spacing w:line="240" w:lineRule="auto"/>
    </w:pPr>
  </w:style>
  <w:style w:type="character" w:customStyle="1" w:styleId="HeaderChar">
    <w:name w:val="Header Char"/>
    <w:basedOn w:val="DefaultParagraphFont"/>
    <w:link w:val="Header"/>
    <w:uiPriority w:val="99"/>
    <w:rsid w:val="005E6F6D"/>
  </w:style>
  <w:style w:type="paragraph" w:styleId="Footer">
    <w:name w:val="footer"/>
    <w:basedOn w:val="Normal"/>
    <w:link w:val="FooterChar"/>
    <w:uiPriority w:val="99"/>
    <w:unhideWhenUsed/>
    <w:rsid w:val="005E6F6D"/>
    <w:pPr>
      <w:tabs>
        <w:tab w:val="center" w:pos="4680"/>
        <w:tab w:val="right" w:pos="9360"/>
      </w:tabs>
      <w:spacing w:line="240" w:lineRule="auto"/>
    </w:pPr>
  </w:style>
  <w:style w:type="character" w:customStyle="1" w:styleId="FooterChar">
    <w:name w:val="Footer Char"/>
    <w:basedOn w:val="DefaultParagraphFont"/>
    <w:link w:val="Footer"/>
    <w:uiPriority w:val="99"/>
    <w:rsid w:val="005E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land.copernicus.eu/imagery-in-situ/eu-dem/eu-dem-v1.1/view"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eosrbija.rs/usluge/otvoreni-podaci-ni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Tech. ed.</cp:lastModifiedBy>
  <cp:revision>13</cp:revision>
  <cp:lastPrinted>2020-10-26T00:01:00Z</cp:lastPrinted>
  <dcterms:created xsi:type="dcterms:W3CDTF">2020-10-13T18:28:00Z</dcterms:created>
  <dcterms:modified xsi:type="dcterms:W3CDTF">2020-10-26T08:35:00Z</dcterms:modified>
</cp:coreProperties>
</file>