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06" w:rsidRDefault="0049170F">
      <w:pPr>
        <w:rPr>
          <w:b/>
        </w:rPr>
      </w:pPr>
      <w:r>
        <w:rPr>
          <w:b/>
        </w:rPr>
        <w:t xml:space="preserve">INDICATOR 7: </w:t>
      </w:r>
      <w:r w:rsidR="0014496D" w:rsidRPr="0014496D">
        <w:rPr>
          <w:b/>
        </w:rPr>
        <w:t>Spatial Lighting</w:t>
      </w:r>
    </w:p>
    <w:p w:rsidR="00892206" w:rsidRDefault="00892206"/>
    <w:p w:rsidR="009E60F8" w:rsidRPr="009E60F8" w:rsidRDefault="009E60F8">
      <w:pPr>
        <w:rPr>
          <w:b/>
        </w:rPr>
      </w:pPr>
    </w:p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t>File Name: LA_SOL_Settl</w:t>
      </w:r>
    </w:p>
    <w:p w:rsidR="00892206" w:rsidRDefault="0049170F" w:rsidP="009E60F8">
      <w:pPr>
        <w:pStyle w:val="ListParagraph"/>
        <w:numPr>
          <w:ilvl w:val="0"/>
          <w:numId w:val="2"/>
        </w:numPr>
      </w:pPr>
      <w:r>
        <w:t>Coordinate Reference Systems: WGS 84 / UTM zone 34N (EPSG:32634)</w:t>
      </w:r>
    </w:p>
    <w:p w:rsidR="00892206" w:rsidRDefault="00892206">
      <w:pPr>
        <w:ind w:left="283"/>
      </w:pPr>
    </w:p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t>File Name: LA_SOL_Mun</w:t>
      </w:r>
    </w:p>
    <w:p w:rsidR="00892206" w:rsidRDefault="0049170F" w:rsidP="009E60F8">
      <w:pPr>
        <w:pStyle w:val="ListParagraph"/>
        <w:numPr>
          <w:ilvl w:val="0"/>
          <w:numId w:val="2"/>
        </w:numPr>
      </w:pPr>
      <w:r>
        <w:t>Coordinate Reference Systems: WGS 84 / UTM zone 34N (EPSG:32634)</w:t>
      </w:r>
    </w:p>
    <w:p w:rsidR="00892206" w:rsidRDefault="00892206"/>
    <w:p w:rsidR="0061025F" w:rsidRDefault="0061025F"/>
    <w:tbl>
      <w:tblPr>
        <w:tblStyle w:val="a"/>
        <w:tblW w:w="9027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2"/>
        <w:gridCol w:w="3599"/>
        <w:gridCol w:w="3666"/>
      </w:tblGrid>
      <w:tr w:rsidR="00892206" w:rsidTr="0061025F">
        <w:trPr>
          <w:trHeight w:val="149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206" w:rsidRPr="00F15287" w:rsidRDefault="0049170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F15287">
              <w:rPr>
                <w:b/>
                <w:sz w:val="20"/>
                <w:szCs w:val="20"/>
              </w:rPr>
              <w:t>Attribute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206" w:rsidRPr="00F15287" w:rsidRDefault="0049170F">
            <w:pPr>
              <w:widowControl w:val="0"/>
              <w:ind w:right="-49"/>
              <w:jc w:val="center"/>
              <w:rPr>
                <w:b/>
                <w:sz w:val="20"/>
                <w:szCs w:val="20"/>
              </w:rPr>
            </w:pPr>
            <w:r w:rsidRPr="00F15287">
              <w:rPr>
                <w:b/>
                <w:sz w:val="20"/>
                <w:szCs w:val="20"/>
              </w:rPr>
              <w:t xml:space="preserve"> Alias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2206" w:rsidRPr="00F15287" w:rsidRDefault="0049170F">
            <w:pPr>
              <w:widowControl w:val="0"/>
              <w:ind w:right="-49"/>
              <w:jc w:val="center"/>
              <w:rPr>
                <w:b/>
                <w:sz w:val="20"/>
                <w:szCs w:val="20"/>
              </w:rPr>
            </w:pPr>
            <w:r w:rsidRPr="00F15287">
              <w:rPr>
                <w:b/>
                <w:sz w:val="20"/>
                <w:szCs w:val="20"/>
              </w:rPr>
              <w:t>Pseudonim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MatBrO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Municipality identification number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Matični broj opštine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MatBrNas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Settlement identification number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Matični broj naselja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ImeNasCir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Name of the settlement in Cyrillic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 naselja (ćirilica)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ImeNasLat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Name of the settlement in Latin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 naselja (latinica)</w:t>
            </w:r>
          </w:p>
        </w:tc>
      </w:tr>
      <w:tr w:rsidR="00892206" w:rsidTr="0061025F">
        <w:trPr>
          <w:trHeight w:val="4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ImeOpsCir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Name of the municipality in Cyrillic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 opštine (ćirilica)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ImeOpsLat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Name of the municipality in Latin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Ime opštine (latinica)</w:t>
            </w:r>
          </w:p>
        </w:tc>
      </w:tr>
      <w:tr w:rsidR="00892206" w:rsidTr="0061025F">
        <w:trPr>
          <w:trHeight w:val="257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P_LA_15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 xml:space="preserve">Share of lighted area 2015 (%) in </w:t>
            </w:r>
            <w:r w:rsidR="00F15287" w:rsidRPr="00F15287">
              <w:rPr>
                <w:sz w:val="20"/>
                <w:szCs w:val="20"/>
              </w:rPr>
              <w:t xml:space="preserve">total area of </w:t>
            </w:r>
            <w:r w:rsidRPr="00F15287">
              <w:rPr>
                <w:sz w:val="20"/>
                <w:szCs w:val="20"/>
              </w:rPr>
              <w:t>settlement/municipality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 xml:space="preserve">Učešće osvetljene površine 2015 (%) u </w:t>
            </w:r>
            <w:r w:rsidR="00F15287" w:rsidRPr="00F15287">
              <w:rPr>
                <w:sz w:val="20"/>
                <w:szCs w:val="20"/>
              </w:rPr>
              <w:t xml:space="preserve">ukupnoj površini </w:t>
            </w:r>
            <w:r w:rsidRPr="00F15287">
              <w:rPr>
                <w:sz w:val="20"/>
                <w:szCs w:val="20"/>
              </w:rPr>
              <w:t>naselj</w:t>
            </w:r>
            <w:r w:rsidR="00F15287" w:rsidRPr="00F15287">
              <w:rPr>
                <w:sz w:val="20"/>
                <w:szCs w:val="20"/>
              </w:rPr>
              <w:t>a</w:t>
            </w:r>
            <w:r w:rsidRPr="00F15287">
              <w:rPr>
                <w:sz w:val="20"/>
                <w:szCs w:val="20"/>
              </w:rPr>
              <w:t>/opštin</w:t>
            </w:r>
            <w:r w:rsidR="00F15287" w:rsidRPr="00F15287">
              <w:rPr>
                <w:sz w:val="20"/>
                <w:szCs w:val="20"/>
              </w:rPr>
              <w:t>e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P_LA_15-19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Share of lighted area 2015–2019 (%) in</w:t>
            </w:r>
            <w:r w:rsidR="00F15287" w:rsidRPr="00F15287">
              <w:rPr>
                <w:sz w:val="20"/>
                <w:szCs w:val="20"/>
              </w:rPr>
              <w:t xml:space="preserve"> total area of</w:t>
            </w:r>
            <w:r w:rsidRPr="00F15287">
              <w:rPr>
                <w:sz w:val="20"/>
                <w:szCs w:val="20"/>
              </w:rPr>
              <w:t xml:space="preserve"> settlement/municipality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 xml:space="preserve">Učešće osvetljene površine 2015–2019 (%) u </w:t>
            </w:r>
            <w:r w:rsidR="00F15287" w:rsidRPr="00F15287">
              <w:rPr>
                <w:sz w:val="20"/>
                <w:szCs w:val="20"/>
              </w:rPr>
              <w:t>ukupnoj površini naselja/opštine</w:t>
            </w:r>
          </w:p>
        </w:tc>
      </w:tr>
      <w:tr w:rsidR="00892206" w:rsidTr="0061025F">
        <w:trPr>
          <w:trHeight w:val="47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SOL_15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Sum of light 2015 (nW cm</w:t>
            </w:r>
            <w:r w:rsidRPr="00F15287">
              <w:rPr>
                <w:sz w:val="20"/>
                <w:szCs w:val="20"/>
                <w:vertAlign w:val="superscript"/>
              </w:rPr>
              <w:t>–2</w:t>
            </w:r>
            <w:r w:rsidRPr="00F15287">
              <w:rPr>
                <w:sz w:val="20"/>
                <w:szCs w:val="20"/>
              </w:rPr>
              <w:t xml:space="preserve"> sr</w:t>
            </w:r>
            <w:r w:rsidRPr="00F15287">
              <w:rPr>
                <w:sz w:val="20"/>
                <w:szCs w:val="20"/>
                <w:vertAlign w:val="superscript"/>
              </w:rPr>
              <w:t>–1</w:t>
            </w:r>
            <w:r w:rsidRPr="00F15287">
              <w:rPr>
                <w:sz w:val="20"/>
                <w:szCs w:val="20"/>
              </w:rPr>
              <w:t xml:space="preserve">) </w:t>
            </w:r>
            <w:r w:rsidR="00131E98">
              <w:rPr>
                <w:sz w:val="20"/>
                <w:szCs w:val="20"/>
              </w:rPr>
              <w:t>for</w:t>
            </w:r>
            <w:r w:rsidR="00F15287" w:rsidRPr="00F15287">
              <w:rPr>
                <w:sz w:val="20"/>
                <w:szCs w:val="20"/>
              </w:rPr>
              <w:t xml:space="preserve"> </w:t>
            </w:r>
            <w:r w:rsidRPr="00F15287">
              <w:rPr>
                <w:sz w:val="20"/>
                <w:szCs w:val="20"/>
              </w:rPr>
              <w:t>settlement/municipality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 xml:space="preserve">Suma </w:t>
            </w:r>
            <w:r w:rsidR="00131E98">
              <w:rPr>
                <w:sz w:val="20"/>
                <w:szCs w:val="20"/>
              </w:rPr>
              <w:t>radijanse</w:t>
            </w:r>
            <w:r w:rsidRPr="00F15287">
              <w:rPr>
                <w:sz w:val="20"/>
                <w:szCs w:val="20"/>
              </w:rPr>
              <w:t xml:space="preserve"> 2015 (nW cm</w:t>
            </w:r>
            <w:r w:rsidRPr="00F15287">
              <w:rPr>
                <w:sz w:val="20"/>
                <w:szCs w:val="20"/>
                <w:vertAlign w:val="superscript"/>
              </w:rPr>
              <w:t>–2</w:t>
            </w:r>
            <w:r w:rsidRPr="00F15287">
              <w:rPr>
                <w:sz w:val="20"/>
                <w:szCs w:val="20"/>
              </w:rPr>
              <w:t xml:space="preserve"> sr</w:t>
            </w:r>
            <w:r w:rsidRPr="00F15287">
              <w:rPr>
                <w:sz w:val="20"/>
                <w:szCs w:val="20"/>
                <w:vertAlign w:val="superscript"/>
              </w:rPr>
              <w:t>–1</w:t>
            </w:r>
            <w:r w:rsidRPr="00F15287">
              <w:rPr>
                <w:sz w:val="20"/>
                <w:szCs w:val="20"/>
              </w:rPr>
              <w:t xml:space="preserve">) </w:t>
            </w:r>
            <w:r w:rsidR="00131E98">
              <w:rPr>
                <w:sz w:val="20"/>
                <w:szCs w:val="20"/>
              </w:rPr>
              <w:t>za</w:t>
            </w:r>
            <w:r w:rsidRPr="00F15287">
              <w:rPr>
                <w:sz w:val="20"/>
                <w:szCs w:val="20"/>
              </w:rPr>
              <w:t xml:space="preserve"> </w:t>
            </w:r>
            <w:r w:rsidR="00F15287" w:rsidRPr="00F15287">
              <w:rPr>
                <w:sz w:val="20"/>
                <w:szCs w:val="20"/>
              </w:rPr>
              <w:t>naselj</w:t>
            </w:r>
            <w:r w:rsidR="00131E98">
              <w:rPr>
                <w:sz w:val="20"/>
                <w:szCs w:val="20"/>
              </w:rPr>
              <w:t>e</w:t>
            </w:r>
            <w:r w:rsidR="00F15287" w:rsidRPr="00F15287">
              <w:rPr>
                <w:sz w:val="20"/>
                <w:szCs w:val="20"/>
              </w:rPr>
              <w:t>/opštin</w:t>
            </w:r>
            <w:r w:rsidR="00131E98">
              <w:rPr>
                <w:sz w:val="20"/>
                <w:szCs w:val="20"/>
              </w:rPr>
              <w:t>u</w:t>
            </w:r>
          </w:p>
        </w:tc>
      </w:tr>
      <w:tr w:rsidR="00892206" w:rsidTr="0061025F">
        <w:trPr>
          <w:trHeight w:val="664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SOL_15-19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>Sum of light 2015–2019 (nW cm</w:t>
            </w:r>
            <w:r w:rsidRPr="00F15287">
              <w:rPr>
                <w:sz w:val="20"/>
                <w:szCs w:val="20"/>
                <w:vertAlign w:val="superscript"/>
              </w:rPr>
              <w:t>–2</w:t>
            </w:r>
            <w:r w:rsidRPr="00F15287">
              <w:rPr>
                <w:sz w:val="20"/>
                <w:szCs w:val="20"/>
              </w:rPr>
              <w:t xml:space="preserve"> sr</w:t>
            </w:r>
            <w:r w:rsidRPr="00F15287">
              <w:rPr>
                <w:sz w:val="20"/>
                <w:szCs w:val="20"/>
                <w:vertAlign w:val="superscript"/>
              </w:rPr>
              <w:t>–1</w:t>
            </w:r>
            <w:r w:rsidRPr="00F15287">
              <w:rPr>
                <w:sz w:val="20"/>
                <w:szCs w:val="20"/>
              </w:rPr>
              <w:t xml:space="preserve">) </w:t>
            </w:r>
            <w:r w:rsidR="00131E98">
              <w:rPr>
                <w:sz w:val="20"/>
                <w:szCs w:val="20"/>
              </w:rPr>
              <w:t>for</w:t>
            </w:r>
            <w:r w:rsidRPr="00F15287">
              <w:rPr>
                <w:sz w:val="20"/>
                <w:szCs w:val="20"/>
              </w:rPr>
              <w:t xml:space="preserve"> </w:t>
            </w:r>
            <w:r w:rsidR="00F15287">
              <w:rPr>
                <w:sz w:val="20"/>
                <w:szCs w:val="20"/>
              </w:rPr>
              <w:t>s</w:t>
            </w:r>
            <w:r w:rsidRPr="00F15287">
              <w:rPr>
                <w:sz w:val="20"/>
                <w:szCs w:val="20"/>
              </w:rPr>
              <w:t>ettlement/municipality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2206" w:rsidRPr="00F15287" w:rsidRDefault="0049170F" w:rsidP="009E60F8">
            <w:pPr>
              <w:widowControl w:val="0"/>
              <w:ind w:right="-49"/>
              <w:rPr>
                <w:sz w:val="20"/>
                <w:szCs w:val="20"/>
              </w:rPr>
            </w:pPr>
            <w:r w:rsidRPr="00F15287">
              <w:rPr>
                <w:sz w:val="20"/>
                <w:szCs w:val="20"/>
              </w:rPr>
              <w:t xml:space="preserve">Suma </w:t>
            </w:r>
            <w:r w:rsidR="00131E98">
              <w:rPr>
                <w:sz w:val="20"/>
                <w:szCs w:val="20"/>
              </w:rPr>
              <w:t xml:space="preserve">radijanse </w:t>
            </w:r>
            <w:r w:rsidRPr="00F15287">
              <w:rPr>
                <w:sz w:val="20"/>
                <w:szCs w:val="20"/>
              </w:rPr>
              <w:t>2015–2019 (nW cm</w:t>
            </w:r>
            <w:r w:rsidRPr="00F15287">
              <w:rPr>
                <w:sz w:val="20"/>
                <w:szCs w:val="20"/>
                <w:vertAlign w:val="superscript"/>
              </w:rPr>
              <w:t>–2</w:t>
            </w:r>
            <w:r w:rsidRPr="00F15287">
              <w:rPr>
                <w:sz w:val="20"/>
                <w:szCs w:val="20"/>
              </w:rPr>
              <w:t xml:space="preserve"> sr</w:t>
            </w:r>
            <w:r w:rsidRPr="00F15287">
              <w:rPr>
                <w:sz w:val="20"/>
                <w:szCs w:val="20"/>
                <w:vertAlign w:val="superscript"/>
              </w:rPr>
              <w:t>–1</w:t>
            </w:r>
            <w:r w:rsidRPr="00F15287">
              <w:rPr>
                <w:sz w:val="20"/>
                <w:szCs w:val="20"/>
              </w:rPr>
              <w:t xml:space="preserve">) </w:t>
            </w:r>
            <w:r w:rsidR="00131E98">
              <w:rPr>
                <w:sz w:val="20"/>
                <w:szCs w:val="20"/>
              </w:rPr>
              <w:t>za</w:t>
            </w:r>
            <w:r w:rsidRPr="00F15287">
              <w:rPr>
                <w:sz w:val="20"/>
                <w:szCs w:val="20"/>
              </w:rPr>
              <w:t xml:space="preserve"> </w:t>
            </w:r>
            <w:r w:rsidR="00F15287" w:rsidRPr="00F15287">
              <w:rPr>
                <w:sz w:val="20"/>
                <w:szCs w:val="20"/>
              </w:rPr>
              <w:t>naselj</w:t>
            </w:r>
            <w:r w:rsidR="00131E98">
              <w:rPr>
                <w:sz w:val="20"/>
                <w:szCs w:val="20"/>
              </w:rPr>
              <w:t>e</w:t>
            </w:r>
            <w:r w:rsidR="00F15287" w:rsidRPr="00F15287">
              <w:rPr>
                <w:sz w:val="20"/>
                <w:szCs w:val="20"/>
              </w:rPr>
              <w:t>/opštin</w:t>
            </w:r>
            <w:r w:rsidR="00131E98">
              <w:rPr>
                <w:sz w:val="20"/>
                <w:szCs w:val="20"/>
              </w:rPr>
              <w:t>u</w:t>
            </w:r>
          </w:p>
        </w:tc>
      </w:tr>
    </w:tbl>
    <w:p w:rsidR="00892206" w:rsidRDefault="00892206"/>
    <w:p w:rsidR="00131E98" w:rsidRDefault="00131E98" w:rsidP="009E60F8"/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t>File Name: Ngt_Lt_2015</w:t>
      </w:r>
    </w:p>
    <w:p w:rsidR="00892206" w:rsidRDefault="0049170F" w:rsidP="009E60F8">
      <w:pPr>
        <w:pStyle w:val="ListParagraph"/>
        <w:numPr>
          <w:ilvl w:val="0"/>
          <w:numId w:val="2"/>
        </w:numPr>
      </w:pPr>
      <w:r>
        <w:t>Coordinate Reference Systems: WGS 84 (EPSG:4326)</w:t>
      </w:r>
    </w:p>
    <w:p w:rsidR="00892206" w:rsidRDefault="0049170F" w:rsidP="009E60F8">
      <w:pPr>
        <w:pStyle w:val="ListParagraph"/>
        <w:numPr>
          <w:ilvl w:val="0"/>
          <w:numId w:val="2"/>
        </w:numPr>
      </w:pPr>
      <w:r>
        <w:t>Resolution: 0.00416667° × 0.00416667°</w:t>
      </w:r>
    </w:p>
    <w:p w:rsidR="00892206" w:rsidRDefault="0049170F" w:rsidP="009E60F8">
      <w:pPr>
        <w:pStyle w:val="ListParagraph"/>
        <w:numPr>
          <w:ilvl w:val="0"/>
          <w:numId w:val="2"/>
        </w:numPr>
      </w:pPr>
      <w:r>
        <w:t>Max: 213.7830657959</w:t>
      </w:r>
    </w:p>
    <w:p w:rsidR="009E60F8" w:rsidRPr="009E60F8" w:rsidRDefault="0049170F" w:rsidP="009E60F8">
      <w:pPr>
        <w:pStyle w:val="ListParagraph"/>
        <w:numPr>
          <w:ilvl w:val="0"/>
          <w:numId w:val="2"/>
        </w:numPr>
      </w:pPr>
      <w:r>
        <w:t xml:space="preserve">Min: </w:t>
      </w:r>
      <w:r w:rsidRPr="009E60F8">
        <w:rPr>
          <w:rFonts w:ascii="Cambria" w:eastAsia="Cambria" w:hAnsi="Cambria" w:cs="Cambria"/>
        </w:rPr>
        <w:t>0</w:t>
      </w:r>
    </w:p>
    <w:p w:rsidR="009E60F8" w:rsidRDefault="0049170F" w:rsidP="009E60F8">
      <w:pPr>
        <w:pStyle w:val="ListParagraph"/>
        <w:numPr>
          <w:ilvl w:val="0"/>
          <w:numId w:val="2"/>
        </w:numPr>
      </w:pPr>
      <w:r>
        <w:t>Units: nW cm</w:t>
      </w:r>
      <w:r w:rsidRPr="009E60F8">
        <w:rPr>
          <w:vertAlign w:val="superscript"/>
        </w:rPr>
        <w:t>–2</w:t>
      </w:r>
      <w:r>
        <w:t xml:space="preserve"> sr</w:t>
      </w:r>
      <w:r w:rsidRPr="009E60F8">
        <w:rPr>
          <w:vertAlign w:val="superscript"/>
        </w:rPr>
        <w:t>–1</w:t>
      </w:r>
    </w:p>
    <w:p w:rsidR="00131E98" w:rsidRPr="009E60F8" w:rsidRDefault="009E60F8" w:rsidP="009E60F8">
      <w:r>
        <w:br w:type="page"/>
      </w:r>
    </w:p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lastRenderedPageBreak/>
        <w:t>File Name: Ngt_Lt_2015-2019</w:t>
      </w:r>
    </w:p>
    <w:p w:rsidR="00892206" w:rsidRDefault="0049170F" w:rsidP="009E60F8">
      <w:pPr>
        <w:pStyle w:val="ListParagraph"/>
        <w:numPr>
          <w:ilvl w:val="0"/>
          <w:numId w:val="3"/>
        </w:numPr>
      </w:pPr>
      <w:r>
        <w:t>Coordinate Reference Systems: WGS 84 (EPSG:4326)</w:t>
      </w:r>
    </w:p>
    <w:p w:rsidR="00892206" w:rsidRDefault="0049170F" w:rsidP="009E60F8">
      <w:pPr>
        <w:pStyle w:val="ListParagraph"/>
        <w:numPr>
          <w:ilvl w:val="0"/>
          <w:numId w:val="3"/>
        </w:numPr>
      </w:pPr>
      <w:r>
        <w:t>Resolution: 0.00416667° × 0.00416667°</w:t>
      </w:r>
    </w:p>
    <w:p w:rsidR="00892206" w:rsidRDefault="0049170F" w:rsidP="009E60F8">
      <w:pPr>
        <w:pStyle w:val="ListParagraph"/>
        <w:numPr>
          <w:ilvl w:val="0"/>
          <w:numId w:val="3"/>
        </w:numPr>
      </w:pPr>
      <w:r>
        <w:t>Max: 236.82099914551</w:t>
      </w:r>
    </w:p>
    <w:p w:rsidR="00892206" w:rsidRDefault="0049170F" w:rsidP="009E60F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Min: 0.164186835289</w:t>
      </w:r>
    </w:p>
    <w:p w:rsidR="00892206" w:rsidRDefault="0049170F" w:rsidP="009E60F8">
      <w:pPr>
        <w:pStyle w:val="ListParagraph"/>
        <w:numPr>
          <w:ilvl w:val="0"/>
          <w:numId w:val="3"/>
        </w:numPr>
      </w:pPr>
      <w:r>
        <w:t>Units: nW cm</w:t>
      </w:r>
      <w:r w:rsidRPr="009E60F8">
        <w:rPr>
          <w:vertAlign w:val="superscript"/>
        </w:rPr>
        <w:t>–2</w:t>
      </w:r>
      <w:r>
        <w:t xml:space="preserve"> sr</w:t>
      </w:r>
      <w:r w:rsidRPr="009E60F8">
        <w:rPr>
          <w:vertAlign w:val="superscript"/>
        </w:rPr>
        <w:t>–1</w:t>
      </w:r>
    </w:p>
    <w:p w:rsidR="00892206" w:rsidRDefault="00892206">
      <w:pPr>
        <w:ind w:left="283"/>
      </w:pPr>
    </w:p>
    <w:p w:rsidR="00131E98" w:rsidRDefault="00131E98">
      <w:pPr>
        <w:ind w:left="283"/>
      </w:pPr>
    </w:p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t>LA_2015</w:t>
      </w:r>
    </w:p>
    <w:p w:rsidR="00892206" w:rsidRDefault="0049170F" w:rsidP="009E60F8">
      <w:pPr>
        <w:pStyle w:val="ListParagraph"/>
        <w:numPr>
          <w:ilvl w:val="0"/>
          <w:numId w:val="4"/>
        </w:numPr>
      </w:pPr>
      <w:r>
        <w:t>Coordinate Reference Systems: WGS 84 (EPSG:4326)</w:t>
      </w:r>
    </w:p>
    <w:p w:rsidR="00892206" w:rsidRDefault="0049170F" w:rsidP="009E60F8">
      <w:pPr>
        <w:pStyle w:val="ListParagraph"/>
        <w:numPr>
          <w:ilvl w:val="0"/>
          <w:numId w:val="4"/>
        </w:numPr>
      </w:pPr>
      <w:r>
        <w:t>Resolution: 0.00416667° × 0.00416667°</w:t>
      </w:r>
    </w:p>
    <w:p w:rsidR="00892206" w:rsidRDefault="0049170F" w:rsidP="009E60F8">
      <w:pPr>
        <w:pStyle w:val="ListParagraph"/>
        <w:numPr>
          <w:ilvl w:val="0"/>
          <w:numId w:val="4"/>
        </w:numPr>
      </w:pPr>
      <w:r>
        <w:t>Lighted area: 1</w:t>
      </w:r>
    </w:p>
    <w:p w:rsidR="009E60F8" w:rsidRDefault="0049170F" w:rsidP="009E60F8">
      <w:pPr>
        <w:pStyle w:val="ListParagraph"/>
        <w:numPr>
          <w:ilvl w:val="0"/>
          <w:numId w:val="4"/>
        </w:numPr>
      </w:pPr>
      <w:r>
        <w:t>No lighted area: 0</w:t>
      </w:r>
    </w:p>
    <w:p w:rsidR="00892206" w:rsidRPr="009E60F8" w:rsidRDefault="0049170F" w:rsidP="009E60F8">
      <w:pPr>
        <w:pStyle w:val="ListParagraph"/>
        <w:numPr>
          <w:ilvl w:val="0"/>
          <w:numId w:val="4"/>
        </w:numPr>
      </w:pPr>
      <w:r>
        <w:t xml:space="preserve">Threshold of </w:t>
      </w:r>
      <w:r w:rsidRPr="009E60F8">
        <w:rPr>
          <w:i/>
        </w:rPr>
        <w:t>Ngt_Lt_2015</w:t>
      </w:r>
      <w:r>
        <w:t>: 0 nW cm</w:t>
      </w:r>
      <w:r w:rsidRPr="009E60F8">
        <w:rPr>
          <w:vertAlign w:val="superscript"/>
        </w:rPr>
        <w:t>–2</w:t>
      </w:r>
      <w:r>
        <w:t xml:space="preserve"> sr</w:t>
      </w:r>
      <w:r w:rsidRPr="009E60F8">
        <w:rPr>
          <w:vertAlign w:val="superscript"/>
        </w:rPr>
        <w:t>–1</w:t>
      </w:r>
    </w:p>
    <w:p w:rsidR="00892206" w:rsidRDefault="00892206">
      <w:pPr>
        <w:ind w:left="283"/>
      </w:pPr>
    </w:p>
    <w:p w:rsidR="00131E98" w:rsidRDefault="00131E98">
      <w:pPr>
        <w:ind w:left="283"/>
      </w:pPr>
    </w:p>
    <w:p w:rsidR="00892206" w:rsidRPr="009E60F8" w:rsidRDefault="0049170F">
      <w:pPr>
        <w:numPr>
          <w:ilvl w:val="0"/>
          <w:numId w:val="1"/>
        </w:numPr>
        <w:rPr>
          <w:b/>
        </w:rPr>
      </w:pPr>
      <w:r w:rsidRPr="009E60F8">
        <w:rPr>
          <w:b/>
        </w:rPr>
        <w:t>LA_2015-2019</w:t>
      </w:r>
    </w:p>
    <w:p w:rsidR="00892206" w:rsidRDefault="0049170F" w:rsidP="009E60F8">
      <w:pPr>
        <w:pStyle w:val="ListParagraph"/>
        <w:numPr>
          <w:ilvl w:val="0"/>
          <w:numId w:val="5"/>
        </w:numPr>
      </w:pPr>
      <w:r>
        <w:t>Coordinate Reference Systems: WGS 84 (EPSG:4326)</w:t>
      </w:r>
    </w:p>
    <w:p w:rsidR="00892206" w:rsidRDefault="0049170F" w:rsidP="009E60F8">
      <w:pPr>
        <w:pStyle w:val="ListParagraph"/>
        <w:numPr>
          <w:ilvl w:val="0"/>
          <w:numId w:val="5"/>
        </w:numPr>
      </w:pPr>
      <w:r>
        <w:t>Resolution: 0.00416667° × 0.00416667°</w:t>
      </w:r>
    </w:p>
    <w:p w:rsidR="00892206" w:rsidRDefault="0049170F" w:rsidP="009E60F8">
      <w:pPr>
        <w:pStyle w:val="ListParagraph"/>
        <w:numPr>
          <w:ilvl w:val="0"/>
          <w:numId w:val="5"/>
        </w:numPr>
      </w:pPr>
      <w:r>
        <w:t>Lighted area: 1</w:t>
      </w:r>
    </w:p>
    <w:p w:rsidR="009E60F8" w:rsidRDefault="0049170F" w:rsidP="009E60F8">
      <w:pPr>
        <w:pStyle w:val="ListParagraph"/>
        <w:numPr>
          <w:ilvl w:val="0"/>
          <w:numId w:val="5"/>
        </w:numPr>
      </w:pPr>
      <w:r>
        <w:t>No lighted area: 0</w:t>
      </w:r>
    </w:p>
    <w:p w:rsidR="00892206" w:rsidRPr="009E60F8" w:rsidRDefault="0049170F" w:rsidP="009E60F8">
      <w:pPr>
        <w:pStyle w:val="ListParagraph"/>
        <w:numPr>
          <w:ilvl w:val="0"/>
          <w:numId w:val="5"/>
        </w:numPr>
      </w:pPr>
      <w:r>
        <w:t xml:space="preserve">Threshold of </w:t>
      </w:r>
      <w:r w:rsidRPr="009E60F8">
        <w:rPr>
          <w:i/>
        </w:rPr>
        <w:t>Ngt_Lt_2015-2019</w:t>
      </w:r>
      <w:r>
        <w:t>: 1 nW cm</w:t>
      </w:r>
      <w:r w:rsidRPr="009E60F8">
        <w:rPr>
          <w:vertAlign w:val="superscript"/>
        </w:rPr>
        <w:t>–2</w:t>
      </w:r>
      <w:r>
        <w:t xml:space="preserve"> sr</w:t>
      </w:r>
      <w:r w:rsidRPr="009E60F8">
        <w:rPr>
          <w:vertAlign w:val="superscript"/>
        </w:rPr>
        <w:t>–1</w:t>
      </w:r>
    </w:p>
    <w:p w:rsidR="0049170F" w:rsidRDefault="0049170F" w:rsidP="0049170F"/>
    <w:p w:rsidR="0049170F" w:rsidRDefault="0049170F" w:rsidP="0049170F"/>
    <w:p w:rsidR="00131E98" w:rsidRDefault="00131E98" w:rsidP="0049170F"/>
    <w:p w:rsidR="0049170F" w:rsidRPr="009E60F8" w:rsidRDefault="0049170F" w:rsidP="0049170F">
      <w:pPr>
        <w:jc w:val="both"/>
        <w:rPr>
          <w:spacing w:val="-2"/>
        </w:rPr>
      </w:pPr>
      <w:r w:rsidRPr="009E60F8">
        <w:rPr>
          <w:b/>
          <w:spacing w:val="-2"/>
        </w:rPr>
        <w:t xml:space="preserve">Description of Indicator: </w:t>
      </w:r>
      <w:bookmarkStart w:id="0" w:name="_GoBack"/>
      <w:r w:rsidR="0014496D" w:rsidRPr="0014496D">
        <w:rPr>
          <w:spacing w:val="-2"/>
        </w:rPr>
        <w:t>Spatial</w:t>
      </w:r>
      <w:bookmarkEnd w:id="0"/>
      <w:r w:rsidR="0014496D" w:rsidRPr="0014496D">
        <w:rPr>
          <w:spacing w:val="-2"/>
        </w:rPr>
        <w:t xml:space="preserve"> Lighting</w:t>
      </w:r>
      <w:r w:rsidR="0014496D">
        <w:rPr>
          <w:spacing w:val="-2"/>
        </w:rPr>
        <w:t xml:space="preserve"> </w:t>
      </w:r>
      <w:r w:rsidRPr="009E60F8">
        <w:rPr>
          <w:spacing w:val="-2"/>
        </w:rPr>
        <w:t xml:space="preserve">monitors demographic trends </w:t>
      </w:r>
      <w:r w:rsidR="001D07C5" w:rsidRPr="009E60F8">
        <w:rPr>
          <w:spacing w:val="-2"/>
        </w:rPr>
        <w:t>attractively</w:t>
      </w:r>
      <w:r w:rsidRPr="009E60F8">
        <w:rPr>
          <w:spacing w:val="-2"/>
        </w:rPr>
        <w:t xml:space="preserve"> via satellite images of nightlights, providing the possibility of a realistic view of the concentration of permanent population, economic activity (both permanent and seasonal)</w:t>
      </w:r>
      <w:r w:rsidR="001D07C5" w:rsidRPr="009E60F8">
        <w:rPr>
          <w:spacing w:val="-2"/>
        </w:rPr>
        <w:t>,</w:t>
      </w:r>
      <w:r w:rsidRPr="009E60F8">
        <w:rPr>
          <w:spacing w:val="-2"/>
        </w:rPr>
        <w:t xml:space="preserve"> and identification of spreading of development represented by the increased intensity of nightlights. </w:t>
      </w:r>
      <w:r w:rsidR="001D07C5" w:rsidRPr="009E60F8">
        <w:rPr>
          <w:spacing w:val="-2"/>
        </w:rPr>
        <w:t>The l</w:t>
      </w:r>
      <w:r w:rsidRPr="009E60F8">
        <w:rPr>
          <w:spacing w:val="-2"/>
        </w:rPr>
        <w:t xml:space="preserve">ower intensity of nightlights indicates weak activity, both population and economic, and thus the higher degree of exposure to depopulation. </w:t>
      </w:r>
      <w:r w:rsidR="00B44D12" w:rsidRPr="009E60F8">
        <w:rPr>
          <w:spacing w:val="-2"/>
        </w:rPr>
        <w:t xml:space="preserve">For calculation </w:t>
      </w:r>
      <w:r w:rsidR="00D60D8A" w:rsidRPr="009E60F8">
        <w:rPr>
          <w:spacing w:val="-2"/>
        </w:rPr>
        <w:t>(</w:t>
      </w:r>
      <w:r w:rsidR="003E2CC9" w:rsidRPr="009E60F8">
        <w:rPr>
          <w:spacing w:val="-2"/>
        </w:rPr>
        <w:t>1</w:t>
      </w:r>
      <w:r w:rsidR="00D60D8A" w:rsidRPr="009E60F8">
        <w:rPr>
          <w:spacing w:val="-2"/>
        </w:rPr>
        <w:t>)</w:t>
      </w:r>
      <w:r w:rsidR="003E2CC9" w:rsidRPr="009E60F8">
        <w:rPr>
          <w:spacing w:val="-2"/>
        </w:rPr>
        <w:t xml:space="preserve"> </w:t>
      </w:r>
      <w:r w:rsidR="00B44D12" w:rsidRPr="009E60F8">
        <w:rPr>
          <w:spacing w:val="-2"/>
        </w:rPr>
        <w:t xml:space="preserve">average annual values for 2015 and </w:t>
      </w:r>
      <w:r w:rsidR="00D60D8A" w:rsidRPr="009E60F8">
        <w:rPr>
          <w:spacing w:val="-2"/>
        </w:rPr>
        <w:t>(</w:t>
      </w:r>
      <w:r w:rsidR="003E2CC9" w:rsidRPr="009E60F8">
        <w:rPr>
          <w:spacing w:val="-2"/>
        </w:rPr>
        <w:t>2</w:t>
      </w:r>
      <w:r w:rsidR="00D60D8A" w:rsidRPr="009E60F8">
        <w:rPr>
          <w:spacing w:val="-2"/>
        </w:rPr>
        <w:t>)</w:t>
      </w:r>
      <w:r w:rsidR="003E2CC9" w:rsidRPr="009E60F8">
        <w:rPr>
          <w:spacing w:val="-2"/>
        </w:rPr>
        <w:t xml:space="preserve"> </w:t>
      </w:r>
      <w:r w:rsidR="00B44D12" w:rsidRPr="009E60F8">
        <w:rPr>
          <w:spacing w:val="-2"/>
        </w:rPr>
        <w:t>mean mont</w:t>
      </w:r>
      <w:r w:rsidR="001D07C5" w:rsidRPr="009E60F8">
        <w:rPr>
          <w:spacing w:val="-2"/>
        </w:rPr>
        <w:t>h</w:t>
      </w:r>
      <w:r w:rsidR="00B44D12" w:rsidRPr="009E60F8">
        <w:rPr>
          <w:spacing w:val="-2"/>
        </w:rPr>
        <w:t>ly values of nighttime lights in</w:t>
      </w:r>
      <w:r w:rsidR="003B1DD2" w:rsidRPr="009E60F8">
        <w:rPr>
          <w:spacing w:val="-2"/>
        </w:rPr>
        <w:t xml:space="preserve"> the</w:t>
      </w:r>
      <w:r w:rsidR="00B44D12" w:rsidRPr="009E60F8">
        <w:rPr>
          <w:spacing w:val="-2"/>
        </w:rPr>
        <w:t xml:space="preserve"> period 2015–2019 were used. </w:t>
      </w:r>
      <w:r w:rsidR="003E2CC9" w:rsidRPr="009E60F8">
        <w:rPr>
          <w:spacing w:val="-2"/>
        </w:rPr>
        <w:t>Original</w:t>
      </w:r>
      <w:r w:rsidR="00663030" w:rsidRPr="009E60F8">
        <w:rPr>
          <w:spacing w:val="-2"/>
        </w:rPr>
        <w:t>l</w:t>
      </w:r>
      <w:r w:rsidR="003E2CC9" w:rsidRPr="009E60F8">
        <w:rPr>
          <w:spacing w:val="-2"/>
        </w:rPr>
        <w:t xml:space="preserve">y, </w:t>
      </w:r>
      <w:r w:rsidR="001D07C5" w:rsidRPr="009E60F8">
        <w:rPr>
          <w:spacing w:val="-2"/>
        </w:rPr>
        <w:t>data are filtered to exclude im</w:t>
      </w:r>
      <w:r w:rsidR="003E2CC9" w:rsidRPr="009E60F8">
        <w:rPr>
          <w:spacing w:val="-2"/>
        </w:rPr>
        <w:t xml:space="preserve">pact by stray light, lightning, lunar illumination, and cloud-cover. </w:t>
      </w:r>
      <w:r w:rsidR="00D60D8A" w:rsidRPr="009E60F8">
        <w:rPr>
          <w:spacing w:val="-2"/>
        </w:rPr>
        <w:t xml:space="preserve">In the case of </w:t>
      </w:r>
      <w:r w:rsidR="001D07C5" w:rsidRPr="009E60F8">
        <w:rPr>
          <w:spacing w:val="-2"/>
        </w:rPr>
        <w:t xml:space="preserve">the </w:t>
      </w:r>
      <w:r w:rsidR="00D60D8A" w:rsidRPr="009E60F8">
        <w:rPr>
          <w:spacing w:val="-2"/>
        </w:rPr>
        <w:t>data</w:t>
      </w:r>
      <w:r w:rsidR="001D07C5" w:rsidRPr="009E60F8">
        <w:rPr>
          <w:spacing w:val="-2"/>
        </w:rPr>
        <w:t>set for 2015</w:t>
      </w:r>
      <w:r w:rsidR="003B1DD2" w:rsidRPr="009E60F8">
        <w:rPr>
          <w:spacing w:val="-2"/>
        </w:rPr>
        <w:t>,</w:t>
      </w:r>
      <w:r w:rsidR="001D07C5" w:rsidRPr="009E60F8">
        <w:rPr>
          <w:spacing w:val="-2"/>
        </w:rPr>
        <w:t xml:space="preserve"> data were additio</w:t>
      </w:r>
      <w:r w:rsidR="003E2CC9" w:rsidRPr="009E60F8">
        <w:rPr>
          <w:spacing w:val="-2"/>
        </w:rPr>
        <w:t>na</w:t>
      </w:r>
      <w:r w:rsidR="001D07C5" w:rsidRPr="009E60F8">
        <w:rPr>
          <w:spacing w:val="-2"/>
        </w:rPr>
        <w:t>l</w:t>
      </w:r>
      <w:r w:rsidR="003E2CC9" w:rsidRPr="009E60F8">
        <w:rPr>
          <w:spacing w:val="-2"/>
        </w:rPr>
        <w:t xml:space="preserve">ly filtered to </w:t>
      </w:r>
      <w:r w:rsidR="00D60D8A" w:rsidRPr="009E60F8">
        <w:rPr>
          <w:spacing w:val="-2"/>
        </w:rPr>
        <w:t xml:space="preserve">fires and other ephemeral lights and with </w:t>
      </w:r>
      <w:r w:rsidR="001D07C5" w:rsidRPr="009E60F8">
        <w:rPr>
          <w:spacing w:val="-2"/>
        </w:rPr>
        <w:t xml:space="preserve">a </w:t>
      </w:r>
      <w:r w:rsidR="003E2CC9" w:rsidRPr="009E60F8">
        <w:rPr>
          <w:spacing w:val="-2"/>
        </w:rPr>
        <w:t>background (non-lights) set to zero</w:t>
      </w:r>
      <w:r w:rsidR="00D60D8A" w:rsidRPr="009E60F8">
        <w:rPr>
          <w:spacing w:val="-2"/>
        </w:rPr>
        <w:t>. The dataset of monthly values for the period 2015–2019 w</w:t>
      </w:r>
      <w:r w:rsidR="001D07C5" w:rsidRPr="009E60F8">
        <w:rPr>
          <w:spacing w:val="-2"/>
        </w:rPr>
        <w:t>as</w:t>
      </w:r>
      <w:r w:rsidR="00D60D8A" w:rsidRPr="009E60F8">
        <w:rPr>
          <w:spacing w:val="-2"/>
        </w:rPr>
        <w:t xml:space="preserve"> processed in </w:t>
      </w:r>
      <w:r w:rsidR="00663030" w:rsidRPr="009E60F8">
        <w:rPr>
          <w:spacing w:val="-2"/>
        </w:rPr>
        <w:t>two</w:t>
      </w:r>
      <w:r w:rsidR="00D60D8A" w:rsidRPr="009E60F8">
        <w:rPr>
          <w:spacing w:val="-2"/>
        </w:rPr>
        <w:t xml:space="preserve"> steps: excluding negative values</w:t>
      </w:r>
      <w:r w:rsidR="00663030" w:rsidRPr="009E60F8">
        <w:rPr>
          <w:spacing w:val="-2"/>
        </w:rPr>
        <w:t xml:space="preserve"> and</w:t>
      </w:r>
      <w:r w:rsidR="00D60D8A" w:rsidRPr="009E60F8">
        <w:rPr>
          <w:spacing w:val="-2"/>
        </w:rPr>
        <w:t xml:space="preserve"> interpolation of excluded pixels applying </w:t>
      </w:r>
      <w:r w:rsidR="001D07C5" w:rsidRPr="009E60F8">
        <w:rPr>
          <w:spacing w:val="-2"/>
        </w:rPr>
        <w:t xml:space="preserve">the </w:t>
      </w:r>
      <w:r w:rsidR="00663030" w:rsidRPr="009E60F8">
        <w:rPr>
          <w:spacing w:val="-2"/>
        </w:rPr>
        <w:t>Nearest-neighbor interpolation method. Addit</w:t>
      </w:r>
      <w:r w:rsidR="001D07C5" w:rsidRPr="009E60F8">
        <w:rPr>
          <w:spacing w:val="-2"/>
        </w:rPr>
        <w:t>i</w:t>
      </w:r>
      <w:r w:rsidR="00663030" w:rsidRPr="009E60F8">
        <w:rPr>
          <w:spacing w:val="-2"/>
        </w:rPr>
        <w:t>onally, both set</w:t>
      </w:r>
      <w:r w:rsidR="00C50EF8" w:rsidRPr="009E60F8">
        <w:rPr>
          <w:spacing w:val="-2"/>
        </w:rPr>
        <w:t>s</w:t>
      </w:r>
      <w:r w:rsidR="00663030" w:rsidRPr="009E60F8">
        <w:rPr>
          <w:spacing w:val="-2"/>
        </w:rPr>
        <w:t xml:space="preserve"> are checked on </w:t>
      </w:r>
      <w:r w:rsidR="00663030" w:rsidRPr="009E60F8">
        <w:rPr>
          <w:rStyle w:val="tlid-translation"/>
          <w:spacing w:val="-2"/>
          <w:lang w:val="en"/>
        </w:rPr>
        <w:t>outliers that ha</w:t>
      </w:r>
      <w:r w:rsidR="001D07C5" w:rsidRPr="009E60F8">
        <w:rPr>
          <w:rStyle w:val="tlid-translation"/>
          <w:spacing w:val="-2"/>
          <w:lang w:val="en"/>
        </w:rPr>
        <w:t>ve</w:t>
      </w:r>
      <w:r w:rsidR="00663030" w:rsidRPr="009E60F8">
        <w:rPr>
          <w:rStyle w:val="tlid-translation"/>
          <w:spacing w:val="-2"/>
          <w:lang w:val="en"/>
        </w:rPr>
        <w:t xml:space="preserve"> been removed from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663030" w:rsidRPr="009E60F8">
        <w:rPr>
          <w:rStyle w:val="tlid-translation"/>
          <w:spacing w:val="-2"/>
          <w:lang w:val="en"/>
        </w:rPr>
        <w:t>analysis.</w:t>
      </w:r>
      <w:r w:rsidR="00FB34E6" w:rsidRPr="009E60F8">
        <w:rPr>
          <w:rStyle w:val="tlid-translation"/>
          <w:spacing w:val="-2"/>
          <w:lang w:val="en"/>
        </w:rPr>
        <w:t xml:space="preserve"> Annual values were calculated as </w:t>
      </w:r>
      <w:r w:rsidR="003B1DD2" w:rsidRPr="009E60F8">
        <w:rPr>
          <w:rStyle w:val="tlid-translation"/>
          <w:spacing w:val="-2"/>
          <w:lang w:val="en"/>
        </w:rPr>
        <w:t xml:space="preserve">the </w:t>
      </w:r>
      <w:r w:rsidR="00FB34E6" w:rsidRPr="009E60F8">
        <w:rPr>
          <w:rStyle w:val="tlid-translation"/>
          <w:spacing w:val="-2"/>
          <w:lang w:val="en"/>
        </w:rPr>
        <w:t xml:space="preserve">average of monthly values and mean annual values for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FB34E6" w:rsidRPr="009E60F8">
        <w:rPr>
          <w:rStyle w:val="tlid-translation"/>
          <w:spacing w:val="-2"/>
          <w:lang w:val="en"/>
        </w:rPr>
        <w:t>entire period were estimated.</w:t>
      </w:r>
      <w:r w:rsidR="00663030" w:rsidRPr="009E60F8">
        <w:rPr>
          <w:rStyle w:val="tlid-translation"/>
          <w:spacing w:val="-2"/>
          <w:lang w:val="en"/>
        </w:rPr>
        <w:t xml:space="preserve"> Two indicators were calculated: </w:t>
      </w:r>
      <w:r w:rsidR="00FB34E6" w:rsidRPr="009E60F8">
        <w:rPr>
          <w:rStyle w:val="tlid-translation"/>
          <w:spacing w:val="-2"/>
          <w:lang w:val="en"/>
        </w:rPr>
        <w:t>t</w:t>
      </w:r>
      <w:r w:rsidR="00663030" w:rsidRPr="009E60F8">
        <w:rPr>
          <w:rStyle w:val="tlid-translation"/>
          <w:spacing w:val="-2"/>
          <w:lang w:val="en"/>
        </w:rPr>
        <w:t>he share of the light area</w:t>
      </w:r>
      <w:r w:rsidR="00FB34E6" w:rsidRPr="009E60F8">
        <w:rPr>
          <w:rStyle w:val="tlid-translation"/>
          <w:spacing w:val="-2"/>
          <w:lang w:val="en"/>
        </w:rPr>
        <w:t xml:space="preserve"> (LA)</w:t>
      </w:r>
      <w:r w:rsidR="00663030" w:rsidRPr="009E60F8">
        <w:rPr>
          <w:rStyle w:val="tlid-translation"/>
          <w:spacing w:val="-2"/>
          <w:lang w:val="en"/>
        </w:rPr>
        <w:t xml:space="preserve"> </w:t>
      </w:r>
      <w:r w:rsidR="00131E98" w:rsidRPr="009E60F8">
        <w:rPr>
          <w:rStyle w:val="tlid-translation"/>
          <w:spacing w:val="-2"/>
          <w:lang w:val="en"/>
        </w:rPr>
        <w:t>(%)</w:t>
      </w:r>
      <w:r w:rsidR="00663030" w:rsidRPr="009E60F8">
        <w:rPr>
          <w:rStyle w:val="tlid-translation"/>
          <w:spacing w:val="-2"/>
          <w:lang w:val="en"/>
        </w:rPr>
        <w:t xml:space="preserve">in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663030" w:rsidRPr="009E60F8">
        <w:rPr>
          <w:rStyle w:val="tlid-translation"/>
          <w:spacing w:val="-2"/>
          <w:lang w:val="en"/>
        </w:rPr>
        <w:t xml:space="preserve">total </w:t>
      </w:r>
      <w:r w:rsidR="00131E98" w:rsidRPr="009E60F8">
        <w:rPr>
          <w:rStyle w:val="tlid-translation"/>
          <w:spacing w:val="-2"/>
          <w:lang w:val="en"/>
        </w:rPr>
        <w:t xml:space="preserve">area of settlement/municipality </w:t>
      </w:r>
      <w:r w:rsidR="00663030" w:rsidRPr="009E60F8">
        <w:rPr>
          <w:rStyle w:val="tlid-translation"/>
          <w:spacing w:val="-2"/>
          <w:lang w:val="en"/>
        </w:rPr>
        <w:t xml:space="preserve">and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663030" w:rsidRPr="009E60F8">
        <w:rPr>
          <w:rStyle w:val="tlid-translation"/>
          <w:spacing w:val="-2"/>
          <w:lang w:val="en"/>
        </w:rPr>
        <w:t>sum of lights</w:t>
      </w:r>
      <w:r w:rsidR="00FB34E6" w:rsidRPr="009E60F8">
        <w:rPr>
          <w:rStyle w:val="tlid-translation"/>
          <w:spacing w:val="-2"/>
          <w:lang w:val="en"/>
        </w:rPr>
        <w:t xml:space="preserve"> (SOL)</w:t>
      </w:r>
      <w:r w:rsidR="00EE56A1" w:rsidRPr="009E60F8">
        <w:rPr>
          <w:rStyle w:val="tlid-translation"/>
          <w:spacing w:val="-2"/>
          <w:lang w:val="en"/>
        </w:rPr>
        <w:t xml:space="preserve"> (</w:t>
      </w:r>
      <w:r w:rsidR="00EE56A1" w:rsidRPr="009E60F8">
        <w:rPr>
          <w:spacing w:val="-2"/>
        </w:rPr>
        <w:t>nW cm</w:t>
      </w:r>
      <w:r w:rsidR="00EE56A1" w:rsidRPr="009E60F8">
        <w:rPr>
          <w:spacing w:val="-2"/>
          <w:vertAlign w:val="superscript"/>
        </w:rPr>
        <w:t>–2</w:t>
      </w:r>
      <w:r w:rsidR="00EE56A1" w:rsidRPr="009E60F8">
        <w:rPr>
          <w:spacing w:val="-2"/>
        </w:rPr>
        <w:t xml:space="preserve"> sr</w:t>
      </w:r>
      <w:r w:rsidR="00EE56A1" w:rsidRPr="009E60F8">
        <w:rPr>
          <w:spacing w:val="-2"/>
          <w:vertAlign w:val="superscript"/>
        </w:rPr>
        <w:t>–1</w:t>
      </w:r>
      <w:r w:rsidR="00EE56A1" w:rsidRPr="009E60F8">
        <w:rPr>
          <w:rStyle w:val="tlid-translation"/>
          <w:spacing w:val="-2"/>
          <w:lang w:val="en"/>
        </w:rPr>
        <w:t>)</w:t>
      </w:r>
      <w:r w:rsidR="00663030" w:rsidRPr="009E60F8">
        <w:rPr>
          <w:rStyle w:val="tlid-translation"/>
          <w:spacing w:val="-2"/>
          <w:lang w:val="en"/>
        </w:rPr>
        <w:t xml:space="preserve"> for settlement/municipality. In the case of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663030" w:rsidRPr="009E60F8">
        <w:rPr>
          <w:rStyle w:val="tlid-translation"/>
          <w:spacing w:val="-2"/>
          <w:lang w:val="en"/>
        </w:rPr>
        <w:t xml:space="preserve">dataset for 2015, non-lights is assumed to have </w:t>
      </w:r>
      <w:r w:rsidR="001D07C5" w:rsidRPr="009E60F8">
        <w:rPr>
          <w:rStyle w:val="tlid-translation"/>
          <w:spacing w:val="-2"/>
          <w:lang w:val="en"/>
        </w:rPr>
        <w:t xml:space="preserve">the </w:t>
      </w:r>
      <w:r w:rsidR="00663030" w:rsidRPr="009E60F8">
        <w:rPr>
          <w:rStyle w:val="tlid-translation"/>
          <w:spacing w:val="-2"/>
          <w:lang w:val="en"/>
        </w:rPr>
        <w:t xml:space="preserve">radiance of 0 </w:t>
      </w:r>
      <w:r w:rsidR="00663030" w:rsidRPr="009E60F8">
        <w:rPr>
          <w:spacing w:val="-2"/>
        </w:rPr>
        <w:t>nW cm</w:t>
      </w:r>
      <w:r w:rsidR="00663030" w:rsidRPr="009E60F8">
        <w:rPr>
          <w:spacing w:val="-2"/>
          <w:vertAlign w:val="superscript"/>
        </w:rPr>
        <w:t>–2</w:t>
      </w:r>
      <w:r w:rsidR="00663030" w:rsidRPr="009E60F8">
        <w:rPr>
          <w:spacing w:val="-2"/>
        </w:rPr>
        <w:t xml:space="preserve"> sr</w:t>
      </w:r>
      <w:r w:rsidR="00663030" w:rsidRPr="009E60F8">
        <w:rPr>
          <w:spacing w:val="-2"/>
          <w:vertAlign w:val="superscript"/>
        </w:rPr>
        <w:t>–1</w:t>
      </w:r>
      <w:r w:rsidR="00663030" w:rsidRPr="009E60F8">
        <w:rPr>
          <w:spacing w:val="-2"/>
        </w:rPr>
        <w:t xml:space="preserve">, while for </w:t>
      </w:r>
      <w:r w:rsidR="00663030" w:rsidRPr="009E60F8">
        <w:rPr>
          <w:rStyle w:val="tlid-translation"/>
          <w:spacing w:val="-2"/>
          <w:lang w:val="en"/>
        </w:rPr>
        <w:t>dataset 2015–2019, only the share of</w:t>
      </w:r>
      <w:r w:rsidR="001D07C5" w:rsidRPr="009E60F8">
        <w:rPr>
          <w:rStyle w:val="tlid-translation"/>
          <w:spacing w:val="-2"/>
          <w:lang w:val="en"/>
        </w:rPr>
        <w:t xml:space="preserve"> the</w:t>
      </w:r>
      <w:r w:rsidR="00663030" w:rsidRPr="009E60F8">
        <w:rPr>
          <w:rStyle w:val="tlid-translation"/>
          <w:spacing w:val="-2"/>
          <w:lang w:val="en"/>
        </w:rPr>
        <w:t xml:space="preserve"> lighted area with radiance higher than 1 </w:t>
      </w:r>
      <w:r w:rsidR="00663030" w:rsidRPr="009E60F8">
        <w:rPr>
          <w:spacing w:val="-2"/>
        </w:rPr>
        <w:t>nW cm</w:t>
      </w:r>
      <w:r w:rsidR="00663030" w:rsidRPr="009E60F8">
        <w:rPr>
          <w:spacing w:val="-2"/>
          <w:vertAlign w:val="superscript"/>
        </w:rPr>
        <w:t>–2</w:t>
      </w:r>
      <w:r w:rsidR="00663030" w:rsidRPr="009E60F8">
        <w:rPr>
          <w:spacing w:val="-2"/>
        </w:rPr>
        <w:t xml:space="preserve"> sr</w:t>
      </w:r>
      <w:r w:rsidR="00663030" w:rsidRPr="009E60F8">
        <w:rPr>
          <w:spacing w:val="-2"/>
          <w:vertAlign w:val="superscript"/>
        </w:rPr>
        <w:t xml:space="preserve">–1 </w:t>
      </w:r>
      <w:r w:rsidR="00663030" w:rsidRPr="009E60F8">
        <w:rPr>
          <w:spacing w:val="-2"/>
        </w:rPr>
        <w:t>is calculated assuming that areas with lower values are unpopu</w:t>
      </w:r>
      <w:r w:rsidR="001D07C5" w:rsidRPr="009E60F8">
        <w:rPr>
          <w:spacing w:val="-2"/>
        </w:rPr>
        <w:t>lated or with low population ac</w:t>
      </w:r>
      <w:r w:rsidR="00663030" w:rsidRPr="009E60F8">
        <w:rPr>
          <w:spacing w:val="-2"/>
        </w:rPr>
        <w:t xml:space="preserve">tivity. </w:t>
      </w:r>
    </w:p>
    <w:p w:rsidR="0049170F" w:rsidRPr="00FB47B2" w:rsidRDefault="0049170F" w:rsidP="0049170F">
      <w:pPr>
        <w:spacing w:after="240"/>
        <w:jc w:val="both"/>
        <w:rPr>
          <w:b/>
        </w:rPr>
      </w:pPr>
      <w:r w:rsidRPr="00FB47B2">
        <w:rPr>
          <w:b/>
        </w:rPr>
        <w:t xml:space="preserve">Source data for </w:t>
      </w:r>
      <w:r w:rsidR="00F15287">
        <w:rPr>
          <w:b/>
        </w:rPr>
        <w:t>I</w:t>
      </w:r>
      <w:r w:rsidRPr="00FB47B2">
        <w:rPr>
          <w:b/>
        </w:rPr>
        <w:t>ndicator calculation</w:t>
      </w:r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49170F" w:rsidTr="0061025F">
        <w:trPr>
          <w:jc w:val="center"/>
        </w:trPr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70F" w:rsidRDefault="0049170F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70F" w:rsidRDefault="0049170F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49170F" w:rsidTr="0061025F">
        <w:trPr>
          <w:trHeight w:val="850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70F" w:rsidRDefault="0049170F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Nighttime Lights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70F" w:rsidRDefault="00AE65D5" w:rsidP="001E01E4">
            <w:pPr>
              <w:spacing w:after="240"/>
            </w:pPr>
            <w:hyperlink r:id="rId8" w:history="1">
              <w:r w:rsidR="0049170F" w:rsidRPr="001D07C5">
                <w:rPr>
                  <w:rStyle w:val="Hyperlink"/>
                </w:rPr>
                <w:t>Version 1 VIIRS DNB [Earth Observation Group (EOG); Colorado Mining School, 2015–2019]</w:t>
              </w:r>
            </w:hyperlink>
          </w:p>
        </w:tc>
      </w:tr>
      <w:tr w:rsidR="0049170F" w:rsidTr="0061025F">
        <w:trPr>
          <w:trHeight w:val="850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70F" w:rsidRDefault="0049170F" w:rsidP="001E01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Administrative units*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170F" w:rsidRDefault="00AE65D5" w:rsidP="001E01E4">
            <w:pPr>
              <w:spacing w:before="240" w:after="240"/>
              <w:rPr>
                <w:b/>
              </w:rPr>
            </w:pPr>
            <w:hyperlink r:id="rId9" w:history="1">
              <w:r w:rsidR="0049170F" w:rsidRPr="001D07C5">
                <w:rPr>
                  <w:rStyle w:val="Hyperlink"/>
                </w:rPr>
                <w:t>GeoSrbija [Open data of the National Data Infrastructure, Republic Geodetic Authority, n.d.]</w:t>
              </w:r>
            </w:hyperlink>
          </w:p>
        </w:tc>
      </w:tr>
    </w:tbl>
    <w:p w:rsidR="0049170F" w:rsidRPr="009E60F8" w:rsidRDefault="0049170F" w:rsidP="009E60F8">
      <w:pPr>
        <w:spacing w:after="240"/>
        <w:jc w:val="both"/>
        <w:rPr>
          <w:b/>
        </w:rPr>
      </w:pPr>
    </w:p>
    <w:p w:rsidR="0049170F" w:rsidRPr="009E60F8" w:rsidRDefault="0049170F" w:rsidP="009E60F8">
      <w:pPr>
        <w:spacing w:after="240"/>
        <w:jc w:val="both"/>
        <w:rPr>
          <w:lang w:val="sr-Latn-RS"/>
        </w:rPr>
      </w:pPr>
      <w:r>
        <w:t xml:space="preserve">* </w:t>
      </w:r>
      <w:r w:rsidR="00131E98">
        <w:t>GeoSrbija</w:t>
      </w:r>
      <w:r w:rsidR="00F15287">
        <w:t xml:space="preserve"> (Open Data of the National Data Infrastructure, Republic Geodetic Authority, n.d.) from which the administrative settlements boundaries were taken have no data for the province Kosovo and Metohija.</w:t>
      </w:r>
      <w:r w:rsidR="00F15287" w:rsidRPr="002F08DD">
        <w:t xml:space="preserve"> </w:t>
      </w:r>
      <w:r w:rsidR="00F15287">
        <w:t>Accordingly, these administrative units were not included in the analysis.</w:t>
      </w:r>
    </w:p>
    <w:sectPr w:rsidR="0049170F" w:rsidRPr="009E60F8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5D5" w:rsidRDefault="00AE65D5" w:rsidP="00131E98">
      <w:pPr>
        <w:spacing w:line="240" w:lineRule="auto"/>
      </w:pPr>
      <w:r>
        <w:separator/>
      </w:r>
    </w:p>
  </w:endnote>
  <w:endnote w:type="continuationSeparator" w:id="0">
    <w:p w:rsidR="00AE65D5" w:rsidRDefault="00AE65D5" w:rsidP="00131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833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1E98" w:rsidRDefault="00131E98" w:rsidP="009E60F8">
        <w:pPr>
          <w:pStyle w:val="Footer"/>
          <w:jc w:val="center"/>
        </w:pPr>
        <w:r w:rsidRPr="009E60F8">
          <w:rPr>
            <w:b/>
            <w:color w:val="996633"/>
            <w:sz w:val="16"/>
            <w:szCs w:val="16"/>
          </w:rPr>
          <w:fldChar w:fldCharType="begin"/>
        </w:r>
        <w:r w:rsidRPr="009E60F8">
          <w:rPr>
            <w:b/>
            <w:color w:val="996633"/>
            <w:sz w:val="16"/>
            <w:szCs w:val="16"/>
          </w:rPr>
          <w:instrText xml:space="preserve"> PAGE   \* MERGEFORMAT </w:instrText>
        </w:r>
        <w:r w:rsidRPr="009E60F8">
          <w:rPr>
            <w:b/>
            <w:color w:val="996633"/>
            <w:sz w:val="16"/>
            <w:szCs w:val="16"/>
          </w:rPr>
          <w:fldChar w:fldCharType="separate"/>
        </w:r>
        <w:r w:rsidR="00AE65D5">
          <w:rPr>
            <w:b/>
            <w:noProof/>
            <w:color w:val="996633"/>
            <w:sz w:val="16"/>
            <w:szCs w:val="16"/>
          </w:rPr>
          <w:t>1</w:t>
        </w:r>
        <w:r w:rsidRPr="009E60F8">
          <w:rPr>
            <w:b/>
            <w:noProof/>
            <w:color w:val="996633"/>
            <w:sz w:val="16"/>
            <w:szCs w:val="16"/>
          </w:rPr>
          <w:fldChar w:fldCharType="end"/>
        </w:r>
        <w:r w:rsidR="00F45C37" w:rsidRPr="009E60F8">
          <w:rPr>
            <w:b/>
            <w:noProof/>
            <w:color w:val="996633"/>
            <w:sz w:val="16"/>
            <w:szCs w:val="16"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5D5" w:rsidRDefault="00AE65D5" w:rsidP="00131E98">
      <w:pPr>
        <w:spacing w:line="240" w:lineRule="auto"/>
      </w:pPr>
      <w:r>
        <w:separator/>
      </w:r>
    </w:p>
  </w:footnote>
  <w:footnote w:type="continuationSeparator" w:id="0">
    <w:p w:rsidR="00AE65D5" w:rsidRDefault="00AE65D5" w:rsidP="00131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0F8" w:rsidRPr="0043442D" w:rsidRDefault="009E60F8" w:rsidP="009E60F8">
    <w:pPr>
      <w:pStyle w:val="Header"/>
      <w:jc w:val="center"/>
      <w:rPr>
        <w:b/>
        <w:color w:val="996633"/>
        <w:spacing w:val="-2"/>
        <w:sz w:val="14"/>
        <w:szCs w:val="14"/>
      </w:rPr>
    </w:pPr>
    <w:r w:rsidRPr="0043442D">
      <w:rPr>
        <w:b/>
        <w:color w:val="996633"/>
        <w:spacing w:val="-2"/>
        <w:sz w:val="12"/>
        <w:szCs w:val="12"/>
      </w:rPr>
      <w:br/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CDA300" wp14:editId="28F3254C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2EA9679" wp14:editId="4C9B6CD5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AB0F29" wp14:editId="1A713AF7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Pr="0043442D">
      <w:rPr>
        <w:b/>
        <w:noProof/>
        <w:color w:val="4F81BD" w:themeColor="accent1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FC983" wp14:editId="7E125E68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Pr="0043442D">
      <w:rPr>
        <w:b/>
        <w:noProof/>
        <w:color w:val="996633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CC859" wp14:editId="625ECEE1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Pr="0043442D">
      <w:rPr>
        <w:b/>
        <w:noProof/>
        <w:color w:val="4F81BD" w:themeColor="accent1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3371B1" wp14:editId="529D78FA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Pr="0043442D">
      <w:rPr>
        <w:b/>
        <w:color w:val="996633"/>
        <w:spacing w:val="-2"/>
        <w:sz w:val="14"/>
        <w:szCs w:val="14"/>
      </w:rPr>
      <w:t>REMOTE DETECTION OF (DE)POPULATION PROCESSES—PRODUCT DOCUMENTATION</w:t>
    </w:r>
  </w:p>
  <w:p w:rsidR="009E60F8" w:rsidRPr="0043442D" w:rsidRDefault="00003C39" w:rsidP="009E60F8">
    <w:pPr>
      <w:pStyle w:val="Header"/>
      <w:jc w:val="center"/>
      <w:rPr>
        <w:spacing w:val="-2"/>
        <w:sz w:val="14"/>
        <w:szCs w:val="14"/>
      </w:rPr>
    </w:pPr>
    <w:r w:rsidRPr="00003C39">
      <w:rPr>
        <w:b/>
        <w:color w:val="996633"/>
        <w:spacing w:val="-2"/>
        <w:sz w:val="14"/>
        <w:szCs w:val="14"/>
      </w:rPr>
      <w:t xml:space="preserve">INDICATOR 7: </w:t>
    </w:r>
    <w:r w:rsidRPr="00003C39">
      <w:rPr>
        <w:b/>
        <w:i/>
        <w:color w:val="996633"/>
        <w:spacing w:val="-2"/>
        <w:sz w:val="14"/>
        <w:szCs w:val="14"/>
      </w:rPr>
      <w:t xml:space="preserve">Spatial </w:t>
    </w:r>
    <w:r w:rsidR="002E2992" w:rsidRPr="002E2992">
      <w:rPr>
        <w:b/>
        <w:i/>
        <w:color w:val="996633"/>
        <w:spacing w:val="-2"/>
        <w:sz w:val="14"/>
        <w:szCs w:val="14"/>
      </w:rPr>
      <w:t>Lighting</w:t>
    </w:r>
  </w:p>
  <w:p w:rsidR="009E60F8" w:rsidRDefault="009E60F8" w:rsidP="009E60F8">
    <w:pPr>
      <w:pStyle w:val="Header"/>
      <w:tabs>
        <w:tab w:val="clear" w:pos="4680"/>
        <w:tab w:val="clear" w:pos="9360"/>
        <w:tab w:val="left" w:pos="3555"/>
      </w:tabs>
      <w:rPr>
        <w:sz w:val="14"/>
        <w:szCs w:val="14"/>
      </w:rPr>
    </w:pPr>
  </w:p>
  <w:p w:rsidR="009E60F8" w:rsidRDefault="009E60F8" w:rsidP="009E60F8">
    <w:pPr>
      <w:pStyle w:val="Header"/>
      <w:tabs>
        <w:tab w:val="clear" w:pos="4680"/>
        <w:tab w:val="clear" w:pos="9360"/>
        <w:tab w:val="left" w:pos="6240"/>
      </w:tabs>
    </w:pPr>
  </w:p>
  <w:p w:rsidR="009E60F8" w:rsidRDefault="009E60F8" w:rsidP="009E60F8">
    <w:pPr>
      <w:pStyle w:val="Header"/>
      <w:tabs>
        <w:tab w:val="clear" w:pos="4680"/>
        <w:tab w:val="clear" w:pos="9360"/>
        <w:tab w:val="left" w:pos="2025"/>
      </w:tabs>
    </w:pPr>
  </w:p>
  <w:p w:rsidR="009E60F8" w:rsidRDefault="009E60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23A4A"/>
    <w:multiLevelType w:val="hybridMultilevel"/>
    <w:tmpl w:val="F00EE5D6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587C4317"/>
    <w:multiLevelType w:val="multilevel"/>
    <w:tmpl w:val="F6EAF76C"/>
    <w:lvl w:ilvl="0">
      <w:start w:val="1"/>
      <w:numFmt w:val="lowerLetter"/>
      <w:lvlText w:val="%1)"/>
      <w:lvlJc w:val="left"/>
      <w:pPr>
        <w:ind w:left="283" w:hanging="283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1B86083"/>
    <w:multiLevelType w:val="hybridMultilevel"/>
    <w:tmpl w:val="9796F378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7DE80DCC"/>
    <w:multiLevelType w:val="hybridMultilevel"/>
    <w:tmpl w:val="1FAC51DA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7EBB20D6"/>
    <w:multiLevelType w:val="hybridMultilevel"/>
    <w:tmpl w:val="DC16B154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2206"/>
    <w:rsid w:val="00003C39"/>
    <w:rsid w:val="00131E98"/>
    <w:rsid w:val="0014496D"/>
    <w:rsid w:val="001D07C5"/>
    <w:rsid w:val="002D4B28"/>
    <w:rsid w:val="002E2992"/>
    <w:rsid w:val="0034755F"/>
    <w:rsid w:val="00376430"/>
    <w:rsid w:val="003B1DD2"/>
    <w:rsid w:val="003E2CC9"/>
    <w:rsid w:val="003F437F"/>
    <w:rsid w:val="0049170F"/>
    <w:rsid w:val="0061025F"/>
    <w:rsid w:val="00663030"/>
    <w:rsid w:val="00892206"/>
    <w:rsid w:val="008B0A53"/>
    <w:rsid w:val="009E60F8"/>
    <w:rsid w:val="00AA7C87"/>
    <w:rsid w:val="00AE65D5"/>
    <w:rsid w:val="00B323D4"/>
    <w:rsid w:val="00B44D12"/>
    <w:rsid w:val="00B834CF"/>
    <w:rsid w:val="00C50EF8"/>
    <w:rsid w:val="00D23513"/>
    <w:rsid w:val="00D60D8A"/>
    <w:rsid w:val="00E11FAD"/>
    <w:rsid w:val="00EE56A1"/>
    <w:rsid w:val="00F15287"/>
    <w:rsid w:val="00F45C37"/>
    <w:rsid w:val="00FB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170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3030"/>
  </w:style>
  <w:style w:type="character" w:styleId="Hyperlink">
    <w:name w:val="Hyperlink"/>
    <w:basedOn w:val="DefaultParagraphFont"/>
    <w:uiPriority w:val="99"/>
    <w:unhideWhenUsed/>
    <w:rsid w:val="001D07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E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8"/>
  </w:style>
  <w:style w:type="paragraph" w:styleId="Footer">
    <w:name w:val="footer"/>
    <w:basedOn w:val="Normal"/>
    <w:link w:val="FooterChar"/>
    <w:uiPriority w:val="99"/>
    <w:unhideWhenUsed/>
    <w:rsid w:val="00131E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8"/>
  </w:style>
  <w:style w:type="paragraph" w:styleId="BalloonText">
    <w:name w:val="Balloon Text"/>
    <w:basedOn w:val="Normal"/>
    <w:link w:val="BalloonTextChar"/>
    <w:uiPriority w:val="99"/>
    <w:semiHidden/>
    <w:unhideWhenUsed/>
    <w:rsid w:val="00F45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9170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3030"/>
  </w:style>
  <w:style w:type="character" w:styleId="Hyperlink">
    <w:name w:val="Hyperlink"/>
    <w:basedOn w:val="DefaultParagraphFont"/>
    <w:uiPriority w:val="99"/>
    <w:unhideWhenUsed/>
    <w:rsid w:val="001D07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E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8"/>
  </w:style>
  <w:style w:type="paragraph" w:styleId="Footer">
    <w:name w:val="footer"/>
    <w:basedOn w:val="Normal"/>
    <w:link w:val="FooterChar"/>
    <w:uiPriority w:val="99"/>
    <w:unhideWhenUsed/>
    <w:rsid w:val="00131E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8"/>
  </w:style>
  <w:style w:type="paragraph" w:styleId="BalloonText">
    <w:name w:val="Balloon Text"/>
    <w:basedOn w:val="Normal"/>
    <w:link w:val="BalloonTextChar"/>
    <w:uiPriority w:val="99"/>
    <w:semiHidden/>
    <w:unhideWhenUsed/>
    <w:rsid w:val="00F45C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gdata.mines.edu/download_dnb_composite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osrbija.rs/usluge/otvoreni-podaci-nig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</dc:creator>
  <cp:lastModifiedBy>Tech. ed.</cp:lastModifiedBy>
  <cp:revision>19</cp:revision>
  <cp:lastPrinted>2020-10-25T23:20:00Z</cp:lastPrinted>
  <dcterms:created xsi:type="dcterms:W3CDTF">2020-10-13T18:38:00Z</dcterms:created>
  <dcterms:modified xsi:type="dcterms:W3CDTF">2020-10-29T19:18:00Z</dcterms:modified>
</cp:coreProperties>
</file>