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58" w:rsidRDefault="00BF3258" w:rsidP="00893FE3">
      <w:pPr>
        <w:jc w:val="center"/>
      </w:pPr>
      <w:r>
        <w:t>Ак</w:t>
      </w:r>
      <w:r>
        <w:t>туальность разработки платформы</w:t>
      </w:r>
      <w:r w:rsidR="00893FE3">
        <w:t xml:space="preserve"> обусловлена</w:t>
      </w:r>
    </w:p>
    <w:p w:rsidR="00BF3258" w:rsidRDefault="00893FE3" w:rsidP="00893FE3">
      <w:r>
        <w:t>Н</w:t>
      </w:r>
      <w:r w:rsidR="00BF3258">
        <w:t>аличием</w:t>
      </w:r>
      <w:r>
        <w:t xml:space="preserve"> </w:t>
      </w:r>
      <w:r w:rsidR="00BF3258">
        <w:t>значительного туристского потенциала города Нижнего Новгорода и необходимостью его эффективного использования;</w:t>
      </w:r>
    </w:p>
    <w:p w:rsidR="00BF3258" w:rsidRDefault="00893FE3" w:rsidP="00893FE3">
      <w:r>
        <w:t xml:space="preserve">Высоким </w:t>
      </w:r>
      <w:r w:rsidR="00BF3258">
        <w:t xml:space="preserve">уровнем конкуренции на внутреннем и международном рынках туристских услуг; </w:t>
      </w:r>
    </w:p>
    <w:p w:rsidR="00BF3258" w:rsidRDefault="00893FE3" w:rsidP="00893FE3">
      <w:r>
        <w:t>Н</w:t>
      </w:r>
      <w:r w:rsidR="00BF3258">
        <w:t>еобходимостью</w:t>
      </w:r>
      <w:r>
        <w:t xml:space="preserve"> </w:t>
      </w:r>
      <w:r w:rsidR="00BF3258">
        <w:t xml:space="preserve">комплексного подхода к развитию туристской инфраструктуры и туристской индустрии на территории города Нижнего Новгорода, способной удовлетворить потребности в качественных туристских услугах; </w:t>
      </w:r>
    </w:p>
    <w:p w:rsidR="005D17F2" w:rsidRDefault="00893FE3" w:rsidP="00893FE3">
      <w:r>
        <w:t>Н</w:t>
      </w:r>
      <w:r w:rsidR="00BF3258">
        <w:t>еобходимостью подготовки к приему гостей в период праздн</w:t>
      </w:r>
      <w:r w:rsidR="00BF3258">
        <w:t>ования 800-</w:t>
      </w:r>
      <w:r w:rsidR="00BF3258">
        <w:t>летия города Нижнего Новгорода</w:t>
      </w:r>
    </w:p>
    <w:p w:rsidR="00E13ADC" w:rsidRDefault="00893FE3" w:rsidP="00893FE3">
      <w:r>
        <w:t>Ф</w:t>
      </w:r>
      <w:r w:rsidR="00E13ADC">
        <w:t>актом, что и</w:t>
      </w:r>
      <w:r w:rsidR="00E13ADC">
        <w:t>нтерн</w:t>
      </w:r>
      <w:r w:rsidR="00E13ADC">
        <w:t>ет-сайты и мобильные приложения уже заставили</w:t>
      </w:r>
      <w:r w:rsidR="00E13ADC">
        <w:t xml:space="preserve"> туриндустрию развиваться по-новому и будет продолжать стимулировать ее развитие</w:t>
      </w:r>
    </w:p>
    <w:p w:rsidR="00893FE3" w:rsidRDefault="00893FE3" w:rsidP="00893FE3">
      <w:pPr>
        <w:pStyle w:val="a3"/>
        <w:jc w:val="center"/>
      </w:pPr>
    </w:p>
    <w:p w:rsidR="00893FE3" w:rsidRDefault="00893FE3" w:rsidP="00893FE3">
      <w:pPr>
        <w:pStyle w:val="a3"/>
        <w:jc w:val="center"/>
      </w:pPr>
      <w:r>
        <w:t>Данные за 2019 год</w:t>
      </w:r>
    </w:p>
    <w:p w:rsidR="00893FE3" w:rsidRDefault="00893FE3" w:rsidP="00893FE3">
      <w:r>
        <w:t>Общее количество туристов, посетивших город Нижний Новгород, 750 626 чел., в том числе: российских туристов - 699 084 чел. иностранных туристов - 51 542 чел.</w:t>
      </w:r>
    </w:p>
    <w:p w:rsidR="00893FE3" w:rsidRDefault="00893FE3" w:rsidP="00893FE3">
      <w:r>
        <w:t xml:space="preserve">Объем платных туристских услуг - 3 152 млн руб. </w:t>
      </w:r>
    </w:p>
    <w:p w:rsidR="00893FE3" w:rsidRDefault="00893FE3" w:rsidP="00893FE3">
      <w:r>
        <w:t>Доля граждан, оценивших качество туристских услуг (включая гостеприимство) на "хорошо" и "отлично", - 100%</w:t>
      </w:r>
    </w:p>
    <w:p w:rsidR="00893FE3" w:rsidRPr="00893FE3" w:rsidRDefault="00893FE3" w:rsidP="00893FE3">
      <w:pPr>
        <w:rPr>
          <w:rFonts w:ascii="Calibri" w:eastAsia="Times New Roman" w:hAnsi="Calibri" w:cs="Calibri"/>
          <w:color w:val="000000"/>
          <w:lang w:eastAsia="ru-RU"/>
        </w:rPr>
      </w:pPr>
      <w:r>
        <w:t>Количество запросов «Нижний Новгород»: Яндекс 15000</w:t>
      </w:r>
      <w:r w:rsidRPr="00893FE3">
        <w:rPr>
          <w:rFonts w:ascii="Calibri" w:eastAsia="Times New Roman" w:hAnsi="Calibri" w:cs="Calibri"/>
          <w:color w:val="000000"/>
          <w:lang w:eastAsia="ru-RU"/>
        </w:rPr>
        <w:t>000</w:t>
      </w:r>
      <w:r>
        <w:t xml:space="preserve"> в месяц, </w:t>
      </w:r>
      <w:r w:rsidRPr="00893FE3">
        <w:rPr>
          <w:lang w:val="en-US"/>
        </w:rPr>
        <w:t>Google</w:t>
      </w:r>
      <w:r w:rsidRPr="00CD6122">
        <w:t xml:space="preserve"> </w:t>
      </w:r>
      <w:r w:rsidRPr="00893FE3">
        <w:rPr>
          <w:rFonts w:ascii="Calibri" w:eastAsia="Times New Roman" w:hAnsi="Calibri" w:cs="Calibri"/>
          <w:color w:val="000000"/>
          <w:lang w:eastAsia="ru-RU"/>
        </w:rPr>
        <w:t>16000000</w:t>
      </w:r>
      <w:r>
        <w:t xml:space="preserve"> в месяц</w:t>
      </w:r>
    </w:p>
    <w:p w:rsidR="00893FE3" w:rsidRDefault="00893FE3" w:rsidP="00893FE3">
      <w:r>
        <w:t xml:space="preserve">Количество запросов «Нижний Новгород достопримечательности»: Яндекс </w:t>
      </w:r>
      <w:r w:rsidRPr="00893FE3">
        <w:rPr>
          <w:rFonts w:ascii="Calibri" w:eastAsia="Times New Roman" w:hAnsi="Calibri" w:cs="Calibri"/>
          <w:color w:val="000000"/>
          <w:lang w:eastAsia="ru-RU"/>
        </w:rPr>
        <w:t>23560</w:t>
      </w:r>
      <w:r>
        <w:t xml:space="preserve"> в месяц, </w:t>
      </w:r>
      <w:r w:rsidRPr="00893FE3">
        <w:rPr>
          <w:lang w:val="en-US"/>
        </w:rPr>
        <w:t>Google</w:t>
      </w:r>
      <w:r w:rsidRPr="00CD6122">
        <w:t xml:space="preserve"> </w:t>
      </w:r>
      <w:r w:rsidRPr="00893FE3">
        <w:rPr>
          <w:rFonts w:ascii="Calibri" w:eastAsia="Times New Roman" w:hAnsi="Calibri" w:cs="Calibri"/>
          <w:color w:val="000000"/>
          <w:lang w:eastAsia="ru-RU"/>
        </w:rPr>
        <w:t>25600</w:t>
      </w:r>
      <w:r>
        <w:t xml:space="preserve"> в месяц</w:t>
      </w:r>
    </w:p>
    <w:p w:rsidR="00893FE3" w:rsidRDefault="00893FE3" w:rsidP="00893FE3">
      <w:r>
        <w:t xml:space="preserve">Количество запросов «Нижний Новгород гостиницы»: Яндекс </w:t>
      </w:r>
      <w:r w:rsidRPr="00893FE3">
        <w:rPr>
          <w:rFonts w:ascii="Calibri" w:eastAsia="Times New Roman" w:hAnsi="Calibri" w:cs="Calibri"/>
          <w:color w:val="000000"/>
          <w:lang w:eastAsia="ru-RU"/>
        </w:rPr>
        <w:t>36000</w:t>
      </w:r>
      <w:r>
        <w:t xml:space="preserve"> в месяц, </w:t>
      </w:r>
      <w:r w:rsidRPr="00893FE3">
        <w:rPr>
          <w:lang w:val="en-US"/>
        </w:rPr>
        <w:t>Google</w:t>
      </w:r>
      <w:r w:rsidRPr="00CD6122">
        <w:t xml:space="preserve"> </w:t>
      </w:r>
      <w:r w:rsidRPr="00893FE3">
        <w:rPr>
          <w:rFonts w:ascii="Calibri" w:eastAsia="Times New Roman" w:hAnsi="Calibri" w:cs="Calibri"/>
          <w:color w:val="000000"/>
          <w:lang w:eastAsia="ru-RU"/>
        </w:rPr>
        <w:t>38000</w:t>
      </w:r>
      <w:r>
        <w:t xml:space="preserve"> в месяц</w:t>
      </w:r>
    </w:p>
    <w:p w:rsidR="00893FE3" w:rsidRPr="00E13ADC" w:rsidRDefault="00893FE3" w:rsidP="00893FE3"/>
    <w:p w:rsidR="00CD6122" w:rsidRDefault="00893FE3" w:rsidP="00893FE3">
      <w:pPr>
        <w:jc w:val="center"/>
      </w:pPr>
      <w:r>
        <w:t>Аналитика</w:t>
      </w:r>
    </w:p>
    <w:p w:rsidR="00893FE3" w:rsidRDefault="00893FE3" w:rsidP="00893FE3">
      <w:r>
        <w:t xml:space="preserve">Коэффициент корреляции между частотностями запросов </w:t>
      </w:r>
      <w:r w:rsidRPr="00893FE3">
        <w:t>“</w:t>
      </w:r>
      <w:r>
        <w:t xml:space="preserve">Нижний Новгород </w:t>
      </w:r>
      <w:r>
        <w:t>достопримечательности</w:t>
      </w:r>
      <w:r w:rsidRPr="00893FE3">
        <w:t xml:space="preserve">” </w:t>
      </w:r>
      <w:proofErr w:type="gramStart"/>
      <w:r>
        <w:t>и ”</w:t>
      </w:r>
      <w:r>
        <w:t>Нижний</w:t>
      </w:r>
      <w:proofErr w:type="gramEnd"/>
      <w:r>
        <w:t xml:space="preserve"> Новгород гостиницы</w:t>
      </w:r>
      <w:r w:rsidRPr="00893FE3">
        <w:t>”</w:t>
      </w:r>
      <w:r>
        <w:t xml:space="preserve">  рассчитанный по методу </w:t>
      </w:r>
      <w:proofErr w:type="spellStart"/>
      <w:r>
        <w:t>Спирмэна</w:t>
      </w:r>
      <w:proofErr w:type="spellEnd"/>
      <w:r>
        <w:t xml:space="preserve"> составляет 0,34</w:t>
      </w:r>
    </w:p>
    <w:p w:rsidR="00A552CD" w:rsidRDefault="00A552CD" w:rsidP="00893FE3">
      <w:r>
        <w:t>Каждый турист в среднем увеличивает объем предоставленных туристических услуг на 4000 рублей.</w:t>
      </w:r>
    </w:p>
    <w:p w:rsidR="00893FE3" w:rsidRDefault="00893FE3" w:rsidP="00893FE3">
      <w:r>
        <w:t xml:space="preserve">На данный момент ни один из представленных в аналитике сайтов не входит в топ 10 поисковой выдачи </w:t>
      </w:r>
      <w:r>
        <w:rPr>
          <w:lang w:val="en-US"/>
        </w:rPr>
        <w:t>Google</w:t>
      </w:r>
      <w:r w:rsidRPr="00893FE3">
        <w:t xml:space="preserve"> </w:t>
      </w:r>
      <w:r>
        <w:t>или Яндекс</w:t>
      </w:r>
      <w:r w:rsidR="001D7085">
        <w:t>. Их разобщенность мешает выстроить правильную и эффективную рекламную стратегию.</w:t>
      </w:r>
    </w:p>
    <w:p w:rsidR="001D7085" w:rsidRDefault="001D7085" w:rsidP="00893FE3">
      <w:r>
        <w:t>Предлагаемая платформа позволит сфокусировать усилия</w:t>
      </w:r>
      <w:r w:rsidR="0069036B">
        <w:t xml:space="preserve"> </w:t>
      </w:r>
      <w:r w:rsidR="0069036B">
        <w:t>Департамент</w:t>
      </w:r>
      <w:r w:rsidR="0069036B">
        <w:t>а</w:t>
      </w:r>
      <w:r w:rsidR="0069036B">
        <w:t xml:space="preserve"> предпринимательства и туризма</w:t>
      </w:r>
      <w:r>
        <w:t xml:space="preserve"> на одном проекте. </w:t>
      </w:r>
      <w:r w:rsidR="002B6D2B">
        <w:t xml:space="preserve"> </w:t>
      </w:r>
    </w:p>
    <w:p w:rsidR="0069036B" w:rsidRDefault="0069036B" w:rsidP="0069036B">
      <w:pPr>
        <w:jc w:val="center"/>
      </w:pPr>
      <w:r>
        <w:t>Количественный результат</w:t>
      </w:r>
    </w:p>
    <w:p w:rsidR="002B6D2B" w:rsidRDefault="002B6D2B" w:rsidP="00A552CD">
      <w:r>
        <w:t>При успешном привлечении</w:t>
      </w:r>
      <w:r w:rsidR="00A552CD">
        <w:t xml:space="preserve"> на портал</w:t>
      </w:r>
      <w:r>
        <w:t xml:space="preserve"> </w:t>
      </w:r>
      <w:r w:rsidR="00A552CD">
        <w:t xml:space="preserve">целевой аудитории, ожидается прирост числа привлеченных туристов порядка 3000 человек на 10000 уникальных посетителей, что способно увеличить объем </w:t>
      </w:r>
      <w:r w:rsidR="00A552CD">
        <w:t xml:space="preserve">туристических услуг </w:t>
      </w:r>
      <w:r w:rsidR="00A552CD">
        <w:t>на 12000000 рублей</w:t>
      </w:r>
      <w:r w:rsidR="0069036B">
        <w:t>.</w:t>
      </w:r>
    </w:p>
    <w:p w:rsidR="0069036B" w:rsidRDefault="0069036B" w:rsidP="0069036B">
      <w:pPr>
        <w:jc w:val="center"/>
      </w:pPr>
      <w:r>
        <w:lastRenderedPageBreak/>
        <w:t>Качественный результат</w:t>
      </w:r>
    </w:p>
    <w:p w:rsidR="0069036B" w:rsidRDefault="0069036B" w:rsidP="0069036B">
      <w:r>
        <w:t>Появление возможно</w:t>
      </w:r>
      <w:r w:rsidR="009572AC">
        <w:t>сти эффективного продвижения туристического бренда Нижегородской области. Создание единого информационного</w:t>
      </w:r>
      <w:bookmarkStart w:id="0" w:name="_GoBack"/>
      <w:bookmarkEnd w:id="0"/>
      <w:r w:rsidR="009572AC">
        <w:t xml:space="preserve"> центра</w:t>
      </w:r>
    </w:p>
    <w:p w:rsidR="0069036B" w:rsidRPr="001D7085" w:rsidRDefault="0069036B" w:rsidP="00A552CD"/>
    <w:sectPr w:rsidR="0069036B" w:rsidRPr="001D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5163"/>
    <w:multiLevelType w:val="hybridMultilevel"/>
    <w:tmpl w:val="359C3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E0"/>
    <w:rsid w:val="001D7085"/>
    <w:rsid w:val="002B6D2B"/>
    <w:rsid w:val="005D17F2"/>
    <w:rsid w:val="0069036B"/>
    <w:rsid w:val="00893FE3"/>
    <w:rsid w:val="00912DE0"/>
    <w:rsid w:val="009572AC"/>
    <w:rsid w:val="00A552CD"/>
    <w:rsid w:val="00BF3258"/>
    <w:rsid w:val="00CD6122"/>
    <w:rsid w:val="00E13ADC"/>
    <w:rsid w:val="00E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48BE"/>
  <w15:chartTrackingRefBased/>
  <w15:docId w15:val="{B2DDC540-9DFB-4B2D-BC99-EE0DF89C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</cp:revision>
  <dcterms:created xsi:type="dcterms:W3CDTF">2020-04-06T20:46:00Z</dcterms:created>
  <dcterms:modified xsi:type="dcterms:W3CDTF">2020-04-06T22:18:00Z</dcterms:modified>
</cp:coreProperties>
</file>