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Nota técnica breve</w:t>
      </w:r>
    </w:p>
    <w:p>
      <w:r>
        <w:rPr>
          <w:b/>
          <w:sz w:val="24"/>
        </w:rPr>
        <w:t>Decisiones de diseño</w:t>
      </w:r>
    </w:p>
    <w:p>
      <w:r>
        <w:t>Se optó por una arquitectura simple con separación clara entre la interfaz y la lógica de negocio. La UI se encarga de cargar archivos, mostrar métricas y filtrar resultados, mientras que el motor de normalización centraliza la validación, detección de fuentes, limpieza de campos y rechazo de registros inconsistentes. También se priorizó un flujo local en navegador, sin backend, para mantener la solución ligera y fácil de probar.</w:t>
      </w:r>
    </w:p>
    <w:p>
      <w:r>
        <w:rPr>
          <w:b/>
          <w:sz w:val="24"/>
        </w:rPr>
        <w:t>Uso de IA</w:t>
      </w:r>
    </w:p>
    <w:p>
      <w:r>
        <w:t>La IA se utilizó para acelerar la definición del alcance, generar la estructura del proyecto, proponer la lógica de normalización y sugerir criterios de validación para distintos formatos JSON. Esto permitió avanzar rápidamente en la base funcional y mantener una visión clara del comportamiento esperado.</w:t>
      </w:r>
    </w:p>
    <w:p>
      <w:r>
        <w:rPr>
          <w:b/>
          <w:sz w:val="24"/>
        </w:rPr>
        <w:t>Ajustes sobre sugerencias de IA</w:t>
      </w:r>
    </w:p>
    <w:p>
      <w:r>
        <w:t>Se realizaron ajustes para alinear la solución con los requisitos del proyecto: se estandarizó el idioma del proyecto al español, se renombraron los archivos de prueba, se agregó una vista explícita de transacciones rechazadas con motivo de rechazo, y se validó la compilación final con build real. Además, se corrigieron detalles de normalización y nomenclatura para evitar inconsistencias de uso y mejorar la legibilidad del producto final.</w:t>
      </w:r>
    </w:p>
    <w:sectPr w:rsidR="00FC693F" w:rsidRPr="0006063C" w:rsidSect="00034616">
      <w:pgSz w:w="12240" w:h="15840"/>
      <w:pgMar w:top="1" w:right="1" w:bottom="1" w:left="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