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3d9145d301d49a9366e1089460dc330d5b8c5c"/>
    <w:p>
      <w:pPr>
        <w:pStyle w:val="Heading1"/>
      </w:pPr>
      <w:r>
        <w:t xml:space="preserve">PRODUCT #4: The Emergency Meltdown Checklist</w:t>
      </w:r>
    </w:p>
    <w:bookmarkStart w:id="9" w:name="subtitle"/>
    <w:p>
      <w:pPr>
        <w:pStyle w:val="Heading2"/>
      </w:pPr>
      <w:r>
        <w:t xml:space="preserve">Subtitle</w:t>
      </w:r>
    </w:p>
    <w:p>
      <w:pPr>
        <w:pStyle w:val="FirstParagraph"/>
      </w:pPr>
      <w:r>
        <w:rPr>
          <w:b/>
          <w:bCs/>
        </w:rPr>
        <w:t xml:space="preserve">A Clinical-Based Guide for Crisis De-escalation and Nervous System Regulation</w:t>
      </w:r>
    </w:p>
    <w:bookmarkEnd w:id="9"/>
    <w:bookmarkStart w:id="10" w:name="important-note-read-first"/>
    <w:p>
      <w:pPr>
        <w:pStyle w:val="Heading2"/>
      </w:pPr>
      <w:r>
        <w:t xml:space="preserve">Important note (read first)</w:t>
      </w:r>
    </w:p>
    <w:p>
      <w:pPr>
        <w:pStyle w:val="FirstParagraph"/>
      </w:pPr>
      <w:r>
        <w:t xml:space="preserve">This guide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 is not medical, psychological, or legal advice. It does not replace care from a licensed clinician. If you believe your child is at risk of harming themselves or others, follow your local emergency protocols and contact qualified professionals.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chapter-1-the-neurobiology-of-a-meltdown"/>
    <w:p>
      <w:pPr>
        <w:pStyle w:val="Heading1"/>
      </w:pPr>
      <w:r>
        <w:t xml:space="preserve">Chapter 1: The Neurobiology of a Meltdown</w:t>
      </w:r>
    </w:p>
    <w:bookmarkStart w:id="15" w:name="why-reasoning-fails"/>
    <w:p>
      <w:pPr>
        <w:pStyle w:val="Heading2"/>
      </w:pPr>
      <w:r>
        <w:t xml:space="preserve">1.1 Why Reasoning Fails</w:t>
      </w:r>
    </w:p>
    <w:p>
      <w:pPr>
        <w:pStyle w:val="FirstParagraph"/>
      </w:pPr>
      <w:r>
        <w:t xml:space="preserve">In a neurotypical brain, the</w:t>
      </w:r>
      <w:r>
        <w:t xml:space="preserve"> </w:t>
      </w:r>
      <w:r>
        <w:rPr>
          <w:b/>
          <w:bCs/>
        </w:rPr>
        <w:t xml:space="preserve">prefrontal cortex</w:t>
      </w:r>
      <w:r>
        <w:t xml:space="preserve"> </w:t>
      </w:r>
      <w:r>
        <w:t xml:space="preserve">helps regulate the</w:t>
      </w:r>
      <w:r>
        <w:t xml:space="preserve"> </w:t>
      </w:r>
      <w:r>
        <w:rPr>
          <w:b/>
          <w:bCs/>
        </w:rPr>
        <w:t xml:space="preserve">amygdala</w:t>
      </w:r>
      <w:r>
        <w:t xml:space="preserve">. During a meltdown, that regulatory system can go offlinemeaning logic, lectures, and questions often</w:t>
      </w:r>
      <w:r>
        <w:t xml:space="preserve"> </w:t>
      </w:r>
      <w:r>
        <w:rPr>
          <w:b/>
          <w:bCs/>
        </w:rPr>
        <w:t xml:space="preserve">increase</w:t>
      </w:r>
      <w:r>
        <w:t xml:space="preserve"> </w:t>
      </w:r>
      <w:r>
        <w:t xml:space="preserve">distress.</w:t>
      </w:r>
    </w:p>
    <w:bookmarkStart w:id="12" w:name="the-amygdala-hijack"/>
    <w:p>
      <w:pPr>
        <w:pStyle w:val="Heading3"/>
      </w:pPr>
      <w:r>
        <w:t xml:space="preserve">The amygdala hijack</w:t>
      </w:r>
    </w:p>
    <w:p>
      <w:pPr>
        <w:pStyle w:val="FirstParagraph"/>
      </w:pPr>
      <w:r>
        <w:t xml:space="preserve">The nervous system shifts into survival mode:</w:t>
      </w:r>
      <w:r>
        <w:t xml:space="preserve"> </w:t>
      </w:r>
      <w:r>
        <w:rPr>
          <w:b/>
          <w:bCs/>
        </w:rPr>
        <w:t xml:space="preserve">fight / flight / freeze</w:t>
      </w:r>
      <w:r>
        <w:t xml:space="preserve">. The child is not being difficultthey are overwhelmed.</w:t>
      </w:r>
    </w:p>
    <w:bookmarkEnd w:id="12"/>
    <w:bookmarkStart w:id="13" w:name="the-sensory-flood"/>
    <w:p>
      <w:pPr>
        <w:pStyle w:val="Heading3"/>
      </w:pPr>
      <w:r>
        <w:t xml:space="preserve">The sensory flood</w:t>
      </w:r>
    </w:p>
    <w:p>
      <w:pPr>
        <w:pStyle w:val="FirstParagraph"/>
      </w:pPr>
      <w:r>
        <w:t xml:space="preserve">During a meltdown, sensory processing can intensify. Sound, light, touch, and even clothing can feel physically painful.</w:t>
      </w:r>
    </w:p>
    <w:bookmarkEnd w:id="13"/>
    <w:bookmarkStart w:id="14" w:name="the-language-blackout"/>
    <w:p>
      <w:pPr>
        <w:pStyle w:val="Heading3"/>
      </w:pPr>
      <w:r>
        <w:t xml:space="preserve">The language blackout</w:t>
      </w:r>
    </w:p>
    <w:p>
      <w:pPr>
        <w:pStyle w:val="FirstParagraph"/>
      </w:pPr>
      <w:r>
        <w:t xml:space="preserve">In crisis, speech and language can become harder to access. This is why repeated questions like Whats wrong? or Use your words may escalate the situation.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Xf17a805042a23490b50b14afefe0d3f460260dd"/>
    <w:p>
      <w:pPr>
        <w:pStyle w:val="Heading1"/>
      </w:pPr>
      <w:r>
        <w:t xml:space="preserve">Chapter 2: The Before Phase (Antecedents &amp; Triggers)</w:t>
      </w:r>
    </w:p>
    <w:bookmarkStart w:id="19" w:name="identifying-the-slow-burn"/>
    <w:p>
      <w:pPr>
        <w:pStyle w:val="Heading2"/>
      </w:pPr>
      <w:r>
        <w:t xml:space="preserve">2.1 Identifying the Slow Burn</w:t>
      </w:r>
    </w:p>
    <w:p>
      <w:pPr>
        <w:pStyle w:val="FirstParagraph"/>
      </w:pPr>
      <w:r>
        <w:t xml:space="preserve">Many meltdowns are not sudden. They build through</w:t>
      </w:r>
      <w:r>
        <w:t xml:space="preserve"> </w:t>
      </w:r>
      <w:r>
        <w:rPr>
          <w:b/>
          <w:bCs/>
        </w:rPr>
        <w:t xml:space="preserve">sensory stacking</w:t>
      </w:r>
      <w:r>
        <w:t xml:space="preserve">.</w:t>
      </w:r>
    </w:p>
    <w:bookmarkStart w:id="17" w:name="micro-triggers"/>
    <w:p>
      <w:pPr>
        <w:pStyle w:val="Heading3"/>
      </w:pPr>
      <w:r>
        <w:t xml:space="preserve">Micro-triggers</w:t>
      </w:r>
    </w:p>
    <w:p>
      <w:pPr>
        <w:pStyle w:val="FirstParagraph"/>
      </w:pPr>
      <w:r>
        <w:t xml:space="preserve">A tag on a shirt + a loud classroom + a skipped snack can become a meltdown over a broken crayon.</w:t>
      </w:r>
    </w:p>
    <w:bookmarkEnd w:id="17"/>
    <w:bookmarkStart w:id="18" w:name="the-transition-trap"/>
    <w:p>
      <w:pPr>
        <w:pStyle w:val="Heading3"/>
      </w:pPr>
      <w:r>
        <w:t xml:space="preserve">The transition trap</w:t>
      </w:r>
    </w:p>
    <w:p>
      <w:pPr>
        <w:pStyle w:val="FirstParagraph"/>
      </w:pPr>
      <w:r>
        <w:t xml:space="preserve">Moving from a high-dopamine activity (video games) to a low-dopamine one (homework) can spike distress.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5" w:name="X62d2772b19a5a3a9df3de5755622089ad6a1f23"/>
    <w:p>
      <w:pPr>
        <w:pStyle w:val="Heading1"/>
      </w:pPr>
      <w:r>
        <w:t xml:space="preserve">Chapter 3: The Immediate Crisis Checklist (The Core Tool)</w:t>
      </w:r>
    </w:p>
    <w:bookmarkStart w:id="24" w:name="one-page-printable-place-at-the-front"/>
    <w:p>
      <w:pPr>
        <w:pStyle w:val="Heading2"/>
      </w:pPr>
      <w:r>
        <w:t xml:space="preserve">3.1 One-page printable (place at the front)</w:t>
      </w:r>
    </w:p>
    <w:bookmarkStart w:id="21" w:name="phase-1-secure-the-environment"/>
    <w:p>
      <w:pPr>
        <w:pStyle w:val="Heading3"/>
      </w:pPr>
      <w:r>
        <w:t xml:space="preserve">PHASE 1: Secure the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 talking:</w:t>
      </w:r>
      <w:r>
        <w:t xml:space="preserve"> </w:t>
      </w:r>
      <w:r>
        <w:t xml:space="preserve">use 90% fewer words. Use gestures or visual cards.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 the area:</w:t>
      </w:r>
      <w:r>
        <w:t xml:space="preserve"> </w:t>
      </w:r>
      <w:r>
        <w:t xml:space="preserve">remove siblings, pets, and bystanders.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Dim the inputs:</w:t>
      </w:r>
      <w:r>
        <w:t xml:space="preserve"> </w:t>
      </w:r>
      <w:r>
        <w:t xml:space="preserve">lower lights, close curtains, silence TV/music.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Safety first:</w:t>
      </w:r>
      <w:r>
        <w:t xml:space="preserve"> </w:t>
      </w:r>
      <w:r>
        <w:t xml:space="preserve">remove hard/sharp objects if needed.</w:t>
      </w:r>
    </w:p>
    <w:bookmarkEnd w:id="21"/>
    <w:bookmarkStart w:id="22" w:name="phase-2-co-regulate-the-caregivers-role"/>
    <w:p>
      <w:pPr>
        <w:pStyle w:val="Heading3"/>
      </w:pPr>
      <w:r>
        <w:t xml:space="preserve">PHASE 2: Co-regulate (the caregivers role)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safety anchor:</w:t>
      </w:r>
      <w:r>
        <w:t xml:space="preserve"> </w:t>
      </w:r>
      <w:r>
        <w:t xml:space="preserve">sit on the floor (lower than the child). Dont loom.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Rhythmic breathing:</w:t>
      </w:r>
      <w:r>
        <w:t xml:space="preserve"> </w:t>
      </w:r>
      <w:r>
        <w:t xml:space="preserve">breathe slowly and audibly so calm is heard.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sensory shield:</w:t>
      </w:r>
      <w:r>
        <w:t xml:space="preserve"> </w:t>
      </w:r>
      <w:r>
        <w:t xml:space="preserve">offer (dont force) a weighted lap pad, noise-canceling headphones, or a blanket.</w:t>
      </w:r>
    </w:p>
    <w:bookmarkEnd w:id="22"/>
    <w:bookmarkStart w:id="23" w:name="phase-3-reduce-demands"/>
    <w:p>
      <w:pPr>
        <w:pStyle w:val="Heading3"/>
      </w:pPr>
      <w:r>
        <w:t xml:space="preserve">PHASE 3: Reduce demands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questions. No lessons.</w:t>
      </w:r>
    </w:p>
    <w:p>
      <w:pPr>
        <w:pStyle w:val="Compact"/>
        <w:numPr>
          <w:ilvl w:val="0"/>
          <w:numId w:val="1003"/>
        </w:numPr>
      </w:pPr>
      <w:r>
        <w:t xml:space="preserve">Use short, repeatable phrases: Youre safe. Im here.</w:t>
      </w:r>
    </w:p>
    <w:p>
      <w:pPr>
        <w:pStyle w:val="Compact"/>
        <w:numPr>
          <w:ilvl w:val="0"/>
          <w:numId w:val="1003"/>
        </w:numPr>
      </w:pPr>
      <w:r>
        <w:t xml:space="preserve">Give space if closeness escalates.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8" w:name="chapter-4-techniques-for-de-escalation"/>
    <w:p>
      <w:pPr>
        <w:pStyle w:val="Heading1"/>
      </w:pPr>
      <w:r>
        <w:t xml:space="preserve">Chapter 4: Techniques for De-escalation</w:t>
      </w:r>
    </w:p>
    <w:bookmarkStart w:id="26" w:name="the-heavy-work-protocol"/>
    <w:p>
      <w:pPr>
        <w:pStyle w:val="Heading2"/>
      </w:pPr>
      <w:r>
        <w:t xml:space="preserve">4.1 The Heavy Work Protocol</w:t>
      </w:r>
    </w:p>
    <w:p>
      <w:pPr>
        <w:pStyle w:val="FirstParagraph"/>
      </w:pPr>
      <w:r>
        <w:t xml:space="preserve">Proprioceptive input (pressure through joints and muscles) can feel organizing and grounding.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Wall pushes:</w:t>
      </w:r>
      <w:r>
        <w:t xml:space="preserve"> </w:t>
      </w:r>
      <w:r>
        <w:t xml:space="preserve">have the child push against a wall with steady force.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Burrito wrap:</w:t>
      </w:r>
      <w:r>
        <w:t xml:space="preserve"> </w:t>
      </w:r>
      <w:r>
        <w:t xml:space="preserve">if welcomed, roll firmly (but safely) in a heavy blanket.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Joint compressions:</w:t>
      </w:r>
      <w:r>
        <w:t xml:space="preserve"> </w:t>
      </w:r>
      <w:r>
        <w:t xml:space="preserve">only if the child allows and youve been shown how by a professional.</w:t>
      </w:r>
    </w:p>
    <w:bookmarkEnd w:id="26"/>
    <w:bookmarkStart w:id="27" w:name="Xced4f6bf1fc921700b7fd7379dd3200536087dd"/>
    <w:p>
      <w:pPr>
        <w:pStyle w:val="Heading2"/>
      </w:pPr>
      <w:r>
        <w:t xml:space="preserve">4.2 The 5-4-3-2-1 Grounding (Modified for Crisis)</w:t>
      </w:r>
    </w:p>
    <w:p>
      <w:pPr>
        <w:pStyle w:val="FirstParagraph"/>
      </w:pPr>
      <w:r>
        <w:t xml:space="preserve">Instead of asking them to speak,</w:t>
      </w:r>
      <w:r>
        <w:t xml:space="preserve"> </w:t>
      </w:r>
      <w:r>
        <w:rPr>
          <w:b/>
          <w:bCs/>
        </w:rPr>
        <w:t xml:space="preserve">you lead</w:t>
      </w:r>
      <w:r>
        <w:t xml:space="preserve"> </w:t>
      </w:r>
      <w:r>
        <w:t xml:space="preserve">with simple observations.</w:t>
      </w:r>
    </w:p>
    <w:p>
      <w:pPr>
        <w:pStyle w:val="Compact"/>
        <w:numPr>
          <w:ilvl w:val="0"/>
          <w:numId w:val="1005"/>
        </w:numPr>
      </w:pPr>
      <w:r>
        <w:t xml:space="preserve">I see a blue chair. (pause)</w:t>
      </w:r>
    </w:p>
    <w:p>
      <w:pPr>
        <w:pStyle w:val="Compact"/>
        <w:numPr>
          <w:ilvl w:val="0"/>
          <w:numId w:val="1005"/>
        </w:numPr>
      </w:pPr>
      <w:r>
        <w:t xml:space="preserve">I feel the soft carpet. (touch it yourself)</w:t>
      </w:r>
    </w:p>
    <w:p>
      <w:pPr>
        <w:pStyle w:val="Compact"/>
        <w:numPr>
          <w:ilvl w:val="0"/>
          <w:numId w:val="1005"/>
        </w:numPr>
      </w:pPr>
      <w:r>
        <w:t xml:space="preserve">I hear the hum of the fridge.</w:t>
      </w:r>
    </w:p>
    <w:p>
      <w:pPr>
        <w:pStyle w:val="Compact"/>
        <w:numPr>
          <w:ilvl w:val="0"/>
          <w:numId w:val="1005"/>
        </w:numPr>
      </w:pPr>
      <w:r>
        <w:t xml:space="preserve">I smell soap.</w:t>
      </w:r>
    </w:p>
    <w:p>
      <w:pPr>
        <w:pStyle w:val="Compact"/>
        <w:numPr>
          <w:ilvl w:val="0"/>
          <w:numId w:val="1005"/>
        </w:numPr>
      </w:pPr>
      <w:r>
        <w:t xml:space="preserve">I taste water.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f4ad2676ab68d519021c20b1dc8419a185bcd42"/>
    <w:p>
      <w:pPr>
        <w:pStyle w:val="Heading1"/>
      </w:pPr>
      <w:r>
        <w:t xml:space="preserve">Chapter 5: Post-crisis Recovery (The Hangover Phase)</w:t>
      </w:r>
    </w:p>
    <w:bookmarkStart w:id="32" w:name="the-biological-reset"/>
    <w:p>
      <w:pPr>
        <w:pStyle w:val="Heading2"/>
      </w:pPr>
      <w:r>
        <w:t xml:space="preserve">5.1 The biological reset</w:t>
      </w:r>
    </w:p>
    <w:p>
      <w:pPr>
        <w:pStyle w:val="FirstParagraph"/>
      </w:pPr>
      <w:r>
        <w:t xml:space="preserve">After a meltdown, the body is exhausted. Stress hormones can remain elevated for hours.</w:t>
      </w:r>
    </w:p>
    <w:bookmarkStart w:id="29" w:name="the-low-demand-zone"/>
    <w:p>
      <w:pPr>
        <w:pStyle w:val="Heading3"/>
      </w:pPr>
      <w:r>
        <w:t xml:space="preserve">The Low Demand zone</w:t>
      </w:r>
    </w:p>
    <w:p>
      <w:pPr>
        <w:pStyle w:val="Compact"/>
        <w:numPr>
          <w:ilvl w:val="0"/>
          <w:numId w:val="1006"/>
        </w:numPr>
      </w:pPr>
      <w:r>
        <w:t xml:space="preserve">Zero chores, zero homework, zero talks for at least</w:t>
      </w:r>
      <w:r>
        <w:t xml:space="preserve"> </w:t>
      </w:r>
      <w:r>
        <w:rPr>
          <w:b/>
          <w:bCs/>
        </w:rPr>
        <w:t xml:space="preserve">2 hours</w:t>
      </w:r>
      <w:r>
        <w:t xml:space="preserve">.</w:t>
      </w:r>
    </w:p>
    <w:bookmarkEnd w:id="29"/>
    <w:bookmarkStart w:id="30" w:name="glucose-hydration"/>
    <w:p>
      <w:pPr>
        <w:pStyle w:val="Heading3"/>
      </w:pPr>
      <w:r>
        <w:t xml:space="preserve">Glucose &amp; hydration</w:t>
      </w:r>
    </w:p>
    <w:p>
      <w:pPr>
        <w:pStyle w:val="Compact"/>
        <w:numPr>
          <w:ilvl w:val="0"/>
          <w:numId w:val="1007"/>
        </w:numPr>
      </w:pPr>
      <w:r>
        <w:t xml:space="preserve">Offer water and a simple protein snack to stabilize energy.</w:t>
      </w:r>
    </w:p>
    <w:bookmarkEnd w:id="30"/>
    <w:bookmarkStart w:id="31" w:name="the-no-shame-policy"/>
    <w:p>
      <w:pPr>
        <w:pStyle w:val="Heading3"/>
      </w:pPr>
      <w:r>
        <w:t xml:space="preserve">The No shame policy</w:t>
      </w:r>
    </w:p>
    <w:p>
      <w:pPr>
        <w:pStyle w:val="FirstParagraph"/>
      </w:pPr>
      <w:r>
        <w:t xml:space="preserve">Never punish a child for a meltdown. It is an involuntary neurological event. Punishment increases anxiety and can increase future meltdowns.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chapter-6-the-abc-data-log-for-parents"/>
    <w:p>
      <w:pPr>
        <w:pStyle w:val="Heading1"/>
      </w:pPr>
      <w:r>
        <w:t xml:space="preserve">Chapter 6: The ABC Data Log (For Parents)</w:t>
      </w:r>
    </w:p>
    <w:bookmarkStart w:id="36" w:name="printable-templates"/>
    <w:p>
      <w:pPr>
        <w:pStyle w:val="Heading2"/>
      </w:pPr>
      <w:r>
        <w:t xml:space="preserve">6.1 Printable templates</w:t>
      </w:r>
    </w:p>
    <w:bookmarkStart w:id="34" w:name="abc-log-table"/>
    <w:p>
      <w:pPr>
        <w:pStyle w:val="Heading3"/>
      </w:pPr>
      <w:r>
        <w:t xml:space="preserve">ABC log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Date/Time</w:t>
            </w:r>
          </w:p>
        </w:tc>
        <w:tc>
          <w:tcPr/>
          <w:p>
            <w:pPr>
              <w:pStyle w:val="Compact"/>
            </w:pPr>
            <w:r>
              <w:t xml:space="preserve">Antecedent (Before)</w:t>
            </w:r>
          </w:p>
        </w:tc>
        <w:tc>
          <w:tcPr/>
          <w:p>
            <w:pPr>
              <w:pStyle w:val="Compact"/>
            </w:pPr>
            <w:r>
              <w:t xml:space="preserve">Behavior (During)</w:t>
            </w:r>
          </w:p>
        </w:tc>
        <w:tc>
          <w:tcPr/>
          <w:p>
            <w:pPr>
              <w:pStyle w:val="Compact"/>
            </w:pPr>
            <w:r>
              <w:t xml:space="preserve">Consequence (After)</w:t>
            </w:r>
          </w:p>
        </w:tc>
        <w:tc>
          <w:tcPr/>
          <w:p>
            <w:pPr>
              <w:pStyle w:val="Compact"/>
            </w:pPr>
            <w:r>
              <w:t xml:space="preserve">What worked?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15/02  4:00 PM</w:t>
            </w:r>
          </w:p>
        </w:tc>
        <w:tc>
          <w:tcPr/>
          <w:p>
            <w:pPr>
              <w:pStyle w:val="Compact"/>
            </w:pPr>
            <w:r>
              <w:t xml:space="preserve">Transition from iPad</w:t>
            </w:r>
          </w:p>
        </w:tc>
        <w:tc>
          <w:tcPr/>
          <w:p>
            <w:pPr>
              <w:pStyle w:val="Compact"/>
            </w:pPr>
            <w:r>
              <w:t xml:space="preserve">Screaming, kicking</w:t>
            </w:r>
          </w:p>
        </w:tc>
        <w:tc>
          <w:tcPr/>
          <w:p>
            <w:pPr>
              <w:pStyle w:val="Compact"/>
            </w:pPr>
            <w:r>
              <w:t xml:space="preserve">Weighted blanket + quiet room</w:t>
            </w:r>
          </w:p>
        </w:tc>
        <w:tc>
          <w:tcPr/>
          <w:p>
            <w:pPr>
              <w:pStyle w:val="Compact"/>
            </w:pPr>
            <w:r>
              <w:t xml:space="preserve">Deep pressure + low words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trigger-pattern-tracker"/>
    <w:p>
      <w:pPr>
        <w:pStyle w:val="Heading3"/>
      </w:pPr>
      <w:r>
        <w:t xml:space="preserve">Trigger pattern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trigger</w:t>
            </w:r>
          </w:p>
        </w:tc>
        <w:tc>
          <w:tcPr/>
          <w:p>
            <w:pPr>
              <w:pStyle w:val="Compact"/>
            </w:pPr>
            <w:r>
              <w:t xml:space="preserve">Early signs</w:t>
            </w:r>
          </w:p>
        </w:tc>
        <w:tc>
          <w:tcPr/>
          <w:p>
            <w:pPr>
              <w:pStyle w:val="Compact"/>
            </w:pPr>
            <w:r>
              <w:t xml:space="preserve">Best supports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Hunger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Clothing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X872eb1767c93ca0051c0a61398b7388cc6938b3"/>
    <w:p>
      <w:pPr>
        <w:pStyle w:val="Heading1"/>
      </w:pPr>
      <w:r>
        <w:t xml:space="preserve">Chapter 7: Professional References (For Further Learning)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Polyvagal Theory</w:t>
      </w:r>
      <w:r>
        <w:t xml:space="preserve"> </w:t>
      </w:r>
      <w:r>
        <w:t xml:space="preserve"> Dr. Stephen Porges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Explosive Child</w:t>
      </w:r>
      <w:r>
        <w:t xml:space="preserve"> </w:t>
      </w:r>
      <w:r>
        <w:t xml:space="preserve"> Dr. Ross Greene (Collaborative &amp; Proactive Solutions)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Whole-Brain Child</w:t>
      </w:r>
      <w:r>
        <w:t xml:space="preserve"> </w:t>
      </w:r>
      <w:r>
        <w:t xml:space="preserve"> Dr. Dan Siegel</w:t>
      </w:r>
    </w:p>
    <w:p>
      <w:r>
        <w:pict>
          <v:rect style="width:0;height:1.5pt" o:hralign="center" o:hrstd="t" o:hr="t"/>
        </w:pict>
      </w:r>
    </w:p>
    <w:bookmarkStart w:id="38" w:name="X259d3b9350ffb10daa735cd6582772b569cf75b"/>
    <w:p>
      <w:pPr>
        <w:pStyle w:val="Heading2"/>
      </w:pPr>
      <w:r>
        <w:t xml:space="preserve">Optional add-on page: Caregiver script card</w:t>
      </w:r>
    </w:p>
    <w:p>
      <w:pPr>
        <w:pStyle w:val="Compact"/>
        <w:numPr>
          <w:ilvl w:val="0"/>
          <w:numId w:val="1009"/>
        </w:numPr>
      </w:pPr>
      <w:r>
        <w:t xml:space="preserve">Youre safe.</w:t>
      </w:r>
    </w:p>
    <w:p>
      <w:pPr>
        <w:pStyle w:val="Compact"/>
        <w:numPr>
          <w:ilvl w:val="0"/>
          <w:numId w:val="1009"/>
        </w:numPr>
      </w:pPr>
      <w:r>
        <w:t xml:space="preserve">Im here.</w:t>
      </w:r>
    </w:p>
    <w:p>
      <w:pPr>
        <w:pStyle w:val="Compact"/>
        <w:numPr>
          <w:ilvl w:val="0"/>
          <w:numId w:val="1009"/>
        </w:numPr>
      </w:pPr>
      <w:r>
        <w:t xml:space="preserve">Were going to make it quieter.</w:t>
      </w:r>
    </w:p>
    <w:p>
      <w:pPr>
        <w:pStyle w:val="Compact"/>
        <w:numPr>
          <w:ilvl w:val="0"/>
          <w:numId w:val="1009"/>
        </w:numPr>
      </w:pPr>
      <w:r>
        <w:t xml:space="preserve">No talking right now.</w:t>
      </w:r>
    </w:p>
    <w:p>
      <w:pPr>
        <w:pStyle w:val="Compact"/>
        <w:numPr>
          <w:ilvl w:val="0"/>
          <w:numId w:val="1009"/>
        </w:numPr>
      </w:pPr>
      <w:r>
        <w:t xml:space="preserve">All done is okay.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2026-02-16T06:25:02Z</dcterms:created>
  <dcterms:modified xsi:type="dcterms:W3CDTF">2026-02-16T06:25:02Z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