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Metodología de madurez geoespacial institucional</w:t>
      </w:r>
    </w:p>
    <w:p>
      <w:pPr>
        <w:pStyle w:val="Subtitle"/>
        <w:widowControl/>
      </w:pPr>
      <w:r>
        <w:t>Cinco fases 25 habilitantes y 50 verificables</w:t>
      </w:r>
    </w:p>
    <w:p>
      <w:pPr>
        <w:widowControl/>
      </w:pPr>
      <w:r>
        <w:rPr>
          <w:b w:val="0"/>
          <w:sz w:val="20"/>
        </w:rPr>
        <w:t>Informe actualizado para la coordinación institucional del SNIT · 17 de septiembre de 2026</w:t>
      </w:r>
    </w:p>
    <w:p>
      <w:pPr>
        <w:widowControl/>
      </w:pPr>
      <w:r>
        <w:rPr>
          <w:b/>
        </w:rPr>
        <w:t>La metodología se consolida en cinco fases que describen cómo una institución incorpora la información geoespacial a su gestión y a las decisiones públicas. Se proponen 25 habilitantes y 50 verificables, con alcance desde ministerios y servicios públicos hasta gobiernos regionales y municipalidades.</w:t>
      </w:r>
    </w:p>
    <w:p>
      <w:pPr>
        <w:widowControl/>
      </w:pPr>
      <w:r>
        <w:rPr>
          <w:b w:val="0"/>
        </w:rPr>
        <w:t>Esta edición integra los acuerdos posteriores al informe del 16 de septiembre. F1 reconoce referente e iniciativa; F2 activa un primer trabajo; F3 formaliza la gestión, los datos, el equipo y la plataforma; F4 mantiene la operación con conducción institucional; F5 concentra la interoperabilidad de datos, sistemas y equipos, sostenida por compromisos formales, valor demostrado y comunicación planificada.</w:t>
      </w:r>
    </w:p>
    <w:tbl>
      <w:tblPr>
        <w:tblW w:type="auto" w:w="0"/>
        <w:jc w:val="center"/>
        <w:tblLayout w:type="fixed"/>
        <w:tblLook w:firstColumn="1" w:firstRow="1" w:lastColumn="0" w:lastRow="0" w:noHBand="0" w:noVBand="1" w:val="04A0"/>
      </w:tblPr>
      <w:tblGrid>
        <w:gridCol w:w="6624"/>
        <w:gridCol w:w="1656"/>
        <w:gridCol w:w="1800"/>
      </w:tblGrid>
      <w:tr>
        <w:trPr>
          <w:cantSplit/>
          <w:tblHeader/>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Fase</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Habilitantes</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Verificables</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 Vinculación</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2</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4</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2 Activación</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8</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3 Institucionalización</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6</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12</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4 Operación sostenida</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7</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14</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5 Integración consolidada</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6</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12</w:t>
            </w:r>
          </w:p>
        </w:tc>
      </w:tr>
      <w:tr>
        <w:trPr>
          <w:cantSplit/>
        </w:trPr>
        <w:tc>
          <w:tcPr>
            <w:tcW w:type="dxa" w:w="66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Total</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50</w:t>
            </w:r>
          </w:p>
        </w:tc>
      </w:tr>
    </w:tbl>
    <w:p>
      <w:pPr>
        <w:widowControl/>
      </w:pPr>
      <w:r>
        <w:rPr>
          <w:b w:val="0"/>
          <w:sz w:val="4"/>
        </w:rPr>
      </w:r>
    </w:p>
    <w:p>
      <w:pPr>
        <w:widowControl/>
      </w:pPr>
      <w:r>
        <w:rPr>
          <w:b w:val="0"/>
        </w:rPr>
        <w:t>Cada habilitante contiene dos observables. Frente a los 105 verificables iniciales, la carga disminuye un 52,4 %. Para las 30 instituciones focalizadas, el máximo pasa de 3.150 a 1.500 registros. La reducción no equivale a pedir 50 documentos: una evidencia puede respaldar varios criterios.</w:t>
      </w:r>
    </w:p>
    <w:p>
      <w:pPr>
        <w:pStyle w:val="Heading2"/>
        <w:widowControl/>
      </w:pPr>
      <w:r>
        <w:t>Qué cambió respecto de la propuesta 24 y 48</w:t>
      </w:r>
    </w:p>
    <w:p>
      <w:pPr>
        <w:widowControl/>
      </w:pPr>
      <w:r>
        <w:rPr>
          <w:b w:val="0"/>
        </w:rPr>
        <w:t>La estructura llega a 25 y 50 para dar espacio explícito a la comunicación y distinguir las dimensiones de interoperabilidad sin ocultar seguridad, personal o conducción directiva dentro de una sola casilla. F1 se reduce de tres a dos habilitantes. Las correspondencias con los 24 anteriores y con los 105 verificables iniciales se conservan al final.</w:t>
      </w:r>
    </w:p>
    <w:p>
      <w:pPr>
        <w:pStyle w:val="Heading2"/>
        <w:widowControl/>
      </w:pPr>
      <w:r>
        <w:t>Estado y uso del informe</w:t>
      </w:r>
    </w:p>
    <w:p>
      <w:pPr>
        <w:widowControl/>
      </w:pPr>
      <w:r>
        <w:rPr>
          <w:b w:val="0"/>
        </w:rPr>
        <w:t>Las definiciones recogen los acuerdos de revisión; la redacción de los verificables y las condiciones decisivas constituyen la propuesta operativa consolidada para su aplicación piloto. No es una validación empírica ni una nueva clasificación de instituciones. La página permanece sin modificaciones.</w:t>
      </w:r>
    </w:p>
    <w:p>
      <w:pPr>
        <w:pStyle w:val="Heading1"/>
        <w:pageBreakBefore/>
        <w:widowControl/>
      </w:pPr>
      <w:r>
        <w:t>1 Fundamentos y función de las fuentes</w:t>
      </w:r>
    </w:p>
    <w:p>
      <w:pPr>
        <w:widowControl/>
      </w:pPr>
      <w:r>
        <w:rPr>
          <w:b w:val="0"/>
        </w:rPr>
        <w:t>Cada habilitante distingue su fundamento, su sentido dentro de la fase y la evidencia que permite observarlo. La fuente normativa orienta la capacidad; una encuesta o un producto aporta antecedentes de su desarrollo. Ninguna fuente prescribe por sí sola esta distribución de 25 habilitantes.</w:t>
      </w:r>
    </w:p>
    <w:tbl>
      <w:tblPr>
        <w:tblW w:type="auto" w:w="0"/>
        <w:jc w:val="center"/>
        <w:tblLayout w:type="fixed"/>
        <w:tblLook w:firstColumn="1" w:firstRow="1" w:lastColumn="0" w:lastRow="0" w:noHBand="0" w:noVBand="1" w:val="04A0"/>
      </w:tblPr>
      <w:tblGrid>
        <w:gridCol w:w="936"/>
        <w:gridCol w:w="3024"/>
        <w:gridCol w:w="6120"/>
      </w:tblGrid>
      <w:tr>
        <w:trPr>
          <w:cantSplit/>
          <w:tblHeader/>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Nº</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Fuente</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Función en el modelo</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DS 28 y Política con oficio de alcances</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Fundamentan coordinación, responsabilidades, información, acceso, estándares, capacidades y sostenibilidad dentro de las competencias de cada organismo.</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2</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Plan de Acción y acta del Consejo</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Vinculan capacidades con implementación y seguimiento. Se distingue propuesta documental de acuerdo adoptado.</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3</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Vías del IGIF e insumos técnicos IDE</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Permiten relacionar personas, datos, normas, tecnología y usuarios. Las etiquetas temáticas no establecen niveles institucionales.</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4</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Encuestas, inventarios y seguimiento de coordinación</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Aportan respuestas y evidencias con fecha y alcance. No convierten automáticamente una declaración en capacidad acreditada.</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5</w:t>
            </w:r>
          </w:p>
        </w:tc>
        <w:tc>
          <w:tcPr>
            <w:tcW w:type="dxa" w:w="30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IDERA, ejemplos y casos de coordinación</w:t>
            </w:r>
          </w:p>
        </w:tc>
        <w:tc>
          <w:tcPr>
            <w:tcW w:type="dxa" w:w="61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Sirven para contrastar cobertura y aplicabilidad. No sustituyen el marco chileno ni prueban por sí solos una fase.</w:t>
            </w:r>
          </w:p>
        </w:tc>
      </w:tr>
    </w:tbl>
    <w:p>
      <w:pPr>
        <w:widowControl/>
      </w:pPr>
      <w:r>
        <w:rPr>
          <w:b w:val="0"/>
          <w:sz w:val="4"/>
        </w:rPr>
      </w:r>
    </w:p>
    <w:p>
      <w:pPr>
        <w:pStyle w:val="Heading2"/>
        <w:widowControl/>
      </w:pPr>
      <w:r>
        <w:t>Fundamentos nacionales</w:t>
      </w:r>
    </w:p>
    <w:p>
      <w:pPr>
        <w:widowControl/>
      </w:pPr>
      <w:r>
        <w:rPr>
          <w:b w:val="0"/>
        </w:rPr>
        <w:t>El DS 28, arts. 1–5, sustenta la coordinación, el trabajo en red y la gestión y acceso a la información. La Política, apartados VII y VIII, aporta relevancia, gradualidad, neutralidad tecnológica, coordinación, sostenibilidad y desarrollo de capacidades. Sus ejes de datos, acceso y uso, interoperabilidad y marco institucional sostienen la organización del modelo. [S1–S2]</w:t>
      </w:r>
    </w:p>
    <w:p>
      <w:pPr>
        <w:widowControl/>
      </w:pPr>
      <w:r>
        <w:rPr>
          <w:b w:val="0"/>
        </w:rPr>
        <w:t>La Política propone comunicación y participación en su eje 2; interoperabilidad de datos y sistemas en el eje 3; y liderazgo, mandatos, participación de autoridades y financiamiento en el eje 4. Estas referencias respaldan los ajustes de F4 y F5. Su ubicación y sus umbrales de evidencia son decisiones metodológicas de este informe. [S2, pp. impresas 19–21]</w:t>
      </w:r>
    </w:p>
    <w:p>
      <w:pPr>
        <w:pStyle w:val="Heading2"/>
        <w:widowControl/>
      </w:pPr>
      <w:r>
        <w:t>Competencias y jerarquía</w:t>
      </w:r>
    </w:p>
    <w:p>
      <w:pPr>
        <w:widowControl/>
      </w:pPr>
      <w:r>
        <w:rPr>
          <w:b w:val="0"/>
        </w:rPr>
        <w:t>La aplicación respeta la autonomía y atribuciones de los organismos. El oficio OF56436/2026 exige no exceder competencias y resguardar la autonomía municipal. La formalización requerida en F3 es una condición de este modelo, no una obligación legal idéntica creada para todos los actores. [S2, oficio final; S15]</w:t>
      </w:r>
    </w:p>
    <w:p>
      <w:pPr>
        <w:widowControl/>
      </w:pPr>
      <w:r>
        <w:rPr>
          <w:b w:val="0"/>
        </w:rPr>
        <w:t>El Plan de junio contiene comentarios de revisión. Se utiliza como antecedente sin afirmar que su redacción completa coincide con la ratificada en agosto. IDERA es referencia comparada; el alcance académico y privado se reserva para una eventual adaptación futura. [S3–S4; S13]</w:t>
      </w:r>
    </w:p>
    <w:p>
      <w:pPr>
        <w:pStyle w:val="Heading1"/>
        <w:pageBreakBefore/>
        <w:widowControl/>
      </w:pPr>
      <w:r>
        <w:t>2 Alcance y dimensiones de la evaluación</w:t>
      </w:r>
    </w:p>
    <w:p>
      <w:pPr>
        <w:widowControl/>
      </w:pPr>
      <w:r>
        <w:rPr>
          <w:b/>
        </w:rPr>
        <w:t>La madurez geoespacial es la capacidad institucional de organizar, sostener e integrar información geoespacial y demostrar su contribución a la gestión y a las decisiones públicas, dentro de un ámbito definido.</w:t>
      </w:r>
    </w:p>
    <w:p>
      <w:pPr>
        <w:pStyle w:val="Heading2"/>
        <w:widowControl/>
      </w:pPr>
      <w:r>
        <w:t>Instituciones y unidad evaluada</w:t>
      </w:r>
    </w:p>
    <w:p>
      <w:pPr>
        <w:widowControl/>
      </w:pPr>
      <w:r>
        <w:rPr>
          <w:b w:val="0"/>
        </w:rPr>
        <w:t>El alcance actual comprende ministerios, servicios y organismos públicos, gobiernos regionales y municipalidades. El universo focalizado sigue siendo de 30 instituciones. La posibilidad de replicación académica o privada fue revisada como antecedente; no se amplía a esos sectores la aplicación actual.</w:t>
      </w:r>
    </w:p>
    <w:p>
      <w:pPr>
        <w:widowControl/>
      </w:pPr>
      <w:r>
        <w:rPr>
          <w:b w:val="0"/>
        </w:rPr>
        <w:t>Cada evaluación declara institución, unidad o ámbito cubierto, procesos y datos priorizados, roles ejercidos y fecha de corte. Un logro sectorial, regional o de una unidad puede alcanzar F5 en ese ámbito; no acredita automáticamente a todo un ministerio o municipio. La cobertura debe incluir los procesos y unidades críticos pertinentes, sin seleccionar solo el caso más favorable.</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Dimensión</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Qué observamos</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Institucionalidad</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Respaldo normativo, responsabilidades, planificación, conducción de autoridades y compromisos de sostenibilidad.</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Información y datos</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Identificación, inventario, custodia, documentación, calidad, actualización y compatibilidad.</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Publicación y acceso</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Productos, plataformas, catálogo, disponibilidad, reutilización y comunicación.</w:t>
            </w:r>
          </w:p>
        </w:tc>
      </w:tr>
      <w:tr>
        <w:trPr>
          <w:cantSplit/>
        </w:trPr>
        <w:tc>
          <w:tcPr>
            <w:tcW w:type="dxa" w:w="25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Gestión y uso</w:t>
            </w:r>
          </w:p>
        </w:tc>
        <w:tc>
          <w:tcPr>
            <w:tcW w:type="dxa" w:w="75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Coordinación, operación regular, interoperabilidad, aporte a decisiones, seguimiento y mejoras.</w:t>
            </w:r>
          </w:p>
        </w:tc>
      </w:tr>
    </w:tbl>
    <w:p>
      <w:pPr>
        <w:widowControl/>
      </w:pPr>
      <w:r>
        <w:rPr>
          <w:b w:val="0"/>
          <w:sz w:val="4"/>
        </w:rPr>
      </w:r>
    </w:p>
    <w:p>
      <w:pPr>
        <w:widowControl/>
      </w:pPr>
      <w:r>
        <w:rPr>
          <w:b w:val="0"/>
        </w:rPr>
        <w:t>Personal, formación, tecnología, normas, seguridad y recursos atraviesan estas dimensiones. Las etiquetas de componente IDE y vía IGIF se incluyen en cada habilitante como correspondencia analítica; no agregan verificables ni puntajes.</w:t>
      </w:r>
    </w:p>
    <w:p>
      <w:pPr>
        <w:pStyle w:val="Heading2"/>
        <w:widowControl/>
      </w:pPr>
      <w:r>
        <w:t>Proporcionalidad y capacidades compartidas</w:t>
      </w:r>
    </w:p>
    <w:p>
      <w:pPr>
        <w:widowControl/>
      </w:pPr>
      <w:r>
        <w:rPr>
          <w:b w:val="0"/>
        </w:rPr>
        <w:t>Una municipalidad puede alcanzar cualquiera de las cinco fases. Se evalúa la capacidad en su ámbito, sin exigir escala nacional, servidor propio, equipo exclusivo ni un mínimo de capas. La infraestructura compartida debe tener acceso, responsabilidades, soporte y uso demostrables. Un enlace a un portal ajeno no acredita por sí solo esa gestión.</w:t>
      </w:r>
    </w:p>
    <w:p>
      <w:pPr>
        <w:widowControl/>
      </w:pPr>
      <w:r>
        <w:rPr>
          <w:b w:val="0"/>
        </w:rPr>
        <w:t>Se distingue productor, custodio, integrador y usuario. Para información externa, el usuario verifica procedencia, versión, aptitud y condiciones de uso; no se le exige actualizar el original que administra otra institución. La falta de presupuesto o de evidencia no se transforma automáticamente en no aplicabilidad.</w:t>
      </w:r>
    </w:p>
    <w:p>
      <w:pPr>
        <w:pStyle w:val="Heading1"/>
        <w:pageBreakBefore/>
        <w:widowControl/>
      </w:pPr>
      <w:r>
        <w:t>3 Cinco fases y cambios de madurez</w:t>
      </w:r>
    </w:p>
    <w:tbl>
      <w:tblPr>
        <w:tblW w:type="auto" w:w="0"/>
        <w:jc w:val="center"/>
        <w:tblLayout w:type="fixed"/>
        <w:tblLook w:firstColumn="1" w:firstRow="1" w:lastColumn="0" w:lastRow="0" w:noHBand="0" w:noVBand="1" w:val="04A0"/>
      </w:tblPr>
      <w:tblGrid>
        <w:gridCol w:w="2160"/>
        <w:gridCol w:w="6480"/>
        <w:gridCol w:w="1440"/>
      </w:tblGrid>
      <w:tr>
        <w:trPr>
          <w:cantSplit/>
          <w:tblHeader/>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Fase</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Cambio que representa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Habilitantes</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 Vinculación</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Se reconoce una iniciativa geoespacial y un referente para comenzar a abordarla. No se exige identificar todavía los conjuntos de datos.</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01–02</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2 Activación</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La iniciativa se traduce en un primer trabajo: datos identificados, tareas coordinadas y un producto útil. Puede desarrollarse con acompañamiento.</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03–06</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3 Institucionalización</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La gestión adquiere respaldo formal, inventario y responsabilidades, reglas, planificación, equipo y plataforma en implementación.</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07–12</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4 Operación sostenida</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Los procesos funcionan regularmente, con datos mantenidos, catálogo inicial, soporte especializado, primeras aplicaciones de estándares y conducción activa.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13–19</w:t>
            </w:r>
          </w:p>
        </w:tc>
      </w:tr>
      <w:tr>
        <w:trPr>
          <w:cantSplit/>
        </w:trPr>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5 Integración consolidada</w:t>
            </w:r>
          </w:p>
        </w:tc>
        <w:tc>
          <w:tcPr>
            <w:tcW w:type="dxa" w:w="64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Datos, sistemas y equipos interoperan efectivamente. Compromisos formales sostienen la integración, cuyos productos aportan valor y se comunican con planificación.</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20–25</w:t>
            </w:r>
          </w:p>
        </w:tc>
      </w:tr>
    </w:tbl>
    <w:p>
      <w:pPr>
        <w:widowControl/>
      </w:pPr>
      <w:r>
        <w:rPr>
          <w:b w:val="0"/>
          <w:sz w:val="4"/>
        </w:rPr>
      </w:r>
    </w:p>
    <w:p>
      <w:pPr>
        <w:pStyle w:val="Heading2"/>
        <w:widowControl/>
      </w:pPr>
      <w:r>
        <w:t>El producto puede iniciar el recorrido</w:t>
      </w:r>
    </w:p>
    <w:p>
      <w:pPr>
        <w:widowControl/>
      </w:pPr>
      <w:r>
        <w:rPr>
          <w:b w:val="0"/>
        </w:rPr>
        <w:t>Una solicitud de visor o dashboard puede anteceder al inventario, la plataforma o la formalización. Su utilidad puede movilizar datos, equipos, recursos y decisiones de autoridad. La secuencia describe consolidación de capacidades; no impone el orden cronológico de todas las acciones.</w:t>
      </w:r>
    </w:p>
    <w:p>
      <w:pPr>
        <w:pStyle w:val="Heading2"/>
        <w:widowControl/>
      </w:pPr>
      <w:r>
        <w:t>Decisiones públicas en todas las fases</w:t>
      </w:r>
    </w:p>
    <w:p>
      <w:pPr>
        <w:widowControl/>
      </w:pPr>
      <w:r>
        <w:rPr>
          <w:b w:val="0"/>
        </w:rPr>
        <w:t>F1 puede comenzar con una solicitud de ejemplo; F2 aporta una primera respuesta; F3 respalda su continuidad; F4 incorpora el uso a procesos habituales; F5 demuestra la contribución de la integración mediante seguimiento y mejoras. Una decisión concreta puede apoyarse desde F2: no se reserva el valor público a F5.</w:t>
      </w:r>
    </w:p>
    <w:p>
      <w:pPr>
        <w:widowControl/>
      </w:pPr>
      <w:r>
        <w:rPr>
          <w:b w:val="0"/>
        </w:rPr>
        <w:t>Se evalúa la contribución geoespacial, no la causalidad exclusiva sobre el resultado de una política pública. Debe poder identificarse qué información se utilizó, en qué proceso y qué aporte tuvo. Un resultado público depende también de otros factores.</w:t>
      </w:r>
    </w:p>
    <w:p>
      <w:pPr>
        <w:pStyle w:val="Heading2"/>
        <w:widowControl/>
      </w:pPr>
      <w:r>
        <w:t>Consolidación sin exigir perfección</w:t>
      </w:r>
    </w:p>
    <w:p>
      <w:pPr>
        <w:widowControl/>
      </w:pPr>
      <w:r>
        <w:rPr>
          <w:b w:val="0"/>
        </w:rPr>
        <w:t>F5 admite integración en expansión y brechas pendientes fuera del alcance acreditado. Dentro del alcance declarado debe haber ejecución comprobable y seguimiento. Un plan de interoperabilidad sin intercambio efectivo todavía no acredita esa capacidad.</w:t>
      </w:r>
    </w:p>
    <w:p>
      <w:pPr>
        <w:pStyle w:val="Heading1"/>
        <w:pageBreakBefore/>
        <w:widowControl/>
      </w:pPr>
      <w:r>
        <w:t>4 Progresión de capacidades transversales</w:t>
      </w:r>
    </w:p>
    <w:tbl>
      <w:tblPr>
        <w:tblW w:type="auto" w:w="0"/>
        <w:jc w:val="center"/>
        <w:tblLayout w:type="fixed"/>
        <w:tblLook w:firstColumn="1" w:firstRow="1" w:lastColumn="0" w:lastRow="0" w:noHBand="0" w:noVBand="1" w:val="04A0"/>
      </w:tblPr>
      <w:tblGrid>
        <w:gridCol w:w="1296"/>
        <w:gridCol w:w="2160"/>
        <w:gridCol w:w="2160"/>
        <w:gridCol w:w="2160"/>
        <w:gridCol w:w="2304"/>
      </w:tblGrid>
      <w:tr>
        <w:trPr>
          <w:cantSplit/>
          <w:tblHeader/>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Aspecto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F1 y F2</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F3</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F4</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F5</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Datos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Temas de interés; luego datos para el primer trabajo.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Inventario estructurado y responsables.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Calidad y actualización ejecutadas.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Compatibilidad y uso de información integrada.</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Tecnología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Medios disponibles y apoyo para el producto.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Plataforma definida e implementación iniciada.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Operación mantenida y soporte especializado.</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Sistemas conectados y flujos recurrentes.</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Metadatos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Fuentes y registros iniciales.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Reglas e inventario documentado.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Catálogo incipiente con fichas mantenidas.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Intercambio de metadatos comprobable.</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Normas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Orientación según la tarea.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Criterios incorporados a las reglas.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Primeras aplicaciones y ajustes.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Aplicación integrada, gestionada y revisada.</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Personal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Referente y personas con tareas.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Funciones y dedicación definidas.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Perfiles especializados cubiertos.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Coordinación y transferencia sostenidas.</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Formación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Introducción y acompañamiento aplicado.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Análisis territorial y gestión de plataformas según brechas.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Aplicación de calidad, normas y servicios.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Resolución de brechas de integración.</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Autoridades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Pueden solicitar o facilitar el primer trabajo.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Formalizan y respaldan el plan.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Revisan y deciden sobre operación y recursos.</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Sostienen acuerdos y revisan resultados.</w:t>
            </w:r>
          </w:p>
        </w:tc>
      </w:tr>
      <w:tr>
        <w:trPr>
          <w:cantSplit/>
        </w:trPr>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Comunicación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Interés, orientación y socialización del producto.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Responsabilidades de acceso y gestión.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Usuarios conocen cómo acceder y usar.</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Plan y acciones internas y externas con revisión.</w:t>
            </w:r>
          </w:p>
        </w:tc>
      </w:tr>
    </w:tbl>
    <w:p>
      <w:pPr>
        <w:widowControl/>
      </w:pPr>
      <w:r>
        <w:rPr>
          <w:b w:val="0"/>
          <w:sz w:val="4"/>
        </w:rPr>
      </w:r>
    </w:p>
    <w:p>
      <w:pPr>
        <w:widowControl/>
      </w:pPr>
      <w:r>
        <w:rPr>
          <w:b w:val="0"/>
          <w:sz w:val="20"/>
        </w:rPr>
        <w:t>Esta matriz orienta el recorrido, no crea subrequisitos adicionales. Una institución puede desarrollar capacidades posteriores antes de consolidar las previas; esos avances se registran en su habilitante. La formación se valora por capacidad disponible o aplicada, no por acumular certificados.</w:t>
      </w:r>
    </w:p>
    <w:p>
      <w:pPr>
        <w:pStyle w:val="Heading2"/>
        <w:widowControl/>
      </w:pPr>
      <w:r>
        <w:t>Relaciones que debe mostrar el futuro diagrama</w:t>
      </w:r>
    </w:p>
    <w:p>
      <w:pPr>
        <w:widowControl/>
      </w:pPr>
      <w:r>
        <w:rPr>
          <w:b w:val="0"/>
        </w:rPr>
        <w:t>El producto puede activar identificación de datos, coordinación y formalización. El seguimiento puede modificar prioridades, formación y recursos. Cada conexión debe señalar si es apoyo recomendado, dependencia técnica específica o retroalimentación. Las flechas no añadirán requisitos ocultos ni implicarán que todos los caminos sean lineales.</w:t>
      </w:r>
    </w:p>
    <w:p>
      <w:pPr>
        <w:widowControl/>
      </w:pPr>
      <w:r>
        <w:rPr>
          <w:b w:val="0"/>
          <w:sz w:val="20"/>
        </w:rPr>
        <w:t>La seguridad, la pertinencia y la referencia espacial deben considerarse desde que el trabajo lo requiera. Su consolidación en fases posteriores no justifica postergar controles necesarios.</w:t>
      </w:r>
    </w:p>
    <w:p>
      <w:pPr>
        <w:pStyle w:val="Heading1"/>
        <w:pageBreakBefore/>
        <w:widowControl/>
      </w:pPr>
      <w:r>
        <w:t>5 Condiciones para acreditar cada fase</w:t>
      </w:r>
    </w:p>
    <w:p>
      <w:pPr>
        <w:widowControl/>
      </w:pPr>
      <w:r>
        <w:rPr>
          <w:b w:val="0"/>
        </w:rPr>
        <w:t>Se propone conservar condiciones decisivas: verificables cuya ausencia impediría sostener el significado de la fase. Son parte de los mismos 50 criterios, identificados con D en las fichas. Los complementarios describen brechas que no sustituyen una condición decisiva. No se utilizan promedios ni ponderaciones para compensar capacidades ausentes.</w:t>
      </w:r>
    </w:p>
    <w:tbl>
      <w:tblPr>
        <w:tblW w:type="auto" w:w="0"/>
        <w:jc w:val="center"/>
        <w:tblLayout w:type="fixed"/>
        <w:tblLook w:firstColumn="1" w:firstRow="1" w:lastColumn="0" w:lastRow="0" w:noHBand="0" w:noVBand="1" w:val="04A0"/>
      </w:tblPr>
      <w:tblGrid>
        <w:gridCol w:w="720"/>
        <w:gridCol w:w="4680"/>
        <w:gridCol w:w="4680"/>
      </w:tblGrid>
      <w:tr>
        <w:trPr>
          <w:cantSplit/>
          <w:tblHeader/>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Fase</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Verificables decisivos</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Razón</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F1</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01.1, 02.1, 02.2</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Referente e iniciativa concreta con una primera gestión.</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F2</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03.1, 04.1, 04.2, 05.2, 06.1, 06.2</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Trabajo definido, datos disponibles, coordinación ejecutada y primer resultado revisado.</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F3</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07.1, 07.2, 08.1, 08.2, 09.1, 10.1, 10.2, 11.1, 12.1</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Respaldo formal, inventario y custodia, reglas, plataforma iniciada, equipo y plan reconocidos.</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F4</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13.1, 13.2, 14.1, 14.2, 15.1, 16.1, 17.1, 17.2, 18.1, 18.2, 19.1, 19.2</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Mantenimiento, catálogo inicial, acceso y protección, aplicación técnica, soporte y conducción regular.</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F5</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20.1, 20.2, 21.1, 21.2, 22.1, 22.2, 23.1, 23.2, 24.1, 24.2, 25.1, 25.2</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Interoperabilidad en datos, sistemas y equipos, sostenibilidad formal cumplida, valor, mejora y comunicación.</w:t>
            </w:r>
          </w:p>
        </w:tc>
      </w:tr>
    </w:tbl>
    <w:p>
      <w:pPr>
        <w:widowControl/>
      </w:pPr>
      <w:r>
        <w:rPr>
          <w:b w:val="0"/>
          <w:sz w:val="4"/>
        </w:rPr>
      </w:r>
    </w:p>
    <w:p>
      <w:pPr>
        <w:widowControl/>
      </w:pPr>
      <w:r>
        <w:rPr>
          <w:b w:val="0"/>
        </w:rPr>
        <w:t>La fase acreditable es la más alta cuyas condiciones decisivas y las de las fases anteriores están acreditadas para el mismo ámbito y fecha. Esta tabla sustituye la del informe 24/48. Es una regla operativa propuesta para contraste en piloto; las fuentes no prescriben estos umbrales.</w:t>
      </w:r>
    </w:p>
    <w:p>
      <w:pPr>
        <w:pStyle w:val="Heading2"/>
        <w:widowControl/>
      </w:pPr>
      <w:r>
        <w:t>Avanzar en una fase no equivale a acreditarla</w:t>
      </w:r>
    </w:p>
    <w:p>
      <w:pPr>
        <w:widowControl/>
      </w:pPr>
      <w:r>
        <w:rPr>
          <w:b w:val="0"/>
        </w:rPr>
        <w:t>Una institución puede desarrollar capacidades de F2 mientras prepara el producto. Si todavía falta un resultado revisado, se informa “activación en desarrollo”, manteniendo la fase ya acreditable. También puede tener intercambio de F5 sin formalización verificada: se reconoce ese logro, sin inferir las condiciones que faltan.</w:t>
      </w:r>
    </w:p>
    <w:p>
      <w:pPr>
        <w:pStyle w:val="Heading2"/>
        <w:widowControl/>
      </w:pPr>
      <w:r>
        <w:t>Incertidumbre y equivalencias</w:t>
      </w:r>
    </w:p>
    <w:p>
      <w:pPr>
        <w:widowControl/>
      </w:pPr>
      <w:r>
        <w:rPr>
          <w:b w:val="0"/>
        </w:rPr>
        <w:t>La falta de respaldo no demuestra incumplimiento. Se comunica, por ejemplo, “F2 acreditable; capacidades operativas observadas; respaldo formal por determinar”. Sin evidencia suficiente para F1 se usa “sin fase acreditada”, indicando si hay ausencia confirmada o información insuficiente; no se crea una sexta fase.</w:t>
      </w:r>
    </w:p>
    <w:p>
      <w:pPr>
        <w:widowControl/>
      </w:pPr>
      <w:r>
        <w:rPr>
          <w:b w:val="0"/>
        </w:rPr>
        <w:t>Primero se busca equivalencia funcional según rol y alcance. Un N/A decisivo no se elimina para promover automáticamente al actor: debe resolverse la equivalencia o dejar la fase afectada sin determinar. Si revela una barrera por tipo de institución, se revisa el diseño antes de calificar.</w:t>
      </w:r>
    </w:p>
    <w:p>
      <w:pPr>
        <w:pStyle w:val="Heading1"/>
        <w:pageBreakBefore/>
        <w:widowControl/>
      </w:pPr>
      <w:r>
        <w:t>6 Estados evidencia y rutina de coordinación</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Estado</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1"/>
              </w:rPr>
              <w:t>Regla</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Acreditado  Verde</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La evidencia satisface el criterio y el alcance. Para operación o integración se requiere ejecución comprobable.</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Parcial  Naranjo</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Existe avance demostrado o ejecución en desarrollo, pero no se cumple todavía el criterio completo.</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No alcanzado  Rojo</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Existe respaldo pertinente de ausencia o una declaración explícita de no cumplimiento.</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No determinable  Gris</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Falta información suficiente o persiste una contradicción material.</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No aplicable  Neutro</w:t>
            </w:r>
          </w:p>
        </w:tc>
        <w:tc>
          <w:tcPr>
            <w:tcW w:type="dxa" w:w="78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1"/>
              </w:rPr>
              <w:t>La función no corresponde al ámbito y la justificación fue revisada; no equivale a logro.</w:t>
            </w:r>
          </w:p>
        </w:tc>
      </w:tr>
    </w:tbl>
    <w:p>
      <w:pPr>
        <w:widowControl/>
      </w:pPr>
      <w:r>
        <w:rPr>
          <w:b w:val="0"/>
          <w:sz w:val="4"/>
        </w:rPr>
      </w:r>
    </w:p>
    <w:p>
      <w:pPr>
        <w:widowControl/>
      </w:pPr>
      <w:r>
        <w:rPr>
          <w:b w:val="0"/>
        </w:rPr>
        <w:t>Un habilitante está acreditado cuando sus dos verificables aplicables lo están. Si uno está acreditado y otro es desconocido, se informa “1 de 2 acreditado; restante por determinar”. Los avances parciales no se convierten en cumplimiento total, y la incertidumbre no se colorea automáticamente como naranjo o rojo.</w:t>
      </w:r>
    </w:p>
    <w:p>
      <w:pPr>
        <w:pStyle w:val="Heading2"/>
        <w:widowControl/>
      </w:pPr>
      <w:r>
        <w:t>Registro mínimo y respuesta concreta</w:t>
      </w:r>
    </w:p>
    <w:p>
      <w:pPr>
        <w:widowControl/>
      </w:pPr>
      <w:r>
        <w:rPr>
          <w:b w:val="0"/>
        </w:rPr>
        <w:t>Cada verificable conserva estado, respuesta concreta, respaldo con localizador, fecha y alcance. Si se identificaron datos, la respuesta presenta cuáles son. Si se demuestra intercambio, identifica recurso y contrapartes. Las fuentes completas se reúnen al final de la ficha, vinculadas a las respuestas para conservar trazabilidad.</w:t>
      </w:r>
    </w:p>
    <w:p>
      <w:pPr>
        <w:widowControl/>
      </w:pPr>
      <w:r>
        <w:rPr>
          <w:b w:val="0"/>
        </w:rPr>
        <w:t>Una misma evidencia puede servir a varios criterios cuando prueba hechos distintos. Los ejemplos de respaldo son alternativas, no nuevas listas obligatorias. Una encuesta puede reconocer una necesidad o un actor; nombrar una plataforma, norma o resolución no sustituye comprobar su uso o contenido.</w:t>
      </w:r>
    </w:p>
    <w:p>
      <w:pPr>
        <w:pStyle w:val="Heading2"/>
        <w:widowControl/>
      </w:pPr>
      <w:r>
        <w:t>Vigencia recurrencia y cobertura</w:t>
      </w:r>
    </w:p>
    <w:p>
      <w:pPr>
        <w:widowControl/>
      </w:pPr>
      <w:r>
        <w:rPr>
          <w:b w:val="0"/>
        </w:rPr>
        <w:t>La antigüedad de un acto no lo invalida automáticamente: se revisa su vigencia. Para recurrencia se propone observar dos ejecuciones comparables o un registro continuo que cubra más de una ocurrencia esperable, según el ciclo del proceso. Es una convención operativa para el piloto, no un umbral estadístico ni una frecuencia universal.</w:t>
      </w:r>
    </w:p>
    <w:p>
      <w:pPr>
        <w:widowControl/>
      </w:pPr>
      <w:r>
        <w:rPr>
          <w:b w:val="0"/>
        </w:rPr>
        <w:t>El alcance se declara antes de evaluar y debe incluir sus procesos críticos. La integración puede ser parcial respecto de toda la institución, pero suficiente para el ámbito acreditado. Las brechas restantes se conservan visibles; un ejemplo aislado no permite afirmar cobertura institucional completa.</w:t>
      </w:r>
    </w:p>
    <w:p>
      <w:pPr>
        <w:pStyle w:val="Heading2"/>
        <w:widowControl/>
      </w:pPr>
      <w:r>
        <w:t>Aplicación manejable</w:t>
      </w:r>
    </w:p>
    <w:p>
      <w:pPr>
        <w:widowControl/>
      </w:pPr>
      <w:r>
        <w:rPr>
          <w:b w:val="0"/>
        </w:rPr>
        <w:t>Confirmar alcance; precargar antecedentes; revisar primero las condiciones decisivas; solicitar solo respaldos faltantes; resolver discrepancias con el referente; acordar hasta tres acciones con responsable, plazo y resultado. Actualizar cambios y revisar anualmente como rutina propuesta. La prioridad de coordinación es un campo separado del color de evidencia.</w:t>
      </w:r>
    </w:p>
    <w:p>
      <w:pPr>
        <w:pStyle w:val="Heading1"/>
        <w:pageBreakBefore/>
        <w:widowControl/>
      </w:pPr>
      <w:r>
        <w:t>7 Habilitantes por fase del 01 al 03</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01 Referente geoespacial reconocido</w:t>
      </w:r>
    </w:p>
    <w:p>
      <w:pPr>
        <w:widowControl/>
      </w:pPr>
      <w:r>
        <w:rPr>
          <w:b w:val="0"/>
          <w:sz w:val="18"/>
        </w:rPr>
        <w:t>Fase 1 Vinculación · IDE Personas y organización · IGIF 1 Gobernanza e instituciones</w:t>
      </w:r>
    </w:p>
    <w:p>
      <w:pPr>
        <w:widowControl/>
      </w:pPr>
      <w:r>
        <w:rPr>
          <w:b w:val="0"/>
          <w:sz w:val="20"/>
        </w:rPr>
        <w:t>Reconoce una interlocución inicial sin exigir todavía un nombramiento formal.</w:t>
      </w:r>
    </w:p>
    <w:p>
      <w:pPr>
        <w:widowControl/>
      </w:pPr>
      <w:r>
        <w:rPr>
          <w:b w:val="0"/>
          <w:sz w:val="21"/>
        </w:rPr>
        <w:t>01.1 D  La institución identifica una persona, equipo o función que actúa como referente para iniciar o acompañar el trabajo geoespacial.</w:t>
      </w:r>
    </w:p>
    <w:p>
      <w:pPr>
        <w:widowControl/>
        <w:spacing w:after="60"/>
      </w:pPr>
      <w:r>
        <w:rPr>
          <w:b w:val="0"/>
          <w:sz w:val="18"/>
        </w:rPr>
        <w:t>Respaldo: Confirmación institucional de quién cumple la función y en qué ámbito.</w:t>
      </w:r>
    </w:p>
    <w:p>
      <w:pPr>
        <w:widowControl/>
      </w:pPr>
      <w:r>
        <w:rPr>
          <w:b w:val="0"/>
          <w:sz w:val="21"/>
        </w:rPr>
        <w:t>01.2  Existe un medio vigente para contactar y coordinar con ese referente.</w:t>
      </w:r>
    </w:p>
    <w:p>
      <w:pPr>
        <w:widowControl/>
        <w:spacing w:after="60"/>
      </w:pPr>
      <w:r>
        <w:rPr>
          <w:b w:val="0"/>
          <w:sz w:val="18"/>
        </w:rPr>
        <w:t>Respaldo: Contacto funcional o intercambio verificable; no exige un canal de difusión específico.</w:t>
      </w:r>
    </w:p>
    <w:p>
      <w:pPr>
        <w:widowControl/>
      </w:pPr>
      <w:r>
        <w:rPr>
          <w:b w:val="0"/>
          <w:sz w:val="18"/>
        </w:rPr>
        <w:t>Fundamento: S1 arts. 1 y 8; S2 VIII vinculación y coordinación, y X. Se adapta la función de interlocución a cada ámbito público.</w:t>
      </w:r>
    </w:p>
    <w:p>
      <w:pPr>
        <w:widowControl/>
      </w:pPr>
      <w:r>
        <w:rPr>
          <w:b w:val="0"/>
          <w:sz w:val="18"/>
        </w:rPr>
        <w:t>Insumos: S5 encuesta 2026 J; S8 contactos y nombramientos; S7 filas 2–7.</w:t>
      </w:r>
    </w:p>
    <w:p>
      <w:pPr>
        <w:pStyle w:val="Heading2"/>
        <w:widowControl/>
      </w:pPr>
      <w:r>
        <w:t>02 Iniciativa geoespacial expresada</w:t>
      </w:r>
    </w:p>
    <w:p>
      <w:pPr>
        <w:widowControl/>
      </w:pPr>
      <w:r>
        <w:rPr>
          <w:b w:val="0"/>
          <w:sz w:val="18"/>
        </w:rPr>
        <w:t>Fase 1 Vinculación · IDE Organización y usuarios · IGIF 9 Comunicación y compromiso</w:t>
      </w:r>
    </w:p>
    <w:p>
      <w:pPr>
        <w:widowControl/>
      </w:pPr>
      <w:r>
        <w:rPr>
          <w:b w:val="0"/>
          <w:sz w:val="20"/>
        </w:rPr>
        <w:t>Reconoce una intención concreta y un primer acercamiento, aunque aún no se conozcan los conjuntos de datos.</w:t>
      </w:r>
    </w:p>
    <w:p>
      <w:pPr>
        <w:widowControl/>
      </w:pPr>
      <w:r>
        <w:rPr>
          <w:b w:val="0"/>
          <w:sz w:val="21"/>
        </w:rPr>
        <w:t>02.1 D  La institución expresa una pregunta, necesidad o temática que desea abordar con información geoespacial.</w:t>
      </w:r>
    </w:p>
    <w:p>
      <w:pPr>
        <w:widowControl/>
        <w:spacing w:after="60"/>
      </w:pPr>
      <w:r>
        <w:rPr>
          <w:b w:val="0"/>
          <w:sz w:val="18"/>
        </w:rPr>
        <w:t>Respaldo: Solicitud de orientación, ejemplo, capacitación o producto con finalidad reconocible; basta un tema de datos.</w:t>
      </w:r>
    </w:p>
    <w:p>
      <w:pPr>
        <w:widowControl/>
      </w:pPr>
      <w:r>
        <w:rPr>
          <w:b w:val="0"/>
          <w:sz w:val="21"/>
        </w:rPr>
        <w:t>02.2 D  Se ha realizado una primera gestión para explorar esa iniciativa.</w:t>
      </w:r>
    </w:p>
    <w:p>
      <w:pPr>
        <w:widowControl/>
        <w:spacing w:after="60"/>
      </w:pPr>
      <w:r>
        <w:rPr>
          <w:b w:val="0"/>
          <w:sz w:val="18"/>
        </w:rPr>
        <w:t>Respaldo: Solicitud, reunión, encargo o acuerdo con SNIT, un equipo interno u otra contraparte pertinente.</w:t>
      </w:r>
    </w:p>
    <w:p>
      <w:pPr>
        <w:widowControl/>
      </w:pPr>
      <w:r>
        <w:rPr>
          <w:b w:val="0"/>
          <w:sz w:val="18"/>
        </w:rPr>
        <w:t>Fundamento: S2 VII relevancia y gradualidad; VIII vinculación institucional y desarrollo de capacidades. La iniciativa es una expresión inicial propuesta por el modelo.</w:t>
      </w:r>
    </w:p>
    <w:p>
      <w:pPr>
        <w:widowControl/>
      </w:pPr>
      <w:r>
        <w:rPr>
          <w:b w:val="0"/>
          <w:sz w:val="18"/>
        </w:rPr>
        <w:t>Insumos: S5 necesidades y propuestas; S8 gestiones; S14 relatos de Economía y MINEDUC; solicitudes por contrastar.</w:t>
      </w:r>
    </w:p>
    <w:p>
      <w:pPr>
        <w:pStyle w:val="Heading2"/>
        <w:widowControl/>
      </w:pPr>
      <w:r>
        <w:t>03 Necesidad y primer trabajo definidos</w:t>
      </w:r>
    </w:p>
    <w:p>
      <w:pPr>
        <w:widowControl/>
      </w:pPr>
      <w:r>
        <w:rPr>
          <w:b w:val="0"/>
          <w:sz w:val="18"/>
        </w:rPr>
        <w:t>Fase 2 Activación · IDE Organización y usuarios · IGIF 1 Gobernanza e instituciones; 4 Datos</w:t>
      </w:r>
    </w:p>
    <w:p>
      <w:pPr>
        <w:widowControl/>
      </w:pPr>
      <w:r>
        <w:rPr>
          <w:b w:val="0"/>
          <w:sz w:val="20"/>
        </w:rPr>
        <w:t>Convierte el interés de F1 en una tarea abordable y un resultado esperado.</w:t>
      </w:r>
    </w:p>
    <w:p>
      <w:pPr>
        <w:widowControl/>
      </w:pPr>
      <w:r>
        <w:rPr>
          <w:b w:val="0"/>
          <w:sz w:val="21"/>
        </w:rPr>
        <w:t>03.1 D  Se define qué se necesita conocer o resolver y quién utilizará el resultado.</w:t>
      </w:r>
    </w:p>
    <w:p>
      <w:pPr>
        <w:widowControl/>
        <w:spacing w:after="60"/>
      </w:pPr>
      <w:r>
        <w:rPr>
          <w:b w:val="0"/>
          <w:sz w:val="18"/>
        </w:rPr>
        <w:t>Respaldo: Pregunta o tarea vinculada a una función pública y destinatario identificado.</w:t>
      </w:r>
    </w:p>
    <w:p>
      <w:pPr>
        <w:widowControl/>
      </w:pPr>
      <w:r>
        <w:rPr>
          <w:b w:val="0"/>
          <w:sz w:val="21"/>
        </w:rPr>
        <w:t>03.2  Se acuerda el alcance inicial del trabajo.</w:t>
      </w:r>
    </w:p>
    <w:p>
      <w:pPr>
        <w:widowControl/>
        <w:spacing w:after="60"/>
      </w:pPr>
      <w:r>
        <w:rPr>
          <w:b w:val="0"/>
          <w:sz w:val="18"/>
        </w:rPr>
        <w:t>Respaldo: Temática, territorio, proceso o resultado esperado delimitado en una solicitud o minuta.</w:t>
      </w:r>
    </w:p>
    <w:p>
      <w:pPr>
        <w:widowControl/>
      </w:pPr>
      <w:r>
        <w:rPr>
          <w:b w:val="0"/>
          <w:sz w:val="18"/>
        </w:rPr>
        <w:t>Fundamento: S1 art. 2; S2 VII relevancia, VIII vinculación institucional y IX eje 2. La delimitación del primer trabajo es una decisión de diseño.</w:t>
      </w:r>
    </w:p>
    <w:p>
      <w:pPr>
        <w:widowControl/>
      </w:pPr>
      <w:r>
        <w:rPr>
          <w:b w:val="0"/>
          <w:sz w:val="18"/>
        </w:rPr>
        <w:t>Insumos: S5 encuesta 2026 AE–AF y BY; S14 casos de coordinación; minutas de alcance.</w:t>
      </w:r>
    </w:p>
    <w:p>
      <w:pPr>
        <w:pStyle w:val="Heading1"/>
        <w:pageBreakBefore/>
        <w:widowControl/>
      </w:pPr>
      <w:r>
        <w:t>7 Habilitantes por fase del 04 al 06</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04 Datos identificados y organizados</w:t>
      </w:r>
    </w:p>
    <w:p>
      <w:pPr>
        <w:widowControl/>
      </w:pPr>
      <w:r>
        <w:rPr>
          <w:b w:val="0"/>
          <w:sz w:val="18"/>
        </w:rPr>
        <w:t>Fase 2 Activación · IDE Datos y tecnología · IGIF 4 Datos</w:t>
      </w:r>
    </w:p>
    <w:p>
      <w:pPr>
        <w:widowControl/>
      </w:pPr>
      <w:r>
        <w:rPr>
          <w:b w:val="0"/>
          <w:sz w:val="20"/>
        </w:rPr>
        <w:t>Identifica recursos concretos para el primer trabajo; no exige inventario completo de la institución.</w:t>
      </w:r>
    </w:p>
    <w:p>
      <w:pPr>
        <w:widowControl/>
      </w:pPr>
      <w:r>
        <w:rPr>
          <w:b w:val="0"/>
          <w:sz w:val="21"/>
        </w:rPr>
        <w:t>04.1 D  Se identifican los conjuntos de datos y sus fuentes necesarios para el trabajo priorizado.</w:t>
      </w:r>
    </w:p>
    <w:p>
      <w:pPr>
        <w:widowControl/>
        <w:spacing w:after="60"/>
      </w:pPr>
      <w:r>
        <w:rPr>
          <w:b w:val="0"/>
          <w:sz w:val="18"/>
        </w:rPr>
        <w:t>Respaldo: Lista de recursos propios o externos con procedencia; un listado de temas por sí solo sigue siendo F1.</w:t>
      </w:r>
    </w:p>
    <w:p>
      <w:pPr>
        <w:widowControl/>
      </w:pPr>
      <w:r>
        <w:rPr>
          <w:b w:val="0"/>
          <w:sz w:val="21"/>
        </w:rPr>
        <w:t>04.2 D  Los recursos disponibles están organizados y son accesibles para quienes realizan el trabajo.</w:t>
      </w:r>
    </w:p>
    <w:p>
      <w:pPr>
        <w:widowControl/>
        <w:spacing w:after="60"/>
      </w:pPr>
      <w:r>
        <w:rPr>
          <w:b w:val="0"/>
          <w:sz w:val="18"/>
        </w:rPr>
        <w:t>Respaldo: Acceso a carpeta, repositorio o servicio identificado; no exige descargar todos los datos.</w:t>
      </w:r>
    </w:p>
    <w:p>
      <w:pPr>
        <w:widowControl/>
      </w:pPr>
      <w:r>
        <w:rPr>
          <w:b w:val="0"/>
          <w:sz w:val="18"/>
        </w:rPr>
        <w:t>Fundamento: S1 art. 4; S2 IX eje 1. Se distingue identificar información de asumir su custodia institucional.</w:t>
      </w:r>
    </w:p>
    <w:p>
      <w:pPr>
        <w:widowControl/>
      </w:pPr>
      <w:r>
        <w:rPr>
          <w:b w:val="0"/>
          <w:sz w:val="18"/>
        </w:rPr>
        <w:t>Insumos: S5 encuesta 2026 AC–AD y AI; S6 listado de datos; 2025 HC Y–AA.</w:t>
      </w:r>
    </w:p>
    <w:p>
      <w:pPr>
        <w:pStyle w:val="Heading2"/>
        <w:widowControl/>
      </w:pPr>
      <w:r>
        <w:t>05 Trabajo geoespacial coordinado</w:t>
      </w:r>
    </w:p>
    <w:p>
      <w:pPr>
        <w:widowControl/>
      </w:pPr>
      <w:r>
        <w:rPr>
          <w:b w:val="0"/>
          <w:sz w:val="18"/>
        </w:rPr>
        <w:t>Fase 2 Activación · IDE Personas y organización · IGIF 1 Gobernanza e instituciones; 8 Capacidad y educación</w:t>
      </w:r>
    </w:p>
    <w:p>
      <w:pPr>
        <w:widowControl/>
      </w:pPr>
      <w:r>
        <w:rPr>
          <w:b w:val="0"/>
          <w:sz w:val="20"/>
        </w:rPr>
        <w:t>Permite realizar tareas mediante capacidades propias o acompañamiento, incluida formación introductoria.</w:t>
      </w:r>
    </w:p>
    <w:p>
      <w:pPr>
        <w:widowControl/>
      </w:pPr>
      <w:r>
        <w:rPr>
          <w:b w:val="0"/>
          <w:sz w:val="21"/>
        </w:rPr>
        <w:t>05.1  Se reconoce quién aporta información, prepara el resultado y lo revisa o utiliza.</w:t>
      </w:r>
    </w:p>
    <w:p>
      <w:pPr>
        <w:widowControl/>
        <w:spacing w:after="60"/>
      </w:pPr>
      <w:r>
        <w:rPr>
          <w:b w:val="0"/>
          <w:sz w:val="18"/>
        </w:rPr>
        <w:t>Respaldo: Distribución de tareas, incluso si una persona cubre varias o existe apoyo de SNIT.</w:t>
      </w:r>
    </w:p>
    <w:p>
      <w:pPr>
        <w:widowControl/>
      </w:pPr>
      <w:r>
        <w:rPr>
          <w:b w:val="0"/>
          <w:sz w:val="21"/>
        </w:rPr>
        <w:t>05.2 D  Se ejecuta una tarea coordinada con un avance o resultado comprobable.</w:t>
      </w:r>
    </w:p>
    <w:p>
      <w:pPr>
        <w:widowControl/>
        <w:spacing w:after="60"/>
      </w:pPr>
      <w:r>
        <w:rPr>
          <w:b w:val="0"/>
          <w:sz w:val="18"/>
        </w:rPr>
        <w:t>Respaldo: Entrega, revisión conjunta o ejercicio aplicado al trabajo; participar en un curso no basta por sí solo.</w:t>
      </w:r>
    </w:p>
    <w:p>
      <w:pPr>
        <w:widowControl/>
      </w:pPr>
      <w:r>
        <w:rPr>
          <w:b w:val="0"/>
          <w:sz w:val="18"/>
        </w:rPr>
        <w:t>Fundamento: S1 arts. 1 y 11; S2 VIII coordinación y desarrollo de capacidades. Se observa colaboración aplicada, no asistencia aislada.</w:t>
      </w:r>
    </w:p>
    <w:p>
      <w:pPr>
        <w:widowControl/>
      </w:pPr>
      <w:r>
        <w:rPr>
          <w:b w:val="0"/>
          <w:sz w:val="18"/>
        </w:rPr>
        <w:t>Insumos: S5 encuesta 2026 K–N, BE–BH y BN–BP; S7 coordinación; acuerdos de trabajo.</w:t>
      </w:r>
    </w:p>
    <w:p>
      <w:pPr>
        <w:pStyle w:val="Heading2"/>
        <w:widowControl/>
      </w:pPr>
      <w:r>
        <w:t>06 Primer producto informativo útil</w:t>
      </w:r>
    </w:p>
    <w:p>
      <w:pPr>
        <w:widowControl/>
      </w:pPr>
      <w:r>
        <w:rPr>
          <w:b w:val="0"/>
          <w:sz w:val="18"/>
        </w:rPr>
        <w:t>Fase 2 Activación · IDE Tecnología y usuarios · IGIF 5 Innovación; 9 Comunicación y compromiso</w:t>
      </w:r>
    </w:p>
    <w:p>
      <w:pPr>
        <w:widowControl/>
      </w:pPr>
      <w:r>
        <w:rPr>
          <w:b w:val="0"/>
          <w:sz w:val="20"/>
        </w:rPr>
        <w:t>Hace observable la activación mediante una respuesta concreta y la participación de su destinatario.</w:t>
      </w:r>
    </w:p>
    <w:p>
      <w:pPr>
        <w:widowControl/>
      </w:pPr>
      <w:r>
        <w:rPr>
          <w:b w:val="0"/>
          <w:sz w:val="21"/>
        </w:rPr>
        <w:t>06.1 D  Existe un resultado geoespacial consultable que responde al primer trabajo definido.</w:t>
      </w:r>
    </w:p>
    <w:p>
      <w:pPr>
        <w:widowControl/>
        <w:spacing w:after="60"/>
      </w:pPr>
      <w:r>
        <w:rPr>
          <w:b w:val="0"/>
          <w:sz w:val="18"/>
        </w:rPr>
        <w:t>Respaldo: Mapa, análisis, visor, dashboard o informe; puede elaborarse con apoyo de otra institución.</w:t>
      </w:r>
    </w:p>
    <w:p>
      <w:pPr>
        <w:widowControl/>
      </w:pPr>
      <w:r>
        <w:rPr>
          <w:b w:val="0"/>
          <w:sz w:val="21"/>
        </w:rPr>
        <w:t>06.2 D  El área destinataria ha revisado o utilizado el resultado y reconoce para qué le sirve.</w:t>
      </w:r>
    </w:p>
    <w:p>
      <w:pPr>
        <w:widowControl/>
        <w:spacing w:after="60"/>
      </w:pPr>
      <w:r>
        <w:rPr>
          <w:b w:val="0"/>
          <w:sz w:val="18"/>
        </w:rPr>
        <w:t>Respaldo: Observación, validación de utilidad o ejemplo de uso; la mera entrega de un enlace no basta.</w:t>
      </w:r>
    </w:p>
    <w:p>
      <w:pPr>
        <w:widowControl/>
      </w:pPr>
      <w:r>
        <w:rPr>
          <w:b w:val="0"/>
          <w:sz w:val="18"/>
        </w:rPr>
        <w:t>Fundamento: S1 art. 2; S2 VII relevancia y IX eje 2. El producto puede movilizar posteriormente datos, equipos y formalización.</w:t>
      </w:r>
    </w:p>
    <w:p>
      <w:pPr>
        <w:widowControl/>
      </w:pPr>
      <w:r>
        <w:rPr>
          <w:b w:val="0"/>
          <w:sz w:val="18"/>
        </w:rPr>
        <w:t>Insumos: S5 encuesta 2026 AK–AN y CA; S9 ejemplos de productos; revisión del área solicitante.</w:t>
      </w:r>
    </w:p>
    <w:p>
      <w:pPr>
        <w:pStyle w:val="Heading1"/>
        <w:pageBreakBefore/>
        <w:widowControl/>
      </w:pPr>
      <w:r>
        <w:t>7 Habilitantes por fase del 07 al 09</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07 Gestión geoespacial formalizada</w:t>
      </w:r>
    </w:p>
    <w:p>
      <w:pPr>
        <w:widowControl/>
      </w:pPr>
      <w:r>
        <w:rPr>
          <w:b w:val="0"/>
          <w:sz w:val="18"/>
        </w:rPr>
        <w:t>Fase 3 Institucionalización · IDE Organización y normas · IGIF 1 Gobernanza e instituciones; 2 Políticas y marco legal</w:t>
      </w:r>
    </w:p>
    <w:p>
      <w:pPr>
        <w:widowControl/>
      </w:pPr>
      <w:r>
        <w:rPr>
          <w:b w:val="0"/>
          <w:sz w:val="20"/>
        </w:rPr>
        <w:t>Institucionaliza la función y sus responsabilidades más allá de un contacto o iniciativa personal.</w:t>
      </w:r>
    </w:p>
    <w:p>
      <w:pPr>
        <w:widowControl/>
      </w:pPr>
      <w:r>
        <w:rPr>
          <w:b w:val="0"/>
          <w:sz w:val="21"/>
        </w:rPr>
        <w:t>07.1 D  Un instrumento formal vigente de autoridad competente respalda la gestión geoespacial del ámbito evaluado.</w:t>
      </w:r>
    </w:p>
    <w:p>
      <w:pPr>
        <w:widowControl/>
        <w:spacing w:after="60"/>
      </w:pPr>
      <w:r>
        <w:rPr>
          <w:b w:val="0"/>
          <w:sz w:val="18"/>
        </w:rPr>
        <w:t>Respaldo: Acto administrativo u otro instrumento institucional pertinente; no exige crear una IDE con nombre propio.</w:t>
      </w:r>
    </w:p>
    <w:p>
      <w:pPr>
        <w:widowControl/>
      </w:pPr>
      <w:r>
        <w:rPr>
          <w:b w:val="0"/>
          <w:sz w:val="21"/>
        </w:rPr>
        <w:t>07.2 D  El respaldo institucional asigna responsabilidades para conducir y coordinar esa gestión.</w:t>
      </w:r>
    </w:p>
    <w:p>
      <w:pPr>
        <w:widowControl/>
        <w:spacing w:after="60"/>
      </w:pPr>
      <w:r>
        <w:rPr>
          <w:b w:val="0"/>
          <w:sz w:val="18"/>
        </w:rPr>
        <w:t>Respaldo: Disposición que identifica unidad o función; nombrar solamente un enlace ante SNIT no es suficiente.</w:t>
      </w:r>
    </w:p>
    <w:p>
      <w:pPr>
        <w:widowControl/>
      </w:pPr>
      <w:r>
        <w:rPr>
          <w:b w:val="0"/>
          <w:sz w:val="18"/>
        </w:rPr>
        <w:t>Fundamento: S2 IX eje 4 y X; S1 arts. 1–3. Para municipios, S15 arts. 1 y 12. Se respeta competencia y alcance del instrumento.</w:t>
      </w:r>
    </w:p>
    <w:p>
      <w:pPr>
        <w:widowControl/>
      </w:pPr>
      <w:r>
        <w:rPr>
          <w:b w:val="0"/>
          <w:sz w:val="18"/>
        </w:rPr>
        <w:t>Insumos: S5 encuesta 2026 Q–T; S8 nombramientos; S9 actos mencionados que requieren lectura.</w:t>
      </w:r>
    </w:p>
    <w:p>
      <w:pPr>
        <w:pStyle w:val="Heading2"/>
        <w:widowControl/>
      </w:pPr>
      <w:r>
        <w:t>08 Inventario de datos con responsabilidades definidas</w:t>
      </w:r>
    </w:p>
    <w:p>
      <w:pPr>
        <w:widowControl/>
      </w:pPr>
      <w:r>
        <w:rPr>
          <w:b w:val="0"/>
          <w:sz w:val="18"/>
        </w:rPr>
        <w:t>Fase 3 Institucionalización · IDE Datos y organización · IGIF 4 Datos; 1 Gobernanza e instituciones</w:t>
      </w:r>
    </w:p>
    <w:p>
      <w:pPr>
        <w:widowControl/>
      </w:pPr>
      <w:r>
        <w:rPr>
          <w:b w:val="0"/>
          <w:sz w:val="20"/>
        </w:rPr>
        <w:t>Amplía el listado del primer trabajo a un conocimiento organizado de los datos del ámbito de gestión.</w:t>
      </w:r>
    </w:p>
    <w:p>
      <w:pPr>
        <w:widowControl/>
      </w:pPr>
      <w:r>
        <w:rPr>
          <w:b w:val="0"/>
          <w:sz w:val="21"/>
        </w:rPr>
        <w:t>08.1 D  Existe un inventario estructurado de los datos priorizados con información suficiente para ubicarlos y reconocer su gestión.</w:t>
      </w:r>
    </w:p>
    <w:p>
      <w:pPr>
        <w:widowControl/>
        <w:spacing w:after="60"/>
      </w:pPr>
      <w:r>
        <w:rPr>
          <w:b w:val="0"/>
          <w:sz w:val="18"/>
        </w:rPr>
        <w:t>Respaldo: Registro con contenido, ubicación, responsable y condiciones básicas de acceso y actualización.</w:t>
      </w:r>
    </w:p>
    <w:p>
      <w:pPr>
        <w:widowControl/>
      </w:pPr>
      <w:r>
        <w:rPr>
          <w:b w:val="0"/>
          <w:sz w:val="21"/>
        </w:rPr>
        <w:t>08.2 D  Están asignadas y reconocidas las responsabilidades sobre esos datos y el mantenimiento del inventario.</w:t>
      </w:r>
    </w:p>
    <w:p>
      <w:pPr>
        <w:widowControl/>
        <w:spacing w:after="60"/>
      </w:pPr>
      <w:r>
        <w:rPr>
          <w:b w:val="0"/>
          <w:sz w:val="18"/>
        </w:rPr>
        <w:t>Respaldo: Distribución entre productores, custodios y usuarios; para datos externos se identifica también la responsabilidad interna de uso.</w:t>
      </w:r>
    </w:p>
    <w:p>
      <w:pPr>
        <w:widowControl/>
      </w:pPr>
      <w:r>
        <w:rPr>
          <w:b w:val="0"/>
          <w:sz w:val="18"/>
        </w:rPr>
        <w:t>Fundamento: S1 art. 4; S2 IX eje 1 sobre gobernanza de datos. La custodia y mantenimiento se interpretan según rol productor o usuario.</w:t>
      </w:r>
    </w:p>
    <w:p>
      <w:pPr>
        <w:widowControl/>
      </w:pPr>
      <w:r>
        <w:rPr>
          <w:b w:val="0"/>
          <w:sz w:val="18"/>
        </w:rPr>
        <w:t>Insumos: S6 hojas institucionales; S5 encuesta 2026 K–L, AC–AD y BF.</w:t>
      </w:r>
    </w:p>
    <w:p>
      <w:pPr>
        <w:pStyle w:val="Heading2"/>
        <w:widowControl/>
      </w:pPr>
      <w:r>
        <w:t>09 Reglas de gestión y documentación definidas</w:t>
      </w:r>
    </w:p>
    <w:p>
      <w:pPr>
        <w:widowControl/>
      </w:pPr>
      <w:r>
        <w:rPr>
          <w:b w:val="0"/>
          <w:sz w:val="18"/>
        </w:rPr>
        <w:t>Fase 3 Institucionalización · IDE Normas y datos · IGIF 2 Políticas y marco legal; 6 Normas y estándares</w:t>
      </w:r>
    </w:p>
    <w:p>
      <w:pPr>
        <w:widowControl/>
      </w:pPr>
      <w:r>
        <w:rPr>
          <w:b w:val="0"/>
          <w:sz w:val="20"/>
        </w:rPr>
        <w:t>Incorpora criterios de acceso, documentación y estándares al organizar los procesos, antes de exigir su aplicación extendida.</w:t>
      </w:r>
    </w:p>
    <w:p>
      <w:pPr>
        <w:widowControl/>
      </w:pPr>
      <w:r>
        <w:rPr>
          <w:b w:val="0"/>
          <w:sz w:val="21"/>
        </w:rPr>
        <w:t>09.1 D  Existen directrices reconocidas para gestionar y documentar los datos, incluidos los criterios técnicos pertinentes.</w:t>
      </w:r>
    </w:p>
    <w:p>
      <w:pPr>
        <w:widowControl/>
        <w:spacing w:after="60"/>
      </w:pPr>
      <w:r>
        <w:rPr>
          <w:b w:val="0"/>
          <w:sz w:val="18"/>
        </w:rPr>
        <w:t>Respaldo: Guía o adopción de reglas comunes; puede contemplar nombres, atributos, referencia espacial y metadatos según el recurso.</w:t>
      </w:r>
    </w:p>
    <w:p>
      <w:pPr>
        <w:widowControl/>
      </w:pPr>
      <w:r>
        <w:rPr>
          <w:b w:val="0"/>
          <w:sz w:val="21"/>
        </w:rPr>
        <w:t>09.2  Los datos priorizados tienen condiciones de acceso y reutilización identificadas y justificadas.</w:t>
      </w:r>
    </w:p>
    <w:p>
      <w:pPr>
        <w:widowControl/>
        <w:spacing w:after="60"/>
      </w:pPr>
      <w:r>
        <w:rPr>
          <w:b w:val="0"/>
          <w:sz w:val="18"/>
        </w:rPr>
        <w:t>Respaldo: Condición pública, interna o restringida y términos de uso; no exige apertura de información protegida.</w:t>
      </w:r>
    </w:p>
    <w:p>
      <w:pPr>
        <w:widowControl/>
      </w:pPr>
      <w:r>
        <w:rPr>
          <w:b w:val="0"/>
          <w:sz w:val="18"/>
        </w:rPr>
        <w:t>Fundamento: S1 art. 4; S2 VIII y IX ejes 1–3. F3 reconoce reglas pertinentes; F4 observa primeras aplicaciones y F5 integración gestionada.</w:t>
      </w:r>
    </w:p>
    <w:p>
      <w:pPr>
        <w:widowControl/>
      </w:pPr>
      <w:r>
        <w:rPr>
          <w:b w:val="0"/>
          <w:sz w:val="18"/>
        </w:rPr>
        <w:t>Insumos: S5 encuesta 2026 S–T y AS–BB como antecedentes; directrices y documentación internas.</w:t>
      </w:r>
    </w:p>
    <w:p>
      <w:pPr>
        <w:pStyle w:val="Heading1"/>
        <w:pageBreakBefore/>
        <w:widowControl/>
      </w:pPr>
      <w:r>
        <w:t>7 Habilitantes por fase del 10 al 12</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10 Plataforma geoespacial en implementación</w:t>
      </w:r>
    </w:p>
    <w:p>
      <w:pPr>
        <w:widowControl/>
      </w:pPr>
      <w:r>
        <w:rPr>
          <w:b w:val="0"/>
          <w:sz w:val="18"/>
        </w:rPr>
        <w:t>Fase 3 Institucionalización · IDE Tecnología · IGIF 5 Innovación</w:t>
      </w:r>
    </w:p>
    <w:p>
      <w:pPr>
        <w:widowControl/>
      </w:pPr>
      <w:r>
        <w:rPr>
          <w:b w:val="0"/>
          <w:sz w:val="20"/>
        </w:rPr>
        <w:t>Organiza una solución tecnológica para sostener productos y ampliar la gestión; no exige infraestructura propia.</w:t>
      </w:r>
    </w:p>
    <w:p>
      <w:pPr>
        <w:widowControl/>
      </w:pPr>
      <w:r>
        <w:rPr>
          <w:b w:val="0"/>
          <w:sz w:val="21"/>
        </w:rPr>
        <w:t>10.1 D  Se define una solución tecnológica para las funciones geoespaciales priorizadas y su alcance de uso.</w:t>
      </w:r>
    </w:p>
    <w:p>
      <w:pPr>
        <w:widowControl/>
        <w:spacing w:after="60"/>
      </w:pPr>
      <w:r>
        <w:rPr>
          <w:b w:val="0"/>
          <w:sz w:val="18"/>
        </w:rPr>
        <w:t>Respaldo: Herramientas y servicios para almacenar, gestionar o publicar; admite combinación de soluciones compartidas.</w:t>
      </w:r>
    </w:p>
    <w:p>
      <w:pPr>
        <w:widowControl/>
      </w:pPr>
      <w:r>
        <w:rPr>
          <w:b w:val="0"/>
          <w:sz w:val="21"/>
        </w:rPr>
        <w:t>10.2 D  La implementación está iniciada con responsabilidades de administración o soporte asignadas.</w:t>
      </w:r>
    </w:p>
    <w:p>
      <w:pPr>
        <w:widowControl/>
        <w:spacing w:after="60"/>
      </w:pPr>
      <w:r>
        <w:rPr>
          <w:b w:val="0"/>
          <w:sz w:val="18"/>
        </w:rPr>
        <w:t>Respaldo: Configuración, accesos habilitados o migración comprobable y responsable; una evaluación de compra no acredita ejecución.</w:t>
      </w:r>
    </w:p>
    <w:p>
      <w:pPr>
        <w:widowControl/>
      </w:pPr>
      <w:r>
        <w:rPr>
          <w:b w:val="0"/>
          <w:sz w:val="18"/>
        </w:rPr>
        <w:t>Fundamento: S1 art. 5; S2 VII neutralidad tecnológica, VIII desarrollo de capacidades y IX ejes 2–3.</w:t>
      </w:r>
    </w:p>
    <w:p>
      <w:pPr>
        <w:widowControl/>
      </w:pPr>
      <w:r>
        <w:rPr>
          <w:b w:val="0"/>
          <w:sz w:val="18"/>
        </w:rPr>
        <w:t>Insumos: S5 encuesta 2026 AI–AN; 2025 HC AF–AG; S7 filas 26–37; registros de implementación.</w:t>
      </w:r>
    </w:p>
    <w:p>
      <w:pPr>
        <w:pStyle w:val="Heading2"/>
        <w:widowControl/>
      </w:pPr>
      <w:r>
        <w:t>11 Equipo y capacidades institucionales definidos</w:t>
      </w:r>
    </w:p>
    <w:p>
      <w:pPr>
        <w:widowControl/>
      </w:pPr>
      <w:r>
        <w:rPr>
          <w:b w:val="0"/>
          <w:sz w:val="18"/>
        </w:rPr>
        <w:t>Fase 3 Institucionalización · IDE Personas · IGIF 8 Capacidad y educación; 1 Gobernanza e instituciones</w:t>
      </w:r>
    </w:p>
    <w:p>
      <w:pPr>
        <w:widowControl/>
      </w:pPr>
      <w:r>
        <w:rPr>
          <w:b w:val="0"/>
          <w:sz w:val="20"/>
        </w:rPr>
        <w:t>Establece funciones, dedicación y formación para sostener el trabajo; puede incluir análisis territorial y administración de plataformas.</w:t>
      </w:r>
    </w:p>
    <w:p>
      <w:pPr>
        <w:widowControl/>
      </w:pPr>
      <w:r>
        <w:rPr>
          <w:b w:val="0"/>
          <w:sz w:val="21"/>
        </w:rPr>
        <w:t>11.1 D  Las funciones geoespaciales necesarias tienen personal o apoyo asignado con dedicación identificable.</w:t>
      </w:r>
    </w:p>
    <w:p>
      <w:pPr>
        <w:widowControl/>
        <w:spacing w:after="60"/>
      </w:pPr>
      <w:r>
        <w:rPr>
          <w:b w:val="0"/>
          <w:sz w:val="18"/>
        </w:rPr>
        <w:t>Respaldo: Responsabilidades y disponibilidad reconocidas; no exige equipo exclusivo ni un número fijo de cargos.</w:t>
      </w:r>
    </w:p>
    <w:p>
      <w:pPr>
        <w:widowControl/>
      </w:pPr>
      <w:r>
        <w:rPr>
          <w:b w:val="0"/>
          <w:sz w:val="21"/>
        </w:rPr>
        <w:t>11.2  Las brechas de competencias tienen una medida de formación o apoyo definida, o se respalda su cobertura.</w:t>
      </w:r>
    </w:p>
    <w:p>
      <w:pPr>
        <w:widowControl/>
        <w:spacing w:after="60"/>
      </w:pPr>
      <w:r>
        <w:rPr>
          <w:b w:val="0"/>
          <w:sz w:val="18"/>
        </w:rPr>
        <w:t>Respaldo: Formación vinculada al trabajo, acompañamiento o experiencia demostrable; no se exige cursar capacitación si la capacidad ya existe.</w:t>
      </w:r>
    </w:p>
    <w:p>
      <w:pPr>
        <w:widowControl/>
      </w:pPr>
      <w:r>
        <w:rPr>
          <w:b w:val="0"/>
          <w:sz w:val="18"/>
        </w:rPr>
        <w:t>Fundamento: S2 VIII desarrollo de capacidades y transferencia de conocimientos; IX ejes 2 y 4.</w:t>
      </w:r>
    </w:p>
    <w:p>
      <w:pPr>
        <w:widowControl/>
      </w:pPr>
      <w:r>
        <w:rPr>
          <w:b w:val="0"/>
          <w:sz w:val="18"/>
        </w:rPr>
        <w:t>Insumos: S5 encuesta 2026 BN–BP; 2024 BN–BR; funciones asignadas y planes de formación.</w:t>
      </w:r>
    </w:p>
    <w:p>
      <w:pPr>
        <w:pStyle w:val="Heading2"/>
        <w:widowControl/>
      </w:pPr>
      <w:r>
        <w:t>12 Plan de trabajo institucional reconocido</w:t>
      </w:r>
    </w:p>
    <w:p>
      <w:pPr>
        <w:widowControl/>
      </w:pPr>
      <w:r>
        <w:rPr>
          <w:b w:val="0"/>
          <w:sz w:val="18"/>
        </w:rPr>
        <w:t>Fase 3 Institucionalización · IDE Organización · IGIF 1 Gobernanza e instituciones; 3 Financiera</w:t>
      </w:r>
    </w:p>
    <w:p>
      <w:pPr>
        <w:widowControl/>
      </w:pPr>
      <w:r>
        <w:rPr>
          <w:b w:val="0"/>
          <w:sz w:val="20"/>
        </w:rPr>
        <w:t>Conecta la gestión formalizada con acciones priorizadas y resultados revisables.</w:t>
      </w:r>
    </w:p>
    <w:p>
      <w:pPr>
        <w:widowControl/>
      </w:pPr>
      <w:r>
        <w:rPr>
          <w:b w:val="0"/>
          <w:sz w:val="21"/>
        </w:rPr>
        <w:t>12.1 D  Existe un plan reconocido institucionalmente con acciones geoespaciales priorizadas y responsables.</w:t>
      </w:r>
    </w:p>
    <w:p>
      <w:pPr>
        <w:widowControl/>
        <w:spacing w:after="60"/>
      </w:pPr>
      <w:r>
        <w:rPr>
          <w:b w:val="0"/>
          <w:sz w:val="18"/>
        </w:rPr>
        <w:t>Respaldo: Plan, programa de unidad o componente de un instrumento de gestión; no exige documento independiente.</w:t>
      </w:r>
    </w:p>
    <w:p>
      <w:pPr>
        <w:widowControl/>
      </w:pPr>
      <w:r>
        <w:rPr>
          <w:b w:val="0"/>
          <w:sz w:val="21"/>
        </w:rPr>
        <w:t>12.2  Las acciones cuentan con plazos y resultados esperados que permiten revisar su cumplimiento.</w:t>
      </w:r>
    </w:p>
    <w:p>
      <w:pPr>
        <w:widowControl/>
        <w:spacing w:after="60"/>
      </w:pPr>
      <w:r>
        <w:rPr>
          <w:b w:val="0"/>
          <w:sz w:val="18"/>
        </w:rPr>
        <w:t>Respaldo: Cronograma o acuerdos verificables; se identifican necesidades de recursos para las acciones pertinentes.</w:t>
      </w:r>
    </w:p>
    <w:p>
      <w:pPr>
        <w:widowControl/>
      </w:pPr>
      <w:r>
        <w:rPr>
          <w:b w:val="0"/>
          <w:sz w:val="18"/>
        </w:rPr>
        <w:t>Fundamento: S2 IX eje 4 sobre implementación progresiva, actividades y financiamiento; S3 objetivo 4.5 como antecedente.</w:t>
      </w:r>
    </w:p>
    <w:p>
      <w:pPr>
        <w:widowControl/>
      </w:pPr>
      <w:r>
        <w:rPr>
          <w:b w:val="0"/>
          <w:sz w:val="18"/>
        </w:rPr>
        <w:t>Insumos: S5 encuesta 2026 BY y 2025 HC BD como pistas; S7 filas 12 y 25; planes o acuerdos.</w:t>
      </w:r>
    </w:p>
    <w:p>
      <w:pPr>
        <w:pStyle w:val="Heading1"/>
        <w:pageBreakBefore/>
        <w:widowControl/>
      </w:pPr>
      <w:r>
        <w:t>7 Habilitantes por fase del 13 al 15</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13 Calidad y actualización controladas</w:t>
      </w:r>
    </w:p>
    <w:p>
      <w:pPr>
        <w:widowControl/>
      </w:pPr>
      <w:r>
        <w:rPr>
          <w:b w:val="0"/>
          <w:sz w:val="18"/>
        </w:rPr>
        <w:t>Fase 4 Operación sostenida · IDE Datos · IGIF 4 Datos</w:t>
      </w:r>
    </w:p>
    <w:p>
      <w:pPr>
        <w:widowControl/>
      </w:pPr>
      <w:r>
        <w:rPr>
          <w:b w:val="0"/>
          <w:sz w:val="20"/>
        </w:rPr>
        <w:t>Mantiene datos aptos para su uso y vigencia conocida dentro de una operación regular.</w:t>
      </w:r>
    </w:p>
    <w:p>
      <w:pPr>
        <w:widowControl/>
      </w:pPr>
      <w:r>
        <w:rPr>
          <w:b w:val="0"/>
          <w:sz w:val="21"/>
        </w:rPr>
        <w:t>13.1 D  Se aplica una revisión de calidad o aptitud adecuada al uso de los datos priorizados y se registra su resultado.</w:t>
      </w:r>
    </w:p>
    <w:p>
      <w:pPr>
        <w:widowControl/>
        <w:spacing w:after="60"/>
      </w:pPr>
      <w:r>
        <w:rPr>
          <w:b w:val="0"/>
          <w:sz w:val="18"/>
        </w:rPr>
        <w:t>Respaldo: Control fechado con resultado y limitaciones relevantes; el usuario puede comprobar aptitud de datos externos.</w:t>
      </w:r>
    </w:p>
    <w:p>
      <w:pPr>
        <w:widowControl/>
      </w:pPr>
      <w:r>
        <w:rPr>
          <w:b w:val="0"/>
          <w:sz w:val="21"/>
        </w:rPr>
        <w:t>13.2 D  Se ejecuta la actualización o revisión de vigencia según la frecuencia o evento definido.</w:t>
      </w:r>
    </w:p>
    <w:p>
      <w:pPr>
        <w:widowControl/>
        <w:spacing w:after="60"/>
      </w:pPr>
      <w:r>
        <w:rPr>
          <w:b w:val="0"/>
          <w:sz w:val="18"/>
        </w:rPr>
        <w:t>Respaldo: Versión, fecha o revisión que justifica conservar el dato sin cambios; no se exige modificar una serie histórica válida.</w:t>
      </w:r>
    </w:p>
    <w:p>
      <w:pPr>
        <w:widowControl/>
      </w:pPr>
      <w:r>
        <w:rPr>
          <w:b w:val="0"/>
          <w:sz w:val="18"/>
        </w:rPr>
        <w:t>Fundamento: S2 VII confiabilidad y coherencia; IX eje 1. Se evalúa aptitud según uso y actualización según el ciclo del recurso.</w:t>
      </w:r>
    </w:p>
    <w:p>
      <w:pPr>
        <w:widowControl/>
      </w:pPr>
      <w:r>
        <w:rPr>
          <w:b w:val="0"/>
          <w:sz w:val="18"/>
        </w:rPr>
        <w:t>Insumos: S5 encuesta 2024 AJ y 2026 AE–AH como antecedentes; registros de control.</w:t>
      </w:r>
    </w:p>
    <w:p>
      <w:pPr>
        <w:pStyle w:val="Heading2"/>
        <w:widowControl/>
      </w:pPr>
      <w:r>
        <w:t>14 Catálogo inicial mantenido</w:t>
      </w:r>
    </w:p>
    <w:p>
      <w:pPr>
        <w:widowControl/>
      </w:pPr>
      <w:r>
        <w:rPr>
          <w:b w:val="0"/>
          <w:sz w:val="18"/>
        </w:rPr>
        <w:t>Fase 4 Operación sostenida · IDE Datos y tecnología · IGIF 4 Datos; 6 Normas y estándares</w:t>
      </w:r>
    </w:p>
    <w:p>
      <w:pPr>
        <w:widowControl/>
      </w:pPr>
      <w:r>
        <w:rPr>
          <w:b w:val="0"/>
          <w:sz w:val="20"/>
        </w:rPr>
        <w:t>Facilita descubrir los datos mediante fichas consultables; admite cobertura parcial y no exige interoperabilidad todavía.</w:t>
      </w:r>
    </w:p>
    <w:p>
      <w:pPr>
        <w:widowControl/>
      </w:pPr>
      <w:r>
        <w:rPr>
          <w:b w:val="0"/>
          <w:sz w:val="21"/>
        </w:rPr>
        <w:t>14.1 D  Funciona un catálogo inicial con fichas consultables de datos priorizados.</w:t>
      </w:r>
    </w:p>
    <w:p>
      <w:pPr>
        <w:widowControl/>
        <w:spacing w:after="60"/>
      </w:pPr>
      <w:r>
        <w:rPr>
          <w:b w:val="0"/>
          <w:sz w:val="18"/>
        </w:rPr>
        <w:t>Respaldo: Catálogo propio o compartido con registros bajo responsabilidad identificada; plataforma vacía o lista de enlaces no basta.</w:t>
      </w:r>
    </w:p>
    <w:p>
      <w:pPr>
        <w:widowControl/>
      </w:pPr>
      <w:r>
        <w:rPr>
          <w:b w:val="0"/>
          <w:sz w:val="21"/>
        </w:rPr>
        <w:t>14.2 D  Las fichas se revisan y mantienen con información suficiente para comprender y acceder al recurso.</w:t>
      </w:r>
    </w:p>
    <w:p>
      <w:pPr>
        <w:widowControl/>
        <w:spacing w:after="60"/>
      </w:pPr>
      <w:r>
        <w:rPr>
          <w:b w:val="0"/>
          <w:sz w:val="18"/>
        </w:rPr>
        <w:t>Respaldo: Revisión de contenido, procedencia, fecha y acceso; se trata al menos una inconsistencia si se detecta.</w:t>
      </w:r>
    </w:p>
    <w:p>
      <w:pPr>
        <w:widowControl/>
      </w:pPr>
      <w:r>
        <w:rPr>
          <w:b w:val="0"/>
          <w:sz w:val="18"/>
        </w:rPr>
        <w:t>Fundamento: S1 arts. 4 y 5; S2 IX ejes 1–2; S13 como contraste de contenido y validación de metadatos.</w:t>
      </w:r>
    </w:p>
    <w:p>
      <w:pPr>
        <w:widowControl/>
      </w:pPr>
      <w:r>
        <w:rPr>
          <w:b w:val="0"/>
          <w:sz w:val="18"/>
        </w:rPr>
        <w:t>Insumos: S5 encuesta 2026 AJ; S6 inventario; S7 filas 32–34; fichas y revisiones.</w:t>
      </w:r>
    </w:p>
    <w:p>
      <w:pPr>
        <w:pStyle w:val="Heading2"/>
        <w:widowControl/>
      </w:pPr>
      <w:r>
        <w:t>15 Publicación y acceso para reutilización</w:t>
      </w:r>
    </w:p>
    <w:p>
      <w:pPr>
        <w:widowControl/>
      </w:pPr>
      <w:r>
        <w:rPr>
          <w:b w:val="0"/>
          <w:sz w:val="18"/>
        </w:rPr>
        <w:t>Fase 4 Operación sostenida · IDE Tecnología y usuarios · IGIF 4 Datos; 9 Comunicación y compromiso</w:t>
      </w:r>
    </w:p>
    <w:p>
      <w:pPr>
        <w:widowControl/>
      </w:pPr>
      <w:r>
        <w:rPr>
          <w:b w:val="0"/>
          <w:sz w:val="20"/>
        </w:rPr>
        <w:t>Dispone información para los usuarios autorizados con un acceso adecuado a la necesidad y al tipo de recurso.</w:t>
      </w:r>
    </w:p>
    <w:p>
      <w:pPr>
        <w:widowControl/>
      </w:pPr>
      <w:r>
        <w:rPr>
          <w:b w:val="0"/>
          <w:sz w:val="21"/>
        </w:rPr>
        <w:t>15.1 D  Los usuarios autorizados acceden a datos o productos por un mecanismo operativo que permite el uso previsto.</w:t>
      </w:r>
    </w:p>
    <w:p>
      <w:pPr>
        <w:widowControl/>
        <w:spacing w:after="60"/>
      </w:pPr>
      <w:r>
        <w:rPr>
          <w:b w:val="0"/>
          <w:sz w:val="18"/>
        </w:rPr>
        <w:t>Respaldo: Consulta, descarga o consumo según la necesidad; un visor no sustituye acceso a datos cuando se requiere analizarlos.</w:t>
      </w:r>
    </w:p>
    <w:p>
      <w:pPr>
        <w:widowControl/>
      </w:pPr>
      <w:r>
        <w:rPr>
          <w:b w:val="0"/>
          <w:sz w:val="21"/>
        </w:rPr>
        <w:t>15.2  Los usuarios disponen de orientación y condiciones de reutilización comprensibles.</w:t>
      </w:r>
    </w:p>
    <w:p>
      <w:pPr>
        <w:widowControl/>
        <w:spacing w:after="60"/>
      </w:pPr>
      <w:r>
        <w:rPr>
          <w:b w:val="0"/>
          <w:sz w:val="18"/>
        </w:rPr>
        <w:t>Respaldo: Ayuda, ficha, licencia o comunicación pertinente; admite acceso interno o controlado.</w:t>
      </w:r>
    </w:p>
    <w:p>
      <w:pPr>
        <w:widowControl/>
      </w:pPr>
      <w:r>
        <w:rPr>
          <w:b w:val="0"/>
          <w:sz w:val="18"/>
        </w:rPr>
        <w:t>Fundamento: S1 art. 4; S2 VIII transparencia y accesibilidad y IX eje 2; S13 disponibilidad y reutilización.</w:t>
      </w:r>
    </w:p>
    <w:p>
      <w:pPr>
        <w:widowControl/>
      </w:pPr>
      <w:r>
        <w:rPr>
          <w:b w:val="0"/>
          <w:sz w:val="18"/>
        </w:rPr>
        <w:t>Insumos: S5 encuesta 2026 AN, BT y CA; S7 filas 30–37; medios de acceso.</w:t>
      </w:r>
    </w:p>
    <w:p>
      <w:pPr>
        <w:pStyle w:val="Heading1"/>
        <w:pageBreakBefore/>
        <w:widowControl/>
      </w:pPr>
      <w:r>
        <w:t>7 Habilitantes por fase del 16 al 19</w:t>
      </w:r>
    </w:p>
    <w:p>
      <w:pPr>
        <w:widowControl/>
        <w:spacing w:after="60" w:line="245" w:lineRule="auto"/>
      </w:pPr>
      <w:r>
        <w:rPr>
          <w:b w:val="0"/>
          <w:sz w:val="18"/>
        </w:rPr>
        <w:t>D identifica condición decisiva. Los ejemplos de respaldo son alternativas. El fundamento orienta la capacidad; la formulación y ubicación son propuestas del modelo.</w:t>
      </w:r>
    </w:p>
    <w:p>
      <w:pPr>
        <w:pStyle w:val="Heading2"/>
        <w:widowControl/>
        <w:spacing w:after="60" w:line="245" w:lineRule="auto"/>
      </w:pPr>
      <w:r>
        <w:t>16 Normas y estándares en aplicación</w:t>
      </w:r>
    </w:p>
    <w:p>
      <w:pPr>
        <w:widowControl/>
        <w:spacing w:after="60" w:line="245" w:lineRule="auto"/>
      </w:pPr>
      <w:r>
        <w:rPr>
          <w:b w:val="0"/>
          <w:sz w:val="17"/>
        </w:rPr>
        <w:t>Fase 4 Operación sostenida · IDE Normas · IGIF 6 Normas y estándares</w:t>
      </w:r>
    </w:p>
    <w:p>
      <w:pPr>
        <w:widowControl/>
        <w:spacing w:after="60" w:line="245" w:lineRule="auto"/>
      </w:pPr>
      <w:r>
        <w:rPr>
          <w:b w:val="0"/>
          <w:sz w:val="19"/>
        </w:rPr>
        <w:t>Muestra primeras aplicaciones prácticas, sin exigir implementación completa ni todos los protocolos.</w:t>
      </w:r>
    </w:p>
    <w:p>
      <w:pPr>
        <w:widowControl/>
        <w:spacing w:after="60" w:line="245" w:lineRule="auto"/>
      </w:pPr>
      <w:r>
        <w:rPr>
          <w:b w:val="0"/>
          <w:sz w:val="20"/>
        </w:rPr>
        <w:t>16.1 D  Se demuestra una primera aplicación pertinente de una norma, estándar o especificación en un recurso o proceso.</w:t>
      </w:r>
    </w:p>
    <w:p>
      <w:pPr>
        <w:widowControl/>
        <w:spacing w:after="60" w:line="245" w:lineRule="auto"/>
      </w:pPr>
      <w:r>
        <w:rPr>
          <w:b w:val="0"/>
          <w:sz w:val="18"/>
        </w:rPr>
        <w:t>Respaldo: Metadato, nombres o estructura normalizados, referencia espacial documentada o prueba de servicio; citar una norma no basta.</w:t>
      </w:r>
    </w:p>
    <w:p>
      <w:pPr>
        <w:widowControl/>
        <w:spacing w:after="60" w:line="245" w:lineRule="auto"/>
      </w:pPr>
      <w:r>
        <w:rPr>
          <w:b w:val="0"/>
          <w:sz w:val="20"/>
        </w:rPr>
        <w:t>16.2  Las brechas de implementación identificadas tienen acciones de ajuste definidas o se respalda la cobertura del alcance inicial.</w:t>
      </w:r>
    </w:p>
    <w:p>
      <w:pPr>
        <w:widowControl/>
        <w:spacing w:after="60" w:line="245" w:lineRule="auto"/>
      </w:pPr>
      <w:r>
        <w:rPr>
          <w:b w:val="0"/>
          <w:sz w:val="18"/>
        </w:rPr>
        <w:t>Respaldo: Registro de revisión y próximos ajustes; la formación técnica puede ser una acción, no un logro automático.</w:t>
      </w:r>
    </w:p>
    <w:p>
      <w:pPr>
        <w:widowControl/>
        <w:spacing w:after="60" w:line="245" w:lineRule="auto"/>
      </w:pPr>
      <w:r>
        <w:rPr>
          <w:b w:val="0"/>
          <w:sz w:val="17"/>
        </w:rPr>
        <w:t>Fundamento: S1 art. 4; S2 VII gradualidad y IX eje 3; S13 normalización y servicios como referencia técnica.</w:t>
      </w:r>
    </w:p>
    <w:p>
      <w:pPr>
        <w:widowControl/>
        <w:spacing w:after="60" w:line="245" w:lineRule="auto"/>
      </w:pPr>
      <w:r>
        <w:rPr>
          <w:b w:val="0"/>
          <w:sz w:val="17"/>
        </w:rPr>
        <w:t>Insumos: S5 encuesta 2026 AS–BB; S7 fila 35; pruebas y documentación técnica.</w:t>
      </w:r>
    </w:p>
    <w:p>
      <w:pPr>
        <w:pStyle w:val="Heading2"/>
        <w:widowControl/>
        <w:spacing w:after="60" w:line="245" w:lineRule="auto"/>
      </w:pPr>
      <w:r>
        <w:t>17 Información e intercambio protegidos</w:t>
      </w:r>
    </w:p>
    <w:p>
      <w:pPr>
        <w:widowControl/>
        <w:spacing w:after="60" w:line="245" w:lineRule="auto"/>
      </w:pPr>
      <w:r>
        <w:rPr>
          <w:b w:val="0"/>
          <w:sz w:val="17"/>
        </w:rPr>
        <w:t>Fase 4 Operación sostenida · IDE Normas y tecnología · IGIF 2 Políticas y marco legal</w:t>
      </w:r>
    </w:p>
    <w:p>
      <w:pPr>
        <w:widowControl/>
        <w:spacing w:after="60" w:line="245" w:lineRule="auto"/>
      </w:pPr>
      <w:r>
        <w:rPr>
          <w:b w:val="0"/>
          <w:sz w:val="19"/>
        </w:rPr>
        <w:t>Consolida controles operativos de protección, que deben considerarse desde las primeras fases cuando sean necesarios.</w:t>
      </w:r>
    </w:p>
    <w:p>
      <w:pPr>
        <w:widowControl/>
        <w:spacing w:after="60" w:line="245" w:lineRule="auto"/>
      </w:pPr>
      <w:r>
        <w:rPr>
          <w:b w:val="0"/>
          <w:sz w:val="20"/>
        </w:rPr>
        <w:t>17.1 D  Se aplican controles de acceso o protección acordes con la sensibilidad de los datos revisados.</w:t>
      </w:r>
    </w:p>
    <w:p>
      <w:pPr>
        <w:widowControl/>
        <w:spacing w:after="60" w:line="245" w:lineRule="auto"/>
      </w:pPr>
      <w:r>
        <w:rPr>
          <w:b w:val="0"/>
          <w:sz w:val="18"/>
        </w:rPr>
        <w:t>Respaldo: Permisos, anonimización o tratamiento de información sensible; se justifica el nivel de acceso.</w:t>
      </w:r>
    </w:p>
    <w:p>
      <w:pPr>
        <w:widowControl/>
        <w:spacing w:after="60" w:line="245" w:lineRule="auto"/>
      </w:pPr>
      <w:r>
        <w:rPr>
          <w:b w:val="0"/>
          <w:sz w:val="20"/>
        </w:rPr>
        <w:t>17.2 D  Se dispone de un mecanismo conocido y utilizable para atender incidentes o cambios que afectan la protección.</w:t>
      </w:r>
    </w:p>
    <w:p>
      <w:pPr>
        <w:widowControl/>
        <w:spacing w:after="60" w:line="245" w:lineRule="auto"/>
      </w:pPr>
      <w:r>
        <w:rPr>
          <w:b w:val="0"/>
          <w:sz w:val="18"/>
        </w:rPr>
        <w:t>Respaldo: Responsable y procedimiento o canal de atención institucional, incluido soporte compartido.</w:t>
      </w:r>
    </w:p>
    <w:p>
      <w:pPr>
        <w:widowControl/>
        <w:spacing w:after="60" w:line="245" w:lineRule="auto"/>
      </w:pPr>
      <w:r>
        <w:rPr>
          <w:b w:val="0"/>
          <w:sz w:val="17"/>
        </w:rPr>
        <w:t>Fundamento: S2 VIII interoperabilidad segura y IX eje 3; S3 objetivo 3.2. La ubicación en F4 no posterga protecciones necesarias.</w:t>
      </w:r>
    </w:p>
    <w:p>
      <w:pPr>
        <w:widowControl/>
        <w:spacing w:after="60" w:line="245" w:lineRule="auto"/>
      </w:pPr>
      <w:r>
        <w:rPr>
          <w:b w:val="0"/>
          <w:sz w:val="17"/>
        </w:rPr>
        <w:t>Insumos: S5 encuesta 2026 T como antecedente; permisos, configuraciones y procedimientos.</w:t>
      </w:r>
    </w:p>
    <w:p>
      <w:pPr>
        <w:pStyle w:val="Heading2"/>
        <w:widowControl/>
        <w:spacing w:after="60" w:line="245" w:lineRule="auto"/>
      </w:pPr>
      <w:r>
        <w:t>18 Operación con soporte especializado</w:t>
      </w:r>
    </w:p>
    <w:p>
      <w:pPr>
        <w:widowControl/>
        <w:spacing w:after="60" w:line="245" w:lineRule="auto"/>
      </w:pPr>
      <w:r>
        <w:rPr>
          <w:b w:val="0"/>
          <w:sz w:val="17"/>
        </w:rPr>
        <w:t>Fase 4 Operación sostenida · IDE Personas y tecnología · IGIF 8 Capacidad y educación; 3 Financiera</w:t>
      </w:r>
    </w:p>
    <w:p>
      <w:pPr>
        <w:widowControl/>
        <w:spacing w:after="60" w:line="245" w:lineRule="auto"/>
      </w:pPr>
      <w:r>
        <w:rPr>
          <w:b w:val="0"/>
          <w:sz w:val="19"/>
        </w:rPr>
        <w:t>Mantiene la plataforma y los procesos con funciones especializadas efectivamente cubiertas.</w:t>
      </w:r>
    </w:p>
    <w:p>
      <w:pPr>
        <w:widowControl/>
        <w:spacing w:after="60" w:line="245" w:lineRule="auto"/>
      </w:pPr>
      <w:r>
        <w:rPr>
          <w:b w:val="0"/>
          <w:sz w:val="20"/>
        </w:rPr>
        <w:t>18.1 D  La operación tecnológica priorizada se mantiene y se comprueba su continuidad.</w:t>
      </w:r>
    </w:p>
    <w:p>
      <w:pPr>
        <w:widowControl/>
        <w:spacing w:after="60" w:line="245" w:lineRule="auto"/>
      </w:pPr>
      <w:r>
        <w:rPr>
          <w:b w:val="0"/>
          <w:sz w:val="18"/>
        </w:rPr>
        <w:t>Respaldo: Registros de disponibilidad, mantenimiento, respaldo o recuperación pertinentes al servicio; una promesa no basta.</w:t>
      </w:r>
    </w:p>
    <w:p>
      <w:pPr>
        <w:widowControl/>
        <w:spacing w:after="60" w:line="245" w:lineRule="auto"/>
      </w:pPr>
      <w:r>
        <w:rPr>
          <w:b w:val="0"/>
          <w:sz w:val="20"/>
        </w:rPr>
        <w:t>18.2 D  Las funciones especializadas necesarias están definidas y cubiertas con competencias, dedicación y recursos disponibles.</w:t>
      </w:r>
    </w:p>
    <w:p>
      <w:pPr>
        <w:widowControl/>
        <w:spacing w:after="60" w:line="245" w:lineRule="auto"/>
      </w:pPr>
      <w:r>
        <w:rPr>
          <w:b w:val="0"/>
          <w:sz w:val="18"/>
        </w:rPr>
        <w:t>Respaldo: Perfiles funcionales y asignación efectiva; admite varias funciones por persona y apoyo compartido.</w:t>
      </w:r>
    </w:p>
    <w:p>
      <w:pPr>
        <w:widowControl/>
        <w:spacing w:after="60" w:line="245" w:lineRule="auto"/>
      </w:pPr>
      <w:r>
        <w:rPr>
          <w:b w:val="0"/>
          <w:sz w:val="17"/>
        </w:rPr>
        <w:t>Fundamento: S2 VII sostenibilidad, VIII capacidades y IX eje 4. Especialización se refiere a funciones ejercidas, no a cargos exclusivos.</w:t>
      </w:r>
    </w:p>
    <w:p>
      <w:pPr>
        <w:widowControl/>
        <w:spacing w:after="60" w:line="245" w:lineRule="auto"/>
      </w:pPr>
      <w:r>
        <w:rPr>
          <w:b w:val="0"/>
          <w:sz w:val="17"/>
        </w:rPr>
        <w:t>Insumos: S5 encuesta 2026 X–Y y BN–BP; 2024 AQ; soporte, disponibilidad y mantenimiento.</w:t>
      </w:r>
    </w:p>
    <w:p>
      <w:pPr>
        <w:pStyle w:val="Heading2"/>
        <w:widowControl/>
        <w:spacing w:after="60" w:line="245" w:lineRule="auto"/>
      </w:pPr>
      <w:r>
        <w:t>19 Uso habitual y conducción institucional</w:t>
      </w:r>
    </w:p>
    <w:p>
      <w:pPr>
        <w:widowControl/>
        <w:spacing w:after="60" w:line="245" w:lineRule="auto"/>
      </w:pPr>
      <w:r>
        <w:rPr>
          <w:b w:val="0"/>
          <w:sz w:val="17"/>
        </w:rPr>
        <w:t>Fase 4 Operación sostenida · IDE Organización y usuarios · IGIF 1 Gobernanza e instituciones; 4 Datos</w:t>
      </w:r>
    </w:p>
    <w:p>
      <w:pPr>
        <w:widowControl/>
        <w:spacing w:after="60" w:line="245" w:lineRule="auto"/>
      </w:pPr>
      <w:r>
        <w:rPr>
          <w:b w:val="0"/>
          <w:sz w:val="19"/>
        </w:rPr>
        <w:t>Vincula la operación geoespacial con los procesos públicos y decisiones activas de las autoridades.</w:t>
      </w:r>
    </w:p>
    <w:p>
      <w:pPr>
        <w:widowControl/>
        <w:spacing w:after="60" w:line="245" w:lineRule="auto"/>
      </w:pPr>
      <w:r>
        <w:rPr>
          <w:b w:val="0"/>
          <w:sz w:val="20"/>
        </w:rPr>
        <w:t>19.1 D  La información geoespacial se utiliza regularmente en un proceso institucional identificado.</w:t>
      </w:r>
    </w:p>
    <w:p>
      <w:pPr>
        <w:widowControl/>
        <w:spacing w:after="60" w:line="245" w:lineRule="auto"/>
      </w:pPr>
      <w:r>
        <w:rPr>
          <w:b w:val="0"/>
          <w:sz w:val="18"/>
        </w:rPr>
        <w:t>Respaldo: Proceso, unidad usuaria y ejecuciones según su ciclo; puede ser anual, estacional o por evento.</w:t>
      </w:r>
    </w:p>
    <w:p>
      <w:pPr>
        <w:widowControl/>
        <w:spacing w:after="60" w:line="245" w:lineRule="auto"/>
      </w:pPr>
      <w:r>
        <w:rPr>
          <w:b w:val="0"/>
          <w:sz w:val="20"/>
        </w:rPr>
        <w:t>19.2 D  La autoridad pertinente o instancia directiva facultada revisa avances y adopta decisiones para sostener la operación.</w:t>
      </w:r>
    </w:p>
    <w:p>
      <w:pPr>
        <w:widowControl/>
        <w:spacing w:after="60" w:line="245" w:lineRule="auto"/>
      </w:pPr>
      <w:r>
        <w:rPr>
          <w:b w:val="0"/>
          <w:sz w:val="18"/>
        </w:rPr>
        <w:t>Respaldo: Decisión sobre prioridades, recursos o resolución de obstáculos; presencia ceremonial no basta.</w:t>
      </w:r>
    </w:p>
    <w:p>
      <w:pPr>
        <w:widowControl/>
        <w:spacing w:after="60" w:line="245" w:lineRule="auto"/>
      </w:pPr>
      <w:r>
        <w:rPr>
          <w:b w:val="0"/>
          <w:sz w:val="17"/>
        </w:rPr>
        <w:t>Fundamento: S2 VII relevancia, VIII vinculación institucional y IX eje 4 sobre liderazgo y participación política.</w:t>
      </w:r>
    </w:p>
    <w:p>
      <w:pPr>
        <w:widowControl/>
        <w:spacing w:after="60" w:line="245" w:lineRule="auto"/>
      </w:pPr>
      <w:r>
        <w:rPr>
          <w:b w:val="0"/>
          <w:sz w:val="17"/>
        </w:rPr>
        <w:t>Insumos: S5 encuesta 2026 BG y CA; S4 como contexto; actas de revisión y decisiones internas.</w:t>
      </w:r>
    </w:p>
    <w:p>
      <w:pPr>
        <w:pStyle w:val="Heading1"/>
        <w:pageBreakBefore/>
        <w:widowControl/>
      </w:pPr>
      <w:r>
        <w:t>7 Habilitantes por fase del 20 al 22</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20 Datos compatibles e integrados</w:t>
      </w:r>
    </w:p>
    <w:p>
      <w:pPr>
        <w:widowControl/>
      </w:pPr>
      <w:r>
        <w:rPr>
          <w:b w:val="0"/>
          <w:sz w:val="18"/>
        </w:rPr>
        <w:t>Fase 5 Integración consolidada · IDE Datos y normas · IGIF 4 Datos; 6 Normas y estándares</w:t>
      </w:r>
    </w:p>
    <w:p>
      <w:pPr>
        <w:widowControl/>
      </w:pPr>
      <w:r>
        <w:rPr>
          <w:b w:val="0"/>
          <w:sz w:val="20"/>
        </w:rPr>
        <w:t>Demuestra interoperabilidad del dato mediante significado y referencias compatibles en un resultado de integración.</w:t>
      </w:r>
    </w:p>
    <w:p>
      <w:pPr>
        <w:widowControl/>
      </w:pPr>
      <w:r>
        <w:rPr>
          <w:b w:val="0"/>
          <w:sz w:val="21"/>
        </w:rPr>
        <w:t>20.1 D  Se conocen y mantienen las correspondencias necesarias para interpretar los datos compartidos.</w:t>
      </w:r>
    </w:p>
    <w:p>
      <w:pPr>
        <w:widowControl/>
        <w:spacing w:after="60"/>
      </w:pPr>
      <w:r>
        <w:rPr>
          <w:b w:val="0"/>
          <w:sz w:val="18"/>
        </w:rPr>
        <w:t>Respaldo: Estructuras, conceptos, identificadores o referencia espacial compatibles; no exige transformar si ya coinciden.</w:t>
      </w:r>
    </w:p>
    <w:p>
      <w:pPr>
        <w:widowControl/>
      </w:pPr>
      <w:r>
        <w:rPr>
          <w:b w:val="0"/>
          <w:sz w:val="21"/>
        </w:rPr>
        <w:t>20.2 D  Un resultado de integración demuestra que esas correspondencias funcionan para el uso previsto.</w:t>
      </w:r>
    </w:p>
    <w:p>
      <w:pPr>
        <w:widowControl/>
        <w:spacing w:after="60"/>
      </w:pPr>
      <w:r>
        <w:rPr>
          <w:b w:val="0"/>
          <w:sz w:val="18"/>
        </w:rPr>
        <w:t>Respaldo: Datos combinados o intercambiados y resultado contrastado; debe poder explicarse el tratamiento de diferencias relevantes.</w:t>
      </w:r>
    </w:p>
    <w:p>
      <w:pPr>
        <w:widowControl/>
      </w:pPr>
      <w:r>
        <w:rPr>
          <w:b w:val="0"/>
          <w:sz w:val="18"/>
        </w:rPr>
        <w:t>Fundamento: S2 IX eje 3 sobre información combinable, comprensible y utilizable; S13 normalización como antecedente comparado.</w:t>
      </w:r>
    </w:p>
    <w:p>
      <w:pPr>
        <w:widowControl/>
      </w:pPr>
      <w:r>
        <w:rPr>
          <w:b w:val="0"/>
          <w:sz w:val="18"/>
        </w:rPr>
        <w:t>Insumos: S5 encuesta 2026 BB como pista; estructuras, diccionarios y pruebas de integración.</w:t>
      </w:r>
    </w:p>
    <w:p>
      <w:pPr>
        <w:pStyle w:val="Heading2"/>
        <w:widowControl/>
      </w:pPr>
      <w:r>
        <w:t>21 Sistemas y catálogos interoperables</w:t>
      </w:r>
    </w:p>
    <w:p>
      <w:pPr>
        <w:widowControl/>
      </w:pPr>
      <w:r>
        <w:rPr>
          <w:b w:val="0"/>
          <w:sz w:val="18"/>
        </w:rPr>
        <w:t>Fase 5 Integración consolidada · IDE Tecnología y datos · IGIF 6 Normas y estándares; 5 Innovación</w:t>
      </w:r>
    </w:p>
    <w:p>
      <w:pPr>
        <w:widowControl/>
      </w:pPr>
      <w:r>
        <w:rPr>
          <w:b w:val="0"/>
          <w:sz w:val="20"/>
        </w:rPr>
        <w:t>Demuestra conexiones en funcionamiento, incluido intercambio de metadatos, con cobertura progresiva.</w:t>
      </w:r>
    </w:p>
    <w:p>
      <w:pPr>
        <w:widowControl/>
      </w:pPr>
      <w:r>
        <w:rPr>
          <w:b w:val="0"/>
          <w:sz w:val="21"/>
        </w:rPr>
        <w:t>21.1 D  Existe intercambio geoespacial entre sistemas que funciona de forma recurrente.</w:t>
      </w:r>
    </w:p>
    <w:p>
      <w:pPr>
        <w:widowControl/>
        <w:spacing w:after="60"/>
      </w:pPr>
      <w:r>
        <w:rPr>
          <w:b w:val="0"/>
          <w:sz w:val="18"/>
        </w:rPr>
        <w:t>Respaldo: Proveedor, consumidor, recurso y ejecuciones identificados; admite interfaces pertinentes e infraestructura compartida.</w:t>
      </w:r>
    </w:p>
    <w:p>
      <w:pPr>
        <w:widowControl/>
      </w:pPr>
      <w:r>
        <w:rPr>
          <w:b w:val="0"/>
          <w:sz w:val="21"/>
        </w:rPr>
        <w:t>21.2 D  El catálogo participa en un intercambio comprobable de metadatos y se revisa su funcionamiento.</w:t>
      </w:r>
    </w:p>
    <w:p>
      <w:pPr>
        <w:widowControl/>
        <w:spacing w:after="60"/>
      </w:pPr>
      <w:r>
        <w:rPr>
          <w:b w:val="0"/>
          <w:sz w:val="18"/>
        </w:rPr>
        <w:t>Respaldo: Cosecha o intercambio mediante interfaz pertinente, con registros mantenidos; no exige cobertura completa ni servidor propio.</w:t>
      </w:r>
    </w:p>
    <w:p>
      <w:pPr>
        <w:widowControl/>
      </w:pPr>
      <w:r>
        <w:rPr>
          <w:b w:val="0"/>
          <w:sz w:val="18"/>
        </w:rPr>
        <w:t>Fundamento: S1 arts. 2, 4 y 5; S2 VIII interoperabilidad e innovación y IX eje 3; S13 catálogo y geoservicios.</w:t>
      </w:r>
    </w:p>
    <w:p>
      <w:pPr>
        <w:widowControl/>
      </w:pPr>
      <w:r>
        <w:rPr>
          <w:b w:val="0"/>
          <w:sz w:val="18"/>
        </w:rPr>
        <w:t>Insumos: S5 encuesta 2026 AJ, AN, BI y BY; S7 filas 35 y 40–41; registros de intercambio.</w:t>
      </w:r>
    </w:p>
    <w:p>
      <w:pPr>
        <w:pStyle w:val="Heading2"/>
        <w:widowControl/>
      </w:pPr>
      <w:r>
        <w:t>22 Equipos coordinados para interoperar</w:t>
      </w:r>
    </w:p>
    <w:p>
      <w:pPr>
        <w:widowControl/>
      </w:pPr>
      <w:r>
        <w:rPr>
          <w:b w:val="0"/>
          <w:sz w:val="18"/>
        </w:rPr>
        <w:t>Fase 5 Integración consolidada · IDE Personas y organización · IGIF 7 Alianzas; 8 Capacidad y educación</w:t>
      </w:r>
    </w:p>
    <w:p>
      <w:pPr>
        <w:widowControl/>
      </w:pPr>
      <w:r>
        <w:rPr>
          <w:b w:val="0"/>
          <w:sz w:val="20"/>
        </w:rPr>
        <w:t>Hace sostenible el trabajo entre personas mediante responsabilidades operativas y transferencia de conocimiento.</w:t>
      </w:r>
    </w:p>
    <w:p>
      <w:pPr>
        <w:widowControl/>
      </w:pPr>
      <w:r>
        <w:rPr>
          <w:b w:val="0"/>
          <w:sz w:val="21"/>
        </w:rPr>
        <w:t>22.1 D  Los equipos ejercen responsabilidades acordadas para entregar, recibir, validar y atender cambios del intercambio.</w:t>
      </w:r>
    </w:p>
    <w:p>
      <w:pPr>
        <w:widowControl/>
        <w:spacing w:after="60"/>
      </w:pPr>
      <w:r>
        <w:rPr>
          <w:b w:val="0"/>
          <w:sz w:val="18"/>
        </w:rPr>
        <w:t>Respaldo: Ejecución de un flujo con tareas y contrapartes reconocidas; no basta asistir a reuniones.</w:t>
      </w:r>
    </w:p>
    <w:p>
      <w:pPr>
        <w:widowControl/>
      </w:pPr>
      <w:r>
        <w:rPr>
          <w:b w:val="0"/>
          <w:sz w:val="21"/>
        </w:rPr>
        <w:t>22.2 D  Se aplican mecanismos de transferencia y continuidad del conocimiento necesario para mantener la integración.</w:t>
      </w:r>
    </w:p>
    <w:p>
      <w:pPr>
        <w:widowControl/>
        <w:spacing w:after="60"/>
      </w:pPr>
      <w:r>
        <w:rPr>
          <w:b w:val="0"/>
          <w:sz w:val="18"/>
        </w:rPr>
        <w:t>Respaldo: Documentación utilizable, inducción, reemplazo o cobertura de soporte comprobados; no exige rotación real de personal.</w:t>
      </w:r>
    </w:p>
    <w:p>
      <w:pPr>
        <w:widowControl/>
      </w:pPr>
      <w:r>
        <w:rPr>
          <w:b w:val="0"/>
          <w:sz w:val="18"/>
        </w:rPr>
        <w:t>Fundamento: S1 arts. 1 y 11; S2 VIII coordinación y transferencia de conocimientos, y IX eje 4.</w:t>
      </w:r>
    </w:p>
    <w:p>
      <w:pPr>
        <w:widowControl/>
      </w:pPr>
      <w:r>
        <w:rPr>
          <w:b w:val="0"/>
          <w:sz w:val="18"/>
        </w:rPr>
        <w:t>Insumos: S5 encuesta 2026 BE–BH; S7 filas 38–39; acuerdos operativos y registros de atención.</w:t>
      </w:r>
    </w:p>
    <w:p>
      <w:pPr>
        <w:pStyle w:val="Heading1"/>
        <w:pageBreakBefore/>
        <w:widowControl/>
      </w:pPr>
      <w:r>
        <w:t>7 Habilitantes por fase del 23 al 25</w:t>
      </w:r>
    </w:p>
    <w:p>
      <w:pPr>
        <w:widowControl/>
      </w:pPr>
      <w:r>
        <w:rPr>
          <w:b w:val="0"/>
          <w:sz w:val="18"/>
        </w:rPr>
        <w:t>D identifica condición decisiva. Los ejemplos de respaldo son alternativas. El fundamento orienta la capacidad; la formulación y ubicación son propuestas del modelo.</w:t>
      </w:r>
    </w:p>
    <w:p>
      <w:pPr>
        <w:pStyle w:val="Heading2"/>
        <w:widowControl/>
      </w:pPr>
      <w:r>
        <w:t>23 Sostenibilidad de la integración formalizada</w:t>
      </w:r>
    </w:p>
    <w:p>
      <w:pPr>
        <w:widowControl/>
      </w:pPr>
      <w:r>
        <w:rPr>
          <w:b w:val="0"/>
          <w:sz w:val="18"/>
        </w:rPr>
        <w:t>Fase 5 Integración consolidada · IDE Organización y recursos · IGIF 1 Gobernanza e instituciones; 2 Políticas y marco legal; 3 Financiera</w:t>
      </w:r>
    </w:p>
    <w:p>
      <w:pPr>
        <w:widowControl/>
      </w:pPr>
      <w:r>
        <w:rPr>
          <w:b w:val="0"/>
          <w:sz w:val="20"/>
        </w:rPr>
        <w:t>Respalda la integración con compromisos vigentes y su cumplimiento, bajo conducción de autoridades.</w:t>
      </w:r>
    </w:p>
    <w:p>
      <w:pPr>
        <w:widowControl/>
      </w:pPr>
      <w:r>
        <w:rPr>
          <w:b w:val="0"/>
          <w:sz w:val="21"/>
        </w:rPr>
        <w:t>23.1 D  Acuerdos o actos administrativos vigentes establecen responsabilidades y compromisos para sostener la integración.</w:t>
      </w:r>
    </w:p>
    <w:p>
      <w:pPr>
        <w:widowControl/>
        <w:spacing w:after="60"/>
      </w:pPr>
      <w:r>
        <w:rPr>
          <w:b w:val="0"/>
          <w:sz w:val="18"/>
        </w:rPr>
        <w:t>Respaldo: Instrumentos que cubren continuidad y soporte o recursos pertinentes; formalidad general de F3 no basta.</w:t>
      </w:r>
    </w:p>
    <w:p>
      <w:pPr>
        <w:widowControl/>
      </w:pPr>
      <w:r>
        <w:rPr>
          <w:b w:val="0"/>
          <w:sz w:val="21"/>
        </w:rPr>
        <w:t>23.2 D  La autoridad pertinente revisa y respalda el cumplimiento efectivo de esos compromisos.</w:t>
      </w:r>
    </w:p>
    <w:p>
      <w:pPr>
        <w:widowControl/>
        <w:spacing w:after="60"/>
      </w:pPr>
      <w:r>
        <w:rPr>
          <w:b w:val="0"/>
          <w:sz w:val="18"/>
        </w:rPr>
        <w:t>Respaldo: Revisión de ejecución y decisiones sobre recursos, continuidad o brechas; la sola firma no garantiza sostenibilidad.</w:t>
      </w:r>
    </w:p>
    <w:p>
      <w:pPr>
        <w:widowControl/>
      </w:pPr>
      <w:r>
        <w:rPr>
          <w:b w:val="0"/>
          <w:sz w:val="18"/>
        </w:rPr>
        <w:t>Fundamento: S2 VII sostenibilidad, IX eje 4 y X; S1 arts. 1–3. Los instrumentos se ajustan a las competencias de cada actor.</w:t>
      </w:r>
    </w:p>
    <w:p>
      <w:pPr>
        <w:widowControl/>
      </w:pPr>
      <w:r>
        <w:rPr>
          <w:b w:val="0"/>
          <w:sz w:val="18"/>
        </w:rPr>
        <w:t>Insumos: Actos, convenios o acuerdos competentes; S5 encuesta 2026 S y X–Y como antecedentes; revisión directiva.</w:t>
      </w:r>
    </w:p>
    <w:p>
      <w:pPr>
        <w:pStyle w:val="Heading2"/>
        <w:widowControl/>
      </w:pPr>
      <w:r>
        <w:t>24 Productos con valor institucional demostrado</w:t>
      </w:r>
    </w:p>
    <w:p>
      <w:pPr>
        <w:widowControl/>
      </w:pPr>
      <w:r>
        <w:rPr>
          <w:b w:val="0"/>
          <w:sz w:val="18"/>
        </w:rPr>
        <w:t>Fase 5 Integración consolidada · IDE Datos y usuarios · IGIF 4 Datos; 1 Gobernanza e instituciones</w:t>
      </w:r>
    </w:p>
    <w:p>
      <w:pPr>
        <w:widowControl/>
      </w:pPr>
      <w:r>
        <w:rPr>
          <w:b w:val="0"/>
          <w:sz w:val="20"/>
        </w:rPr>
        <w:t>Explica el aporte geoespacial y utiliza el seguimiento para mejorar la gestión, sin atribuirle todo el resultado público.</w:t>
      </w:r>
    </w:p>
    <w:p>
      <w:pPr>
        <w:widowControl/>
      </w:pPr>
      <w:r>
        <w:rPr>
          <w:b w:val="0"/>
          <w:sz w:val="21"/>
        </w:rPr>
        <w:t>24.1 D  Se demuestra cómo un producto basado en información integrada contribuyó a una decisión o resultado institucional concreto.</w:t>
      </w:r>
    </w:p>
    <w:p>
      <w:pPr>
        <w:widowControl/>
        <w:spacing w:after="60"/>
      </w:pPr>
      <w:r>
        <w:rPr>
          <w:b w:val="0"/>
          <w:sz w:val="18"/>
        </w:rPr>
        <w:t>Respaldo: Producto, usuario, proceso y aporte documentados; no se exige sofisticación visual ni causalidad exclusiva.</w:t>
      </w:r>
    </w:p>
    <w:p>
      <w:pPr>
        <w:widowControl/>
      </w:pPr>
      <w:r>
        <w:rPr>
          <w:b w:val="0"/>
          <w:sz w:val="21"/>
        </w:rPr>
        <w:t>24.2 D  El seguimiento de resultados o metas del ámbito produjo una mejora aplicada cuyo efecto fue revisado.</w:t>
      </w:r>
    </w:p>
    <w:p>
      <w:pPr>
        <w:widowControl/>
        <w:spacing w:after="60"/>
      </w:pPr>
      <w:r>
        <w:rPr>
          <w:b w:val="0"/>
          <w:sz w:val="18"/>
        </w:rPr>
        <w:t>Respaldo: Registro del problema, ajuste y revisión del efecto; no exige éxito total ni una cantidad fija de indicadores.</w:t>
      </w:r>
    </w:p>
    <w:p>
      <w:pPr>
        <w:widowControl/>
      </w:pPr>
      <w:r>
        <w:rPr>
          <w:b w:val="0"/>
          <w:sz w:val="18"/>
        </w:rPr>
        <w:t>Fundamento: S2 VII relevancia, IX eje 2 sobre uso y eje 4; S3 objetivos 4.3 y 4.5 como antecedentes de evaluación.</w:t>
      </w:r>
    </w:p>
    <w:p>
      <w:pPr>
        <w:widowControl/>
      </w:pPr>
      <w:r>
        <w:rPr>
          <w:b w:val="0"/>
          <w:sz w:val="18"/>
        </w:rPr>
        <w:t>Insumos: S5 encuesta 2026 BG–BH y CA; evidencia de uso, metas y seguimiento por complementar.</w:t>
      </w:r>
    </w:p>
    <w:p>
      <w:pPr>
        <w:pStyle w:val="Heading2"/>
        <w:widowControl/>
      </w:pPr>
      <w:r>
        <w:t>25 Comunicación planificada de productos y resultados</w:t>
      </w:r>
    </w:p>
    <w:p>
      <w:pPr>
        <w:widowControl/>
      </w:pPr>
      <w:r>
        <w:rPr>
          <w:b w:val="0"/>
          <w:sz w:val="18"/>
        </w:rPr>
        <w:t>Fase 5 Integración consolidada · IDE Usuarios y organización · IGIF 9 Comunicación y compromiso</w:t>
      </w:r>
    </w:p>
    <w:p>
      <w:pPr>
        <w:widowControl/>
      </w:pPr>
      <w:r>
        <w:rPr>
          <w:b w:val="0"/>
          <w:sz w:val="20"/>
        </w:rPr>
        <w:t>Organiza difusión interna y externa para favorecer uso, colaboración y reutilización de los productos.</w:t>
      </w:r>
    </w:p>
    <w:p>
      <w:pPr>
        <w:widowControl/>
      </w:pPr>
      <w:r>
        <w:rPr>
          <w:b w:val="0"/>
          <w:sz w:val="21"/>
        </w:rPr>
        <w:t>25.1 D  Existe planificación reconocida para comunicar productos y resultados a públicos internos y externos pertinentes.</w:t>
      </w:r>
    </w:p>
    <w:p>
      <w:pPr>
        <w:widowControl/>
        <w:spacing w:after="60"/>
      </w:pPr>
      <w:r>
        <w:rPr>
          <w:b w:val="0"/>
          <w:sz w:val="18"/>
        </w:rPr>
        <w:t>Respaldo: Plan propio o componente institucional con públicos, responsables, canales y acciones; respeta restricciones de información.</w:t>
      </w:r>
    </w:p>
    <w:p>
      <w:pPr>
        <w:widowControl/>
      </w:pPr>
      <w:r>
        <w:rPr>
          <w:b w:val="0"/>
          <w:sz w:val="21"/>
        </w:rPr>
        <w:t>25.2 D  Se ejecutan acciones de comunicación y se revisa su alcance o utilidad para orientar ajustes.</w:t>
      </w:r>
    </w:p>
    <w:p>
      <w:pPr>
        <w:widowControl/>
        <w:spacing w:after="60"/>
      </w:pPr>
      <w:r>
        <w:rPr>
          <w:b w:val="0"/>
          <w:sz w:val="18"/>
        </w:rPr>
        <w:t>Respaldo: Difusión interna y externa pertinente, retroalimentación o revisión de uso; no se imponen redes sociales ni métricas de audiencia mínimas.</w:t>
      </w:r>
    </w:p>
    <w:p>
      <w:pPr>
        <w:widowControl/>
      </w:pPr>
      <w:r>
        <w:rPr>
          <w:b w:val="0"/>
          <w:sz w:val="18"/>
        </w:rPr>
        <w:t>Fundamento: S2 VII oportunidad, VIII transparencia y accesibilidad y IX eje 2, que incluye comunicación y participación.</w:t>
      </w:r>
    </w:p>
    <w:p>
      <w:pPr>
        <w:widowControl/>
      </w:pPr>
      <w:r>
        <w:rPr>
          <w:b w:val="0"/>
          <w:sz w:val="18"/>
        </w:rPr>
        <w:t>Insumos: S5 encuesta 2026 BT y CA como antecedentes; plan comunicacional y registro de acciones.</w:t>
      </w:r>
    </w:p>
    <w:p>
      <w:pPr>
        <w:pStyle w:val="Heading1"/>
        <w:pageBreakBefore/>
        <w:widowControl/>
      </w:pPr>
      <w:r>
        <w:t>8 Cobertura temática y aplicabilidad pública</w:t>
      </w:r>
    </w:p>
    <w:p>
      <w:pPr>
        <w:widowControl/>
      </w:pPr>
      <w:r>
        <w:rPr>
          <w:b w:val="0"/>
        </w:rPr>
        <w:t>El contraste con la lámina de IDERA permitió hacer explícitos la custodia distribuida, la validación de metadatos, la normalización y el acceso para reutilización. Se integra esa cobertura en los habilitantes existentes, manteniendo la jerarquía de fundamentos nacionales. [S13]</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Elemento de contraste</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Cobertura en la versión revisada</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Adhesión y participación</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01–02; el vínculo con SNIT y sus canales es contexto, no requisito excluyente.</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Normativa y responsabilidades de producción</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07–09; distribución entre productores, custodios y usuarios.</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Datos básicos y temáticos</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04 y 08; se consideran según rol, sin exigir producción de todas las categorías.</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Metadatos y validación</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14; fichas útiles revisadas. 21.2; intercambio de metadatos en ejecución.</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Normalización y referencia espacial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09, 16 y 20; criterios, primeras aplicaciones y compatibilidad demostrada.</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Actualización</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13.2; ejecución según frecuencia o evento pertinente.</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Geoportal y productos</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06, 10, 18 y 24; producto, plataforma, continuidad y aporte institucional.</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Servicios y catálogo interoperable</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16 y 21; pruebas iniciales e intercambio efectivo, sin un protocolo único obligatorio.</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Apertura descarga y reutilización</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09.2, 15 y 17; acceso adecuado, condiciones claras y protección.</w:t>
            </w:r>
          </w:p>
        </w:tc>
      </w:tr>
      <w:tr>
        <w:trPr>
          <w:cantSplit/>
        </w:trPr>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Informe y seguimiento</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12, 19, 23 y 24; planificación, revisión directiva y mejora sin otro informe obligatorio.</w:t>
            </w:r>
          </w:p>
        </w:tc>
      </w:tr>
    </w:tbl>
    <w:p>
      <w:pPr>
        <w:widowControl/>
      </w:pPr>
      <w:r>
        <w:rPr>
          <w:b w:val="0"/>
          <w:sz w:val="4"/>
        </w:rPr>
      </w:r>
    </w:p>
    <w:p>
      <w:pPr>
        <w:pStyle w:val="Heading2"/>
        <w:widowControl/>
      </w:pPr>
      <w:r>
        <w:t>Una misma escala desde ministerios hasta municipalidades</w:t>
      </w:r>
    </w:p>
    <w:p>
      <w:pPr>
        <w:widowControl/>
      </w:pPr>
      <w:r>
        <w:rPr>
          <w:b w:val="0"/>
        </w:rPr>
        <w:t>La formalización se reconoce mediante instrumentos competentes para cada actor. La operación puede apoyarse en servicios compartidos, pero debe mantener responsables y continuidad. Los perfiles especializados son funciones cubiertas, no una cuota de cargos. El seguimiento se refiere a las metas y procesos del ámbito público evaluado.</w:t>
      </w:r>
    </w:p>
    <w:p>
      <w:pPr>
        <w:widowControl/>
      </w:pPr>
      <w:r>
        <w:rPr>
          <w:b w:val="0"/>
        </w:rPr>
        <w:t>No se exige gobernanza ministerial para F5 municipal ni se transfiere una fase de un servicio a todo el ministerio. La validación posterior debe incluir al menos un municipio con recursos limitados o soporte compartido para comprobar que las equivalencias funcionan. Academia y sector privado quedan fuera de la aplicación de esta edición.</w:t>
      </w:r>
    </w:p>
    <w:p>
      <w:pPr>
        <w:pStyle w:val="Heading1"/>
        <w:pageBreakBefore/>
        <w:widowControl/>
      </w:pPr>
      <w:r>
        <w:t>9 Casos que ayudan a interpretar la metodología</w:t>
      </w:r>
    </w:p>
    <w:p>
      <w:pPr>
        <w:widowControl/>
      </w:pPr>
      <w:r>
        <w:rPr>
          <w:b w:val="0"/>
        </w:rPr>
        <w:t>Los casos se utilizan como contraste de pertinencia, no como una recalificación completa. Se distingue evidencia contenida en los archivos de situaciones relatadas por la coordinación durante la revisión.</w:t>
      </w:r>
    </w:p>
    <w:p>
      <w:pPr>
        <w:pStyle w:val="Heading2"/>
        <w:widowControl/>
      </w:pPr>
      <w:r>
        <w:t>Economía y el producto como puerta de entrada</w:t>
      </w:r>
    </w:p>
    <w:p>
      <w:pPr>
        <w:widowControl/>
      </w:pPr>
      <w:r>
        <w:rPr>
          <w:b w:val="0"/>
        </w:rPr>
        <w:t>Según el relato de coordinación, un referente y una solicitud de dashboard sobre emergencias con temas de interés permiten reconocer la lógica de F1. La selección de datos, preparación del visor y revisión por el área solicitante aportan a F2. No se considera verificada una fase global a partir del relato. El producto puede motivar después decisiones de formalización. [S14]</w:t>
      </w:r>
    </w:p>
    <w:p>
      <w:pPr>
        <w:pStyle w:val="Heading2"/>
        <w:widowControl/>
      </w:pPr>
      <w:r>
        <w:t>MINEDUC y una activación en desarrollo</w:t>
      </w:r>
    </w:p>
    <w:p>
      <w:pPr>
        <w:widowControl/>
      </w:pPr>
      <w:r>
        <w:rPr>
          <w:b w:val="0"/>
        </w:rPr>
        <w:t>La coordinación describe una solicitud de apoyo a la política rural, un listado de datos y el aporte de establecimientos educacionales. Son antecedentes pertinentes para 03–05. Evaluar instalar Geonodo no demuestra todavía implementación de 10.2; un producto sin revisión del destinatario tampoco acredita 06.2. Se registra avance sin obligar a esperar el resultado final para reconocer actividad. [S14]</w:t>
      </w:r>
    </w:p>
    <w:p>
      <w:pPr>
        <w:pStyle w:val="Heading2"/>
        <w:widowControl/>
      </w:pPr>
      <w:r>
        <w:t>MOP y la diferencia entre gestión formal e IDE formal</w:t>
      </w:r>
    </w:p>
    <w:p>
      <w:pPr>
        <w:widowControl/>
      </w:pPr>
      <w:r>
        <w:rPr>
          <w:b w:val="0"/>
        </w:rPr>
        <w:t>La encuesta 2026, Sheet1 fila 10, Q informa gestión formal con funcionamiento por mejorar; R sitúa la formalización de la IDE a mediano plazo; S identifica resoluciones. Debe examinarse su contenido para 07, sin convertir R en ausencia de toda institucionalización. AJ informa ausencia de catálogo formal interoperable: eso no permite concluir por sí solo que no exista documentación o catálogo inicial de 14. [S5; S9 pp. 4–6]</w:t>
      </w:r>
    </w:p>
    <w:p>
      <w:pPr>
        <w:pStyle w:val="Heading2"/>
        <w:widowControl/>
      </w:pPr>
      <w:r>
        <w:t>CIREN y una experiencia de intercambio</w:t>
      </w:r>
    </w:p>
    <w:p>
      <w:pPr>
        <w:widowControl/>
      </w:pPr>
      <w:r>
        <w:rPr>
          <w:b w:val="0"/>
        </w:rPr>
        <w:t>En la encuesta 2026, fila 5, BY describe cosecha de metadatos con SNIT y propone ampliarla. Se separa la práctica declarada de su expansión futura. El respaldo de 21 debe mostrar intercambio, recursos y funcionamiento. Sus capacidades no se atribuyen automáticamente a todo MINAGRI. [S5; S9 pp. 7–9]</w:t>
      </w:r>
    </w:p>
    <w:p>
      <w:pPr>
        <w:pStyle w:val="Heading2"/>
        <w:widowControl/>
      </w:pPr>
      <w:r>
        <w:t>Atacama Aysén y Los Lagos</w:t>
      </w:r>
    </w:p>
    <w:p>
      <w:pPr>
        <w:widowControl/>
      </w:pPr>
      <w:r>
        <w:rPr>
          <w:b w:val="0"/>
        </w:rPr>
        <w:t>Para Atacama se deben conciliar fechas y tipos de interoperabilidad entre coordGeo y la encuesta 2026 fila 29. Aysén, fila 25 y coordGeo Q38–Q41, aporta antecedentes para contrastar operación e intercambio, sin dar por ejecutados planes futuros. Las filas 13 y 14 de Los Lagos conservan divergencias que requieren revisión; no se suman como evidencia positiva. [S5; S7]</w:t>
      </w:r>
    </w:p>
    <w:p>
      <w:pPr>
        <w:widowControl/>
      </w:pPr>
      <w:r>
        <w:rPr>
          <w:b w:val="0"/>
        </w:rPr>
        <w:t>Una prueba municipal hipotética complementa los casos: pocos funcionarios, funciones cubiertas y plataforma compartida pueden sostener F5 si se acreditan sus condiciones. Un portal sofisticado sin responsables ni mantenimiento no lo hace. Estos ejemplos no equivalen a un piloto municipal realizado.</w:t>
      </w:r>
    </w:p>
    <w:p>
      <w:pPr>
        <w:pStyle w:val="Heading1"/>
        <w:pageBreakBefore/>
        <w:widowControl/>
      </w:pPr>
      <w:r>
        <w:t>10 Hallazgos de auditoría que siguen vigentes</w:t>
      </w:r>
    </w:p>
    <w:p>
      <w:pPr>
        <w:pStyle w:val="Heading2"/>
        <w:widowControl/>
      </w:pPr>
      <w:r>
        <w:t>Sesgo de la clasificación anterior</w:t>
      </w:r>
    </w:p>
    <w:p>
      <w:pPr>
        <w:widowControl/>
      </w:pPr>
      <w:r>
        <w:rPr>
          <w:b w:val="0"/>
        </w:rPr>
        <w:t>La v0.11 contenía 35 habilitantes y 105 verificables, con 14 habilitantes en F4. El clasificador producía 170 registros verdes, 2.049 naranjos, 24 rojos y 907 grises sobre 3.150 registros. Son resultados de reglas informáticas; no tasas comprobadas de madurez. La activación de naranjo por respuesta relacionada y la desigual cobertura de reglas positivas impiden heredarlos como evaluación nueva. [S12]</w:t>
      </w:r>
    </w:p>
    <w:p>
      <w:pPr>
        <w:pStyle w:val="Heading2"/>
        <w:widowControl/>
      </w:pPr>
      <w:r>
        <w:t>Las encuestas y los inventarios requieren lectura contextual</w:t>
      </w:r>
    </w:p>
    <w:p>
      <w:pPr>
        <w:widowControl/>
      </w:pPr>
      <w:r>
        <w:rPr>
          <w:b w:val="0"/>
        </w:rPr>
        <w:t>Las preguntas y coberturas de 2024, 2025 y 2026 difieren. Una respuesta tecnológica no acredita funcionamiento o recurrencia. Los inventarios tienen encabezados heterogéneos, plantillas vacías y referencias a catálogos que no siempre son datos individuales. Se conserva la pregunta original, fecha y alcance; no se equiparan autopercepciones entre años. [S5–S6]</w:t>
      </w:r>
    </w:p>
    <w:p>
      <w:pPr>
        <w:pStyle w:val="Heading2"/>
        <w:widowControl/>
      </w:pPr>
      <w:r>
        <w:t>Referencias que deben conciliarse</w:t>
      </w:r>
    </w:p>
    <w:p>
      <w:pPr>
        <w:widowControl/>
      </w:pPr>
      <w:r>
        <w:rPr>
          <w:b w:val="0"/>
        </w:rPr>
        <w:t>En coordGeo, Madurez geo, L1 identifica Biobío y M1 Ñuble, mientras algunos nombres y correos parecen corresponder a la región de la otra columna. O34, bajo Los Ríos, apunta a Gobierno de Santiago. Son indicios de desalineación o copia, no prueba de cuál registro es correcto. No deben sostener una fase sin revisión. [S7]</w:t>
      </w:r>
    </w:p>
    <w:p>
      <w:pPr>
        <w:pStyle w:val="Heading2"/>
        <w:widowControl/>
      </w:pPr>
      <w:r>
        <w:t>Documentos y actos no demuestran lo mismo</w:t>
      </w:r>
    </w:p>
    <w:p>
      <w:pPr>
        <w:widowControl/>
      </w:pPr>
      <w:r>
        <w:rPr>
          <w:b w:val="0"/>
        </w:rPr>
        <w:t>Un acta acredita acuerdos y participación. Una arquitectura describe organización tecnológica. Una resolución puede formalizar responsabilidades. Ninguno sustituye por sí solo registros de ejecución, uso o continuidad. En F5 deben distinguirse compromisos firmados y cumplimiento demostrado. [S4; S8–S9]</w:t>
      </w:r>
    </w:p>
    <w:p>
      <w:pPr>
        <w:pStyle w:val="Heading2"/>
        <w:widowControl/>
      </w:pPr>
      <w:r>
        <w:t>Calidad y límites del diseño</w:t>
      </w:r>
    </w:p>
    <w:p>
      <w:pPr>
        <w:widowControl/>
      </w:pPr>
      <w:r>
        <w:rPr>
          <w:b w:val="0"/>
        </w:rPr>
        <w:t>Los antecedentes no forman una muestra aleatoria ni validan ponderaciones estadísticas. Las instituciones presentadas como ejemplos pueden tener mayor desarrollo o documentación que otras. La reducción a 50 verificables no corrige esos sesgos ni completa evidencia faltante. Los criterios requieren contraste con casos incipientes y municipales.</w:t>
      </w:r>
    </w:p>
    <w:p>
      <w:pPr>
        <w:pStyle w:val="Heading2"/>
        <w:widowControl/>
      </w:pPr>
      <w:r>
        <w:t>Control de carga y duplicación</w:t>
      </w:r>
    </w:p>
    <w:p>
      <w:pPr>
        <w:widowControl/>
      </w:pPr>
      <w:r>
        <w:rPr>
          <w:b w:val="0"/>
        </w:rPr>
        <w:t>La comunicación tiene un habilitante propio; personal, formación y recursos se distribuyen por el cambio que representan. Formalizar la gestión en 07, coordinar el intercambio en 22 y sostenerlo mediante instrumentos cumplidos en 23 son capacidades distintas. Se reutilizan respaldos, pero no se interpreta una sola firma o actividad como prueba de las tres.</w:t>
      </w:r>
    </w:p>
    <w:p>
      <w:pPr>
        <w:pStyle w:val="Heading1"/>
        <w:pageBreakBefore/>
        <w:widowControl/>
      </w:pPr>
      <w:r>
        <w:t>11 Correspondencia con el informe 24 y 48</w:t>
      </w:r>
    </w:p>
    <w:p>
      <w:pPr>
        <w:widowControl/>
      </w:pPr>
      <w:r>
        <w:rPr>
          <w:b w:val="0"/>
          <w:sz w:val="20"/>
        </w:rPr>
        <w:t>La tabla ubica el contenido de cada habilitante de la propuesta del 16 de septiembre en la estructura actual. La equivalencia es temática: los estados deben revisarse con los nuevos criterios y condiciones. Los antiguos códigos no se usan para puntuar la versión revisada.</w:t>
      </w:r>
    </w:p>
    <w:tbl>
      <w:tblPr>
        <w:tblW w:type="auto" w:w="0"/>
        <w:jc w:val="center"/>
        <w:tblLayout w:type="fixed"/>
        <w:tblLook w:firstColumn="1" w:firstRow="1" w:lastColumn="0" w:lastRow="0" w:noHBand="0" w:noVBand="1" w:val="04A0"/>
      </w:tblPr>
      <w:tblGrid>
        <w:gridCol w:w="7632"/>
        <w:gridCol w:w="2448"/>
      </w:tblGrid>
      <w:tr>
        <w:trPr>
          <w:cantSplit/>
          <w:tblHeader/>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9"/>
              </w:rPr>
              <w:t>Habilitante del informe anterior</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9"/>
              </w:rPr>
              <w:t>Destino actual</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01 Referente geoespacial reconocido</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01</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02 Datos geoespaciales reconocidos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04 y 08</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03 Herramientas disponibles para trabajar</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06 10 y 18</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04 Datos organizados y localizables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04 y 08</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05 Necesidades y brechas priorizadas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03 y 12</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06 Análisis y productos útiles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06</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07 Coordinación de tareas y actores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05</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08 Gestión respaldada institucionalmente</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07</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09 Custodia de los datos asignada</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08</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10 Reglas de gestión y acceso</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09 y 17</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11 Estructura y referencia espacial definidas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09 16 y 20</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12 Plan de trabajo con responsables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12</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13 Capacidades del equipo organizadas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11 18 y 22</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14 Calidad y actualización controladas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13</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15 Documentación y descubrimiento mantenidos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14 y 21</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16 Información disponible para sus usuarios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15 y 25</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17 Intercambio técnico preparado</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16 y 21</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18 Acceso e intercambio protegidos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17</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19 Soporte y recursos para la continuidad</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18 y 23</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20 Uso habitual en la gestión</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19</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21 Datos compatibles entre actores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20</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22 Interoperabilidad y colaboración efectivas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21 22 y 23</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23 Reutilización con aporte a decisiones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15 y 24</w:t>
            </w:r>
          </w:p>
        </w:tc>
      </w:tr>
      <w:tr>
        <w:trPr>
          <w:cantSplit/>
        </w:trPr>
        <w:tc>
          <w:tcPr>
            <w:tcW w:type="dxa" w:w="7632"/>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24 Seguimiento que produce mejoras</w:t>
            </w:r>
          </w:p>
        </w:tc>
        <w:tc>
          <w:tcPr>
            <w:tcW w:type="dxa" w:w="2448"/>
            <w:vAlign w:val="center"/>
            <w:tcMar>
              <w:top w:w="45" w:type="dxa"/>
              <w:left w:w="75" w:type="dxa"/>
              <w:bottom w:w="4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9"/>
              </w:rPr>
              <w:t>19 y 24</w:t>
            </w:r>
          </w:p>
        </w:tc>
      </w:tr>
    </w:tbl>
    <w:p>
      <w:pPr>
        <w:widowControl/>
      </w:pPr>
      <w:r>
        <w:rPr>
          <w:b w:val="0"/>
          <w:sz w:val="4"/>
        </w:rPr>
      </w:r>
    </w:p>
    <w:p>
      <w:pPr>
        <w:widowControl/>
      </w:pPr>
      <w:r>
        <w:rPr>
          <w:b w:val="0"/>
          <w:sz w:val="20"/>
        </w:rPr>
        <w:t>El nuevo 02 explicita la iniciativa previa a identificar datos. El 10 refuerza la plataforma en F3; 19 incorpora conducción activa; 23 concentra sostenibilidad de la integración; 25 desarrolla comunicación planificada. Se mantienen 25 capacidades con dos verificables cada una.</w:t>
      </w:r>
    </w:p>
    <w:p>
      <w:pPr>
        <w:pStyle w:val="Heading1"/>
        <w:pageBreakBefore/>
        <w:widowControl/>
      </w:pPr>
      <w:r>
        <w:t>12 Correspondencia con los 105 verificables parte 1</w:t>
      </w:r>
    </w:p>
    <w:p>
      <w:pPr>
        <w:widowControl/>
      </w:pPr>
      <w:r>
        <w:rPr>
          <w:b w:val="0"/>
          <w:sz w:val="20"/>
        </w:rPr>
        <w:t>Cada fila remite a los tres verificables del habilitante original de v0.11. El destino indica contenido conservado o tratado como regla transversal; no certifica equivalencia de exigencia ni autoriza trasladar colores.</w:t>
      </w:r>
    </w:p>
    <w:tbl>
      <w:tblPr>
        <w:tblW w:type="auto" w:w="0"/>
        <w:jc w:val="center"/>
        <w:tblLayout w:type="fixed"/>
        <w:tblLook w:firstColumn="1" w:firstRow="1" w:lastColumn="0" w:lastRow="0" w:noHBand="0" w:noVBand="1" w:val="04A0"/>
      </w:tblPr>
      <w:tblGrid>
        <w:gridCol w:w="3456"/>
        <w:gridCol w:w="2160"/>
        <w:gridCol w:w="2232"/>
        <w:gridCol w:w="2232"/>
      </w:tblGrid>
      <w:tr>
        <w:trPr>
          <w:cantSplit/>
          <w:tblHeader/>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Habilitante original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3</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01 Identificación de datos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04.1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04.1 como contraste</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02 Herramientas e infraestructura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10.2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06.1 y 18.1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03 Responsable geoespacial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01.1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07.2 y 11.1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04 Inventario de datos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05 Priorización y brechas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03.1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 Almacenamiento y gestión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04.2 y 10.1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09.2 y 17.1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18.1 y 23.1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 Procesamiento y análisis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19.1 como recurrencia</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 Visualización y productos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06.2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08.2 y 18.1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 Roles y coordinación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05.1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05.2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05.1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10 Responsabilidad y custodia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08.2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07.2 y 23.1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11 Calidad y aptitud</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 Estructura y modelo del dato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 y 20.1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 y 14.2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 Condiciones de acceso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15.2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17.1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 Articulación interinstitucional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05.1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22.1 y 23.1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22.1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15 Formalización institucional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07.1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16 Directrices de gestión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R3</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17 Planificación geoespacial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12.1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 Actualización y mantenimiento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13.2</w:t>
            </w:r>
          </w:p>
        </w:tc>
      </w:tr>
    </w:tbl>
    <w:p>
      <w:pPr>
        <w:widowControl/>
      </w:pPr>
      <w:r>
        <w:rPr>
          <w:b w:val="0"/>
          <w:sz w:val="4"/>
        </w:rPr>
      </w:r>
    </w:p>
    <w:p>
      <w:pPr>
        <w:widowControl/>
      </w:pPr>
      <w:r>
        <w:rPr>
          <w:b w:val="0"/>
          <w:sz w:val="20"/>
        </w:rPr>
        <w:t>Los 35 habilitantes y sus 105 posiciones tienen destino trazable. La reducción integra contenidos relacionados y elimina comprobaciones duplicadas; los nuevos verificables no deben convertirse en sublistas que reproduzcan los 105 anteriores.</w:t>
      </w:r>
    </w:p>
    <w:p>
      <w:pPr>
        <w:pStyle w:val="Heading1"/>
        <w:pageBreakBefore/>
        <w:widowControl/>
      </w:pPr>
      <w:r>
        <w:t>12 Correspondencia con los 105 verificables parte 2</w:t>
      </w:r>
    </w:p>
    <w:p>
      <w:pPr>
        <w:widowControl/>
      </w:pPr>
      <w:r>
        <w:rPr>
          <w:b w:val="0"/>
          <w:sz w:val="20"/>
        </w:rPr>
        <w:t>Cada fila remite a los tres verificables del habilitante original de v0.11. El destino indica contenido conservado o tratado como regla transversal; no certifica equivalencia de exigencia ni autoriza trasladar colores.</w:t>
      </w:r>
    </w:p>
    <w:tbl>
      <w:tblPr>
        <w:tblW w:type="auto" w:w="0"/>
        <w:jc w:val="center"/>
        <w:tblLayout w:type="fixed"/>
        <w:tblLook w:firstColumn="1" w:firstRow="1" w:lastColumn="0" w:lastRow="0" w:noHBand="0" w:noVBand="1" w:val="04A0"/>
      </w:tblPr>
      <w:tblGrid>
        <w:gridCol w:w="3456"/>
        <w:gridCol w:w="2160"/>
        <w:gridCol w:w="2232"/>
        <w:gridCol w:w="2232"/>
      </w:tblGrid>
      <w:tr>
        <w:trPr>
          <w:cantSplit/>
          <w:tblHeader/>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Habilitante original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18"/>
              </w:rPr>
              <w:t>Verificable 3</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 Documentación y metadatos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16.1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 Referencia espacial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 y 16.1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20.1 y 20.2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20.2 y R1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 Publicación geoespacial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15.1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14.2 y 15.2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R4 y 17.1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22 Descubrimiento y catálogo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R2 y 14.2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23 Reutilización de información</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15.1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19.1 y 24.1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14.2 y 15.2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24 Uso institucional</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19.1 y 22.2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25 Estándares aplicados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09.1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16.1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26 Estructuras compatibles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20.2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27 Servicios interoperables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16.1 y 21.1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16.1 y R1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28 Seguridad del intercambio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17.1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17.1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17.2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29 Continuidad de servicios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18.2 y 23.1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30 Capacidades institucionales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11.1 y 18.2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11.2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11.2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31 Recursos y sostenibilidad</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18.2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23.1 y 23.2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32 Uso en decisiones</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24.1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03.1 si solo potencial</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24.1</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33 Integración y consumo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22.1 y 22.2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34 Interoperabilidad efectiva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21.1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R5</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22.2 y 23.2</w:t>
            </w:r>
          </w:p>
        </w:tc>
      </w:tr>
      <w:tr>
        <w:trPr>
          <w:cantSplit/>
        </w:trPr>
        <w:tc>
          <w:tcPr>
            <w:tcW w:type="dxa" w:w="34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35 Seguimiento y mejora</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24.2</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13.2 y 18.1</w:t>
            </w:r>
          </w:p>
        </w:tc>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18"/>
              </w:rPr>
              <w:t>24.2</w:t>
            </w:r>
          </w:p>
        </w:tc>
      </w:tr>
    </w:tbl>
    <w:p>
      <w:pPr>
        <w:widowControl/>
      </w:pPr>
      <w:r>
        <w:rPr>
          <w:b w:val="0"/>
          <w:sz w:val="4"/>
        </w:rPr>
      </w:r>
    </w:p>
    <w:p>
      <w:pPr>
        <w:widowControl/>
      </w:pPr>
      <w:r>
        <w:rPr>
          <w:b w:val="0"/>
          <w:sz w:val="20"/>
        </w:rPr>
        <w:t>R1 Neutralidad y pertinencia tecnológica. R2 Infraestructura compartida y respaldo institucional equivalente. R3 Coherencia con reglas aplicables. R4 Restricciones legítimas de acceso. R5 Distinguir potencial de operación efectiva. Son reglas comunes, no verificables adicionales.</w:t>
      </w:r>
    </w:p>
    <w:p>
      <w:pPr>
        <w:widowControl/>
      </w:pPr>
      <w:r>
        <w:rPr>
          <w:b w:val="0"/>
          <w:sz w:val="20"/>
        </w:rPr>
        <w:t>Los requisitos precisos de 21 y 24 exigen releer la evidencia: una conexión disponible no prueba recurrencia ni una posibilidad de uso demuestra aporte a una decisión. Se conserva versión, fecha y alcance de la evaluación histórica.</w:t>
      </w:r>
    </w:p>
    <w:p>
      <w:pPr>
        <w:pStyle w:val="Heading1"/>
        <w:pageBreakBefore/>
        <w:widowControl/>
      </w:pPr>
      <w:r>
        <w:t>13 Aplicación validación y siguiente versión</w:t>
      </w:r>
    </w:p>
    <w:p>
      <w:pPr>
        <w:widowControl/>
      </w:pPr>
      <w:r>
        <w:rPr>
          <w:b w:val="0"/>
        </w:rPr>
        <w:t>Esta edición consolida la metodología para revisión y piloto antes de trasladarla a una nueva página. Su estructura se mantiene dentro del rango solicitado y sustituye las definiciones, numeración y condiciones de acreditación de la propuesta 24/48.</w:t>
      </w:r>
    </w:p>
    <w:tbl>
      <w:tblPr>
        <w:tblW w:type="auto" w:w="0"/>
        <w:jc w:val="center"/>
        <w:tblLayout w:type="fixed"/>
        <w:tblLook w:firstColumn="1" w:firstRow="1" w:lastColumn="0" w:lastRow="0" w:noHBand="0" w:noVBand="1" w:val="04A0"/>
      </w:tblPr>
      <w:tblGrid>
        <w:gridCol w:w="4824"/>
        <w:gridCol w:w="5256"/>
      </w:tblGrid>
      <w:tr>
        <w:trPr>
          <w:cantSplit/>
          <w:tblHeader/>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Situación de prueba</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DCE6EF"/>
          </w:tcPr>
          <w:p>
            <w:pPr>
              <w:spacing w:after="20" w:before="20" w:line="245" w:lineRule="auto"/>
            </w:pPr>
            <w:r>
              <w:rPr>
                <w:b/>
                <w:color w:val="000000"/>
                <w:sz w:val="20"/>
              </w:rPr>
              <w:t>Resultado esperado</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Interés con referente sin datos identificados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Puede acreditar F1 si existe iniciativa y primera gestión.</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Canal de difusión sin iniciativa concreta</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Registrar acercamiento; no acreditar por sí solo 02.</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Primer trabajo sin producto revisado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Reconocer activación en desarrollo; 06 sigue pendiente.</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Plataforma compartida con responsabilidades</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Admitir 10 y 18 según ejecución y continuidad demostradas.</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Catálogo vacío o solo software instalado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No acreditar 14 por la instalación.</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Catálogo inicial mantenido sin intercambio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Puede acreditar 14; no acredita 21.2.</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Acuerdo firmado sin ejecución</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Puede acreditar 23.1; no acredita 23.2.</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Autoridad presente solo en un lanzamiento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No acredita decisiones de conducción de 19.2.</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Capacidad avanzada con formalización desconocida</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Reconocer logro y mantener la fase superior por determinar.</w:t>
            </w:r>
          </w:p>
        </w:tc>
      </w:tr>
      <w:tr>
        <w:trPr>
          <w:cantSplit/>
        </w:trPr>
        <w:tc>
          <w:tcPr>
            <w:tcW w:type="dxa" w:w="48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Municipio con capacidades suficientes y soporte compartido</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before="20" w:line="245" w:lineRule="auto"/>
            </w:pPr>
            <w:r>
              <w:rPr>
                <w:b w:val="0"/>
                <w:color w:val="000000"/>
                <w:sz w:val="20"/>
              </w:rPr>
              <w:t>Puede llegar a F5 en su ámbito, sin techo por tamaño.</w:t>
            </w:r>
          </w:p>
        </w:tc>
      </w:tr>
    </w:tbl>
    <w:p>
      <w:pPr>
        <w:widowControl/>
      </w:pPr>
      <w:r>
        <w:rPr>
          <w:b w:val="0"/>
          <w:sz w:val="4"/>
        </w:rPr>
      </w:r>
    </w:p>
    <w:p>
      <w:pPr>
        <w:pStyle w:val="Heading2"/>
        <w:widowControl/>
      </w:pPr>
      <w:r>
        <w:t>Piloto de aplicación pendiente</w:t>
      </w:r>
    </w:p>
    <w:p>
      <w:pPr>
        <w:widowControl/>
      </w:pPr>
      <w:r>
        <w:rPr>
          <w:b w:val="0"/>
        </w:rPr>
        <w:t>Seleccionar seis perfiles contrastantes: ministerio o servicio con operación sostenida; caso sectorial con intercambio; institución incipiente; GORE con evidencia de integración; municipio con soporte compartido; y caso con fuentes divergentes. Dos revisores contrastan las mismas evidencias y registran discrepancias, tiempo y solicitudes adicionales.</w:t>
      </w:r>
    </w:p>
    <w:p>
      <w:pPr>
        <w:widowControl/>
      </w:pPr>
      <w:r>
        <w:rPr>
          <w:b w:val="0"/>
        </w:rPr>
        <w:t>Se revisan equivalencias por rol, suficiencia de las condiciones decisivas y carga real de coordinación. Si un criterio impide evaluar una capacidad pertinente por tipo de actor, se corrige su redacción o equivalencia antes de clasificar. Este piloto no se declara realizado.</w:t>
      </w:r>
    </w:p>
    <w:p>
      <w:pPr>
        <w:pStyle w:val="Heading2"/>
        <w:widowControl/>
      </w:pPr>
      <w:r>
        <w:t>Traslado posterior a la herramienta</w:t>
      </w:r>
    </w:p>
    <w:p>
      <w:pPr>
        <w:widowControl/>
      </w:pPr>
      <w:r>
        <w:rPr>
          <w:b w:val="0"/>
        </w:rPr>
        <w:t>Mostrar fase acreditable y avances parciales, alcance y fecha; respuestas concretas dentro de cada verificable; fuentes reunidas al final; y etiquetas por fase, componente IDE y vía IGIF. Conservar las 30 focalizadas y distinguirlas de la población ampliada. El diagrama mostrará apoyos y retroalimentaciones, con hitos de fase derivados de esta rúbrica.</w:t>
      </w:r>
    </w:p>
    <w:p>
      <w:pPr>
        <w:pStyle w:val="Heading1"/>
        <w:pageBreakBefore/>
        <w:widowControl/>
      </w:pPr>
      <w:r>
        <w:t>14 Fuentes y localizadores parte 1</w:t>
      </w:r>
    </w:p>
    <w:p>
      <w:pPr>
        <w:widowControl/>
      </w:pPr>
      <w:r>
        <w:rPr>
          <w:b w:val="0"/>
          <w:sz w:val="21"/>
        </w:rPr>
        <w:t>S1  Decreto Supremo 28 de 2006 del Ministerio de Bienes Nacionales. DTO-28_02-SEP-2006(1).pdf. Arts. 1–5, 8 y 11. Texto oficial contrastado en BCN.</w:t>
      </w:r>
    </w:p>
    <w:p>
      <w:pPr>
        <w:widowControl/>
        <w:spacing w:after="100"/>
      </w:pPr>
      <w:hyperlink r:id="rId10">
        <w:r>
          <w:rPr>
            <w:color w:val="174A75"/>
            <w:sz w:val="19"/>
          </w:rPr>
          <w:t>Consultar fuente oficial</w:t>
        </w:r>
      </w:hyperlink>
    </w:p>
    <w:p>
      <w:pPr>
        <w:widowControl/>
      </w:pPr>
      <w:r>
        <w:rPr>
          <w:b w:val="0"/>
          <w:sz w:val="21"/>
        </w:rPr>
        <w:t>S2  DS 26 de 2024 y Política de Gestión de Información Territorial Geoespacial. TR Alc Dto 26-2024 Sub Bienes(1).pdf. Principios VII y criterios VIII, pp. impresas 16–18; ejes IX, pp. 18–21; gobernanza X, pp. 21–24. Las pp. impresas 16–24 corresponden a las pp. 20–28 del PDF. Oficio OF56436/2026, 23 de marzo de 2026, dos páginas finales.</w:t>
      </w:r>
    </w:p>
    <w:p>
      <w:pPr>
        <w:widowControl/>
      </w:pPr>
      <w:r>
        <w:rPr>
          <w:b w:val="0"/>
          <w:sz w:val="21"/>
        </w:rPr>
        <w:t>S3  Plan_Accion_PGIT-G_20260622.pdf, junio de 2026, pp. 8–17. Objetivos de datos, acceso, interoperabilidad y marco institucional; incluye evaluación de madurez y seguimiento. Se conservan comentarios de revisión: no se afirma identidad total con el texto ratificado.</w:t>
      </w:r>
    </w:p>
    <w:p>
      <w:pPr>
        <w:widowControl/>
      </w:pPr>
      <w:r>
        <w:rPr>
          <w:b w:val="0"/>
          <w:sz w:val="21"/>
        </w:rPr>
        <w:t>S4  Acta_Consejo(1).pdf. Sesión de 27 de agosto de 2026, pp. 1–5. Fecha del contenido; acuerdos y participación como antecedentes, no ejecución automática.</w:t>
      </w:r>
    </w:p>
    <w:p>
      <w:pPr>
        <w:widowControl/>
      </w:pPr>
      <w:r>
        <w:rPr>
          <w:b w:val="0"/>
          <w:sz w:val="21"/>
        </w:rPr>
        <w:t>S5  Encuesta Institucional Geoespacial - IDE CHILE 2024(1-44).xlsx, Sheet1; Encuesta Geoespacial - IDE CHILE 2025(1-28) (1).xlsx, HC y preguntas; Encuesta Geoespacial - SNIT-IDE CHILE 2026(1-33)(1).xlsx, Sheet1. Columnas físicas; filas incluyen encabezados. Una respuesta no sustituye respaldo operativo.</w:t>
      </w:r>
    </w:p>
    <w:p>
      <w:pPr>
        <w:widowControl/>
      </w:pPr>
      <w:r>
        <w:rPr>
          <w:b w:val="0"/>
          <w:sz w:val="21"/>
        </w:rPr>
        <w:t>S6  Listado de datos geoespaciales generados por institución - Encuesta SNIT 2026(1).xlsx. Hojas institucionales; se revisa significado de encabezados y registros, excluyendo plantillas vacías.</w:t>
      </w:r>
    </w:p>
    <w:p>
      <w:pPr>
        <w:widowControl/>
      </w:pPr>
      <w:r>
        <w:rPr>
          <w:b w:val="0"/>
          <w:sz w:val="21"/>
        </w:rPr>
        <w:t>S7  coordGeo.xlsx. Madurez geo, escalerita IDE y escalerita segun igif. Distinguir seguimiento y descripción regional de propuesta metodológica. Conciliar referencias desalineadas antes de clasificar.</w:t>
      </w:r>
    </w:p>
    <w:p>
      <w:pPr>
        <w:widowControl/>
      </w:pPr>
      <w:r>
        <w:rPr>
          <w:b w:val="0"/>
          <w:sz w:val="21"/>
        </w:rPr>
        <w:t>S8  Contactos_2026_Coordinación.xlsx y Seguimiento Comite Técnico 2026 .xlsx. Referentes y referencias a nombramientos. La mención de un oficio no sustituye su contenido.</w:t>
      </w:r>
    </w:p>
    <w:p>
      <w:pPr>
        <w:pStyle w:val="Heading1"/>
        <w:pageBreakBefore/>
        <w:widowControl/>
      </w:pPr>
      <w:r>
        <w:t>14 Fuentes y localizadores parte 2</w:t>
      </w:r>
    </w:p>
    <w:p>
      <w:pPr>
        <w:widowControl/>
      </w:pPr>
      <w:r>
        <w:rPr>
          <w:b w:val="0"/>
          <w:sz w:val="21"/>
        </w:rPr>
        <w:t>S9  Algunos Ejemplos de IDEs top.pdf. MOP pp. 4–6; MINAGRI pp. 7–9; SUBDERE pp. 10–14; desafíos MBN p. 15. Aporta organización, arquitectura y productos; no prueba por sí solo continuidad.</w:t>
      </w:r>
    </w:p>
    <w:p>
      <w:pPr>
        <w:widowControl/>
      </w:pPr>
      <w:r>
        <w:rPr>
          <w:b w:val="0"/>
          <w:sz w:val="21"/>
        </w:rPr>
        <w:t>S10  Inventario_Maestro_EAM_v0.1.xlsx; Aplicacion_Flujo_21_EAM_Instituciones_v0.2.xlsx; MMGI_Flujo_21_EAM_Continuum_v0.3.xlsx. Antecedentes de diseño y correspondencias PGIT IGIF.</w:t>
      </w:r>
    </w:p>
    <w:p>
      <w:pPr>
        <w:widowControl/>
      </w:pPr>
      <w:r>
        <w:rPr>
          <w:b w:val="0"/>
          <w:sz w:val="21"/>
        </w:rPr>
        <w:t>S11  Nueve vías del UN-IGIF utilizadas como correspondencias temáticas a partir de los insumos aportados: gobernanza e instituciones; políticas y marco legal; financiera; datos; innovación; normas y estándares; alianzas; capacidad y educación; comunicación y compromiso. La asignación por habilitante es analítica y no constituye una escala validada por Naciones Unidas.</w:t>
      </w:r>
    </w:p>
    <w:p>
      <w:pPr>
        <w:widowControl/>
      </w:pPr>
      <w:r>
        <w:rPr>
          <w:b w:val="0"/>
          <w:sz w:val="21"/>
        </w:rPr>
        <w:t>S12  MMGI v0.11 y revisión v0.11.1; informe 24/48 del 16 de septiembre de 2026. Se recuperan definiciones, evidencia y hallazgos del clasificador, sin heredar sus colores ni sus condiciones de acreditación.</w:t>
      </w:r>
    </w:p>
    <w:p>
      <w:pPr>
        <w:widowControl/>
      </w:pPr>
      <w:r>
        <w:rPr>
          <w:b w:val="0"/>
          <w:sz w:val="21"/>
        </w:rPr>
        <w:t>S13  IDERA. Lámina Esquema de evaluación de una IDE aportada por el usuario; páginas oficiales Evaluar una IDE y Construir una IDE, consultadas durante la revisión del 17 de septiembre. Indicadores y orientaciones usados para contraste de cobertura, no como norma aplicable en Chile.</w:t>
      </w:r>
    </w:p>
    <w:p>
      <w:pPr>
        <w:widowControl/>
        <w:spacing w:after="100"/>
      </w:pPr>
      <w:hyperlink r:id="rId11">
        <w:r>
          <w:rPr>
            <w:color w:val="174A75"/>
            <w:sz w:val="19"/>
          </w:rPr>
          <w:t>Consultar fuente oficial</w:t>
        </w:r>
      </w:hyperlink>
    </w:p>
    <w:p>
      <w:pPr>
        <w:widowControl/>
      </w:pPr>
      <w:r>
        <w:rPr>
          <w:b w:val="0"/>
          <w:sz w:val="21"/>
        </w:rPr>
        <w:t>S14  Acuerdos de revisión con la coordinación institucional, 17 de septiembre de 2026. Incluyen los relatos de Economía y MINEDUC, progresión de catálogo, personal, normas y plataforma; alcance público; foco de interoperabilidad, sostenibilidad, valor, comunicación y autoridades. Los relatos institucionales requieren respaldo para acreditar estados.</w:t>
      </w:r>
    </w:p>
    <w:p>
      <w:pPr>
        <w:widowControl/>
      </w:pPr>
      <w:r>
        <w:rPr>
          <w:b w:val="0"/>
          <w:sz w:val="21"/>
        </w:rPr>
        <w:t>S15  DFL 1 de 2006, texto refundido de la Ley 18.695. Arts. 1, 3, 6–7 y 12: autonomía, funciones, instrumentos y resoluciones municipales. Se utiliza para contextualizar equivalencias institucionales; no crea requisitos geoespaciales adicionales.</w:t>
      </w:r>
    </w:p>
    <w:p>
      <w:pPr>
        <w:widowControl/>
        <w:spacing w:after="100"/>
      </w:pPr>
      <w:hyperlink r:id="rId12">
        <w:r>
          <w:rPr>
            <w:color w:val="174A75"/>
            <w:sz w:val="19"/>
          </w:rPr>
          <w:t>Consultar fuente oficial</w:t>
        </w:r>
      </w:hyperlink>
    </w:p>
    <w:p>
      <w:pPr>
        <w:widowControl/>
      </w:pPr>
      <w:r>
        <w:rPr>
          <w:b w:val="0"/>
          <w:sz w:val="21"/>
        </w:rPr>
        <w:t>S16  Auditoria_Aplicabilidad_Municipalidades_Universidades.md, 17 de septiembre de 2026. Se conservan proporcionalidad, alcance, roles y soporte compartido. La eventual aplicación académica y privada no integra el alcance actual.</w:t>
      </w:r>
    </w:p>
    <w:p>
      <w:pPr>
        <w:widowControl/>
      </w:pPr>
      <w:r>
        <w:rPr>
          <w:b w:val="0"/>
          <w:sz w:val="20"/>
        </w:rPr>
        <w:t>La Política se cita por página impresa; los demás PDF por página del archivo salvo indicación expresa. Las fuentes apoyan las capacidades; los 25 habilitantes, sus 50 verificables y las reglas de acreditación son la propuesta metodológica consolidada de este informe.</w:t>
      </w:r>
    </w:p>
    <w:sectPr w:rsidR="00FC693F" w:rsidRPr="0006063C" w:rsidSect="00034616">
      <w:footerReference w:type="default" r:id="rId9"/>
      <w:pgSz w:w="12240" w:h="15840"/>
      <w:pgMar w:top="950" w:right="1037" w:bottom="893"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MMGI · Metodología revisada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cn.cl/leychile/navegar?idNorma=252837" TargetMode="External"/><Relationship Id="rId11" Type="http://schemas.openxmlformats.org/officeDocument/2006/relationships/hyperlink" Target="https://www.idera.gob.ar/index.php/implementacion-de-una-ide/evaluar-una-ide" TargetMode="External"/><Relationship Id="rId12" Type="http://schemas.openxmlformats.org/officeDocument/2006/relationships/hyperlink" Target="https://www.bcn.cl/leychile/navegar?idNorma=2516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madurez geoespacial institucional</dc:title>
  <dc:subject>Informe actualizado con cinco fases 25 habilitantes y 50 verificables</dc:subject>
  <dc:creator/>
  <cp:keywords/>
  <dc:description>Actualización del informe del 16 de septiembre de 2026 con los acuerdos de revisión del 17 de septiembre.</dc:description>
  <cp:lastModifiedBy/>
  <cp:revision>1</cp:revision>
  <dcterms:created xsi:type="dcterms:W3CDTF">2013-12-23T23:15:00Z</dcterms:created>
  <dcterms:modified xsi:type="dcterms:W3CDTF">2013-12-23T23:15:00Z</dcterms:modified>
  <cp:category/>
</cp:coreProperties>
</file>