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note-on-interpretation"/>
    <w:p>
      <w:pPr>
        <w:pStyle w:val="Heading2"/>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detected (no matter how unexpected), or not detected, that is what is written. The core of eDNA science is statistical likelihood drawn from billions of complete and fragmented DNA strands — results represent a percentage of detection probability more than a census of individuals, though relative abundance is a natural inference. If a reading is ambiguous, the ambiguity is named and the most likely interpretation is stated directly. Unsupported qualifications are not a substitute for data.</w:t>
      </w:r>
    </w:p>
    <w:p>
      <w:r>
        <w:pict>
          <v:rect style="width:0;height:1.5pt" o:hralign="center" o:hrstd="t" o:hr="t"/>
        </w:pict>
      </w:r>
    </w:p>
    <w:bookmarkEnd w:id="22"/>
    <w:bookmarkStart w:id="23" w:name="about-this-report"/>
    <w:p>
      <w:pPr>
        <w:pStyle w:val="Heading2"/>
      </w:pPr>
      <w:r>
        <w:t xml:space="preserve">About This Report</w:t>
      </w:r>
    </w:p>
    <w:p>
      <w:pPr>
        <w:pStyle w:val="FirstParagraph"/>
      </w:pPr>
      <w:r>
        <w:t xml:space="preserve">This report covers water samples from 12 distinct sites in and around the Sawmill Brook / Cat Brook watershed in Manchester-by-the-Sea, MA, spanning November 2023 through November 2025. It also includes one marine sample at Proctor Point Dock (Manchester Harbor, June 2025), into which Sawmill Brook empties — providing ecological context for the watershed’s coastal outlet.</w:t>
      </w:r>
    </w:p>
    <w:p>
      <w:pPr>
        <w:pStyle w:val="BodyText"/>
      </w:pPr>
      <w:r>
        <w:t>The Manchester-by-the-Sea Brook Trout Monitoring Program (MBTS) tracks the health and status of Sawmill Brook — a small suburban coastal stream that drains southwest into Manchester Harbor. The sampling network covers the full longitudinal gradient: from L Mackintosh Pond and Cat Brook headwaters through the main stem, from the estuarine School Street reach to the tidal limit at Fire Station.</w:t>
      </w:r>
    </w:p>
    <w:p>
      <w:pPr>
        <w:pStyle w:val="BodyText"/>
      </w:pPr>
      <w:r>
        <w:t xml:space="preserve">Brook Trout (</w:t>
      </w:r>
      <w:r>
        <w:rPr>
          <w:iCs/>
          <w:i/>
        </w:rPr>
        <w:t xml:space="preserve">Salvelinus fontinalis</w:t>
      </w:r>
      <w:r>
        <w:t xml:space="preserve">) are the primary monitoring target. Their presence or absence at each site tells a story about possible anadromy, water quality, thermal conditions, and habitat connectivity. All other species detected — from Golden Shiner to Mummichog — are interpreted in relation to that central question: is this fresh-to-salt water continuum livable for Brook Trout, and what is limiting or sustaining their population?</w:t>
      </w:r>
    </w:p>
    <w:p>
      <w:r>
        <w:pict>
          <v:rect style="width:0;height:1.5pt" o:hralign="center" o:hrstd="t" o:hr="t"/>
        </w:pict>
      </w:r>
    </w:p>
    <w:bookmarkEnd w:id="23"/>
    <w:bookmarkStart w:id="24" w:name="how-to-read-this-report"/>
    <w:p>
      <w:pPr>
        <w:pStyle w:val="Heading2"/>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Algal reports can also shed light when fish DNA is not found — either due to sample failure or low winter fish movements.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 and environmental quality.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 and rich sources of food at all trophic levels.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[T8].</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pH values are calibrated; residual uncertainty ±0.2 pH unit. Temperature readings are reported in °F. Field data are presented site-by-site where available.</w:t>
      </w:r>
    </w:p>
    <w:p>
      <w:pPr>
        <w:pStyle w:val="BodyText"/>
      </w:pPr>
      <w:r>
        <w:rPr>
          <w:bCs/>
          <w:b/>
        </w:rPr>
        <w:t xml:space="preserve">Site order:</w:t>
      </w:r>
      <w:r>
        <w:t xml:space="preserve"> </w:t>
      </w:r>
      <w:r>
        <w:t xml:space="preserve">Sites are presented upstream-to-downstream where possible, followed by Proctor Point marine reference.</w:t>
      </w:r>
    </w:p>
    <w:p>
      <w:pPr>
        <w:pStyle w:val="BodyText"/>
      </w:pPr>
      <w:r>
        <w:rPr>
          <w:bCs/>
          <w:b/>
        </w:rPr>
        <w:t xml:space="preserve">Methods:</w:t>
      </w:r>
      <w:r>
        <w:t xml:space="preserve"> </w:t>
      </w:r>
      <w:r>
        <w:t xml:space="preserve">All samples were collected using Jonah Ventures (JV) eDNA field kits following recommended field-sterile procedures. All samples were mailed to JV for processing. Fish samples were analyzed using the MiFish 12S rRNA barcode; several samples were also analyzed for algae using the 23S rRNA barcode. Results were processed in MS Excel and later using Artificial Intelligence (Claude / OpenAI) for analysis.</w:t>
      </w:r>
    </w:p>
    <w:p>
      <w:r>
        <w:pict>
          <v:rect style="width:0;height:1.5pt" o:hralign="center" o:hrstd="t" o:hr="t"/>
        </w:pict>
      </w:r>
    </w:p>
    <w:bookmarkEnd w:id="24"/>
    <w:bookmarkStart w:id="25" w:name="X93fa744b53763da1c41fa67af8350b5f4cdbfd0"/>
    <w:p>
      <w:pPr>
        <w:pStyle w:val="Heading2"/>
      </w:pPr>
      <w:r>
        <w:t xml:space="preserve">Field pH &amp; Temperature — All MBTS Vivosun Measurements</w:t>
      </w:r>
    </w:p>
    <w:p>
      <w:pPr>
        <w:pStyle w:val="FirstParagraph"/>
      </w:pPr>
      <w:r>
        <w:rPr>
          <w:bCs/>
          <w:b/>
        </w:rPr>
        <w:t xml:space="preserve">Average pH across all 8 field readings: 6.66</w:t>
      </w:r>
      <w:r>
        <w:t xml:space="preserve"> </w:t>
      </w:r>
      <w:r>
        <w:t xml:space="preserve">(range 6.15–7.05) — every measurement falls within the Brook Trout adult pH tolerance range (5.0–7.5). The full MBTS watershed, at every site and season measured, presents chemically viable habitat for Brook Trout. No site has been found to be pH-excluded.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Brook Trout context</w:t>
            </w:r>
          </w:p>
        </w:tc>
      </w:tr>
      <w:tr>
        <w:tc>
          <w:tcPr/>
          <w:p>
            <w:pPr>
              <w:pStyle w:val="Compact"/>
              <w:jc w:val="left"/>
            </w:pPr>
            <w:r>
              <w:t xml:space="preserve">Jun 5, 2025</w:t>
            </w:r>
          </w:p>
        </w:tc>
        <w:tc>
          <w:tcPr/>
          <w:p>
            <w:pPr>
              <w:pStyle w:val="Compact"/>
              <w:jc w:val="left"/>
            </w:pPr>
            <w:r>
              <w:t xml:space="preserve">Lincoln St (Below Lincoln Pool)</w:t>
            </w:r>
          </w:p>
        </w:tc>
        <w:tc>
          <w:tcPr/>
          <w:p>
            <w:pPr>
              <w:pStyle w:val="Compact"/>
              <w:jc w:val="left"/>
            </w:pPr>
            <w:r>
              <w:t xml:space="preserve">6.88</w:t>
            </w:r>
          </w:p>
        </w:tc>
        <w:tc>
          <w:tcPr/>
          <w:p>
            <w:pPr>
              <w:pStyle w:val="Compact"/>
              <w:jc w:val="left"/>
            </w:pPr>
            <w:r>
              <w:t xml:space="preserve">55.4</w:t>
            </w:r>
          </w:p>
        </w:tc>
        <w:tc>
          <w:tcPr/>
          <w:p>
            <w:pPr>
              <w:pStyle w:val="Compact"/>
              <w:jc w:val="left"/>
            </w:pPr>
            <w:r>
              <w:t xml:space="preserve">Optimal — co-collected with eDNA; BT detected (0.6%)</w:t>
            </w:r>
          </w:p>
        </w:tc>
      </w:tr>
      <w:tr>
        <w:tc>
          <w:tcPr/>
          <w:p>
            <w:pPr>
              <w:pStyle w:val="Compact"/>
              <w:jc w:val="left"/>
            </w:pPr>
            <w:r>
              <w:t xml:space="preserve">Jun 8, 2025</w:t>
            </w:r>
          </w:p>
        </w:tc>
        <w:tc>
          <w:tcPr/>
          <w:p>
            <w:pPr>
              <w:pStyle w:val="Compact"/>
              <w:jc w:val="left"/>
            </w:pPr>
            <w:r>
              <w:t xml:space="preserve">Atwater Ave</w:t>
            </w:r>
          </w:p>
        </w:tc>
        <w:tc>
          <w:tcPr/>
          <w:p>
            <w:pPr>
              <w:pStyle w:val="Compact"/>
              <w:jc w:val="left"/>
            </w:pPr>
            <w:r>
              <w:t xml:space="preserve">6.15</w:t>
            </w:r>
          </w:p>
        </w:tc>
        <w:tc>
          <w:tcPr/>
          <w:p>
            <w:pPr>
              <w:pStyle w:val="Compact"/>
              <w:jc w:val="left"/>
            </w:pPr>
            <w:r>
              <w:t xml:space="preserve">62.7</w:t>
            </w:r>
          </w:p>
        </w:tc>
        <w:tc>
          <w:tcPr/>
          <w:p>
            <w:pPr>
              <w:pStyle w:val="Compact"/>
              <w:jc w:val="left"/>
            </w:pPr>
            <w:r>
              <w:t xml:space="preserve">Optimal for adults; co-collected with eDNA; BT detected (1.1%)</w:t>
            </w:r>
          </w:p>
        </w:tc>
      </w:tr>
      <w:tr>
        <w:tc>
          <w:tcPr/>
          <w:p>
            <w:pPr>
              <w:pStyle w:val="Compact"/>
              <w:jc w:val="left"/>
            </w:pPr>
            <w:r>
              <w:t xml:space="preserve">Jul 9, 2025</w:t>
            </w:r>
          </w:p>
        </w:tc>
        <w:tc>
          <w:tcPr/>
          <w:p>
            <w:pPr>
              <w:pStyle w:val="Compact"/>
              <w:jc w:val="left"/>
            </w:pPr>
            <w:r>
              <w:t xml:space="preserve">Atwater Ave</w:t>
            </w:r>
          </w:p>
        </w:tc>
        <w:tc>
          <w:tcPr/>
          <w:p>
            <w:pPr>
              <w:pStyle w:val="Compact"/>
              <w:jc w:val="left"/>
            </w:pPr>
            <w:r>
              <w:t xml:space="preserve">6.47</w:t>
            </w:r>
          </w:p>
        </w:tc>
        <w:tc>
          <w:tcPr/>
          <w:p>
            <w:pPr>
              <w:pStyle w:val="Compact"/>
              <w:jc w:val="left"/>
            </w:pPr>
            <w:r>
              <w:t xml:space="preserve">75.9</w:t>
            </w:r>
          </w:p>
        </w:tc>
        <w:tc>
          <w:tcPr/>
          <w:p>
            <w:pPr>
              <w:pStyle w:val="Compact"/>
              <w:jc w:val="left"/>
            </w:pPr>
            <w:r>
              <w:t xml:space="preserve">⚠️ Thermally lethal — above acute BT threshold (~75°F)</w:t>
            </w:r>
          </w:p>
        </w:tc>
      </w:tr>
      <w:tr>
        <w:tc>
          <w:tcPr/>
          <w:p>
            <w:pPr>
              <w:pStyle w:val="Compact"/>
              <w:jc w:val="left"/>
            </w:pPr>
            <w:r>
              <w:t xml:space="preserve">Jul 31, 2025</w:t>
            </w:r>
          </w:p>
        </w:tc>
        <w:tc>
          <w:tcPr/>
          <w:p>
            <w:pPr>
              <w:pStyle w:val="Compact"/>
              <w:jc w:val="left"/>
            </w:pPr>
            <w:r>
              <w:t xml:space="preserve">School St</w:t>
            </w:r>
          </w:p>
        </w:tc>
        <w:tc>
          <w:tcPr/>
          <w:p>
            <w:pPr>
              <w:pStyle w:val="Compact"/>
              <w:jc w:val="left"/>
            </w:pPr>
            <w:r>
              <w:t xml:space="preserve">7.05</w:t>
            </w:r>
          </w:p>
        </w:tc>
        <w:tc>
          <w:tcPr/>
          <w:p>
            <w:pPr>
              <w:pStyle w:val="Compact"/>
              <w:jc w:val="left"/>
            </w:pPr>
            <w:r>
              <w:t xml:space="preserve">71.6</w:t>
            </w:r>
          </w:p>
        </w:tc>
        <w:tc>
          <w:tcPr/>
          <w:p>
            <w:pPr>
              <w:pStyle w:val="Compact"/>
              <w:jc w:val="left"/>
            </w:pPr>
            <w:r>
              <w:t xml:space="preserve">pH optimal; temp at upper stress threshold</w:t>
            </w:r>
          </w:p>
        </w:tc>
      </w:tr>
      <w:tr>
        <w:tc>
          <w:tcPr/>
          <w:p>
            <w:pPr>
              <w:pStyle w:val="Compact"/>
              <w:jc w:val="left"/>
            </w:pPr>
            <w:r>
              <w:t xml:space="preserve">Nov 23, 2025</w:t>
            </w:r>
          </w:p>
        </w:tc>
        <w:tc>
          <w:tcPr/>
          <w:p>
            <w:pPr>
              <w:pStyle w:val="Compact"/>
              <w:jc w:val="left"/>
            </w:pPr>
            <w:r>
              <w:t xml:space="preserve">Atwater Ave</w:t>
            </w:r>
          </w:p>
        </w:tc>
        <w:tc>
          <w:tcPr/>
          <w:p>
            <w:pPr>
              <w:pStyle w:val="Compact"/>
              <w:jc w:val="left"/>
            </w:pPr>
            <w:r>
              <w:t xml:space="preserve">6.87</w:t>
            </w:r>
          </w:p>
        </w:tc>
        <w:tc>
          <w:tcPr/>
          <w:p>
            <w:pPr>
              <w:pStyle w:val="Compact"/>
              <w:jc w:val="left"/>
            </w:pPr>
            <w:r>
              <w:t xml:space="preserve">36.8</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Lincoln St (Below Lincoln Pool)</w:t>
            </w:r>
          </w:p>
        </w:tc>
        <w:tc>
          <w:tcPr/>
          <w:p>
            <w:pPr>
              <w:pStyle w:val="Compact"/>
              <w:jc w:val="left"/>
            </w:pPr>
            <w:r>
              <w:t xml:space="preserve">6.53</w:t>
            </w:r>
          </w:p>
        </w:tc>
        <w:tc>
          <w:tcPr/>
          <w:p>
            <w:pPr>
              <w:pStyle w:val="Compact"/>
              <w:jc w:val="left"/>
            </w:pPr>
            <w:r>
              <w:t xml:space="preserve">37.7</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6.66</w:t>
            </w:r>
          </w:p>
        </w:tc>
        <w:tc>
          <w:tcPr/>
          <w:p>
            <w:pPr>
              <w:pStyle w:val="Compact"/>
              <w:jc w:val="left"/>
            </w:pPr>
            <w:r>
              <w:t xml:space="preserve">38.4</w:t>
            </w:r>
          </w:p>
        </w:tc>
        <w:tc>
          <w:tcPr/>
          <w:p>
            <w:pPr>
              <w:pStyle w:val="Compact"/>
              <w:jc w:val="left"/>
            </w:pPr>
            <w:r>
              <w:t xml:space="preserve">Winter baseline — co-dated with Nov 22 eDNA; BT detected (4.8%)</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6.66</w:t>
            </w:r>
          </w:p>
        </w:tc>
        <w:tc>
          <w:tcPr/>
          <w:p>
            <w:pPr>
              <w:pStyle w:val="Compact"/>
              <w:jc w:val="left"/>
            </w:pPr>
            <w:r>
              <w:t xml:space="preserve">38.4</w:t>
            </w:r>
          </w:p>
        </w:tc>
        <w:tc>
          <w:tcPr/>
          <w:p>
            <w:pPr>
              <w:pStyle w:val="Compact"/>
              <w:jc w:val="left"/>
            </w:pPr>
            <w:r>
              <w:t xml:space="preserve">Duplicate GPS point — confirms reading</w:t>
            </w:r>
          </w:p>
        </w:tc>
      </w:tr>
    </w:tbl>
    <w:p>
      <w:pPr>
        <w:pStyle w:val="BodyText"/>
      </w:pPr>
      <w:r>
        <w:rPr>
          <w:bCs/>
          <w:b/>
        </w:rPr>
        <w:t xml:space="preserve">Average pH: 6.66 | Minimum: 6.15 (Atwater, Jun 2025) | Maximum: 7.05 (School St, Jul 2025)</w:t>
      </w:r>
    </w:p>
    <w:p>
      <w:pPr>
        <w:pStyle w:val="BodyText"/>
      </w:pPr>
      <w:r>
        <w:rPr>
          <w:iCs/>
          <w:i/>
        </w:rPr>
        <w:t xml:space="preserve">pH values calibrated; residual uncertainty ±0.2 pH unit. Temperature in °F.</w:t>
      </w:r>
    </w:p>
    <w:p>
      <w:pPr>
        <w:pStyle w:val="BodyText"/>
      </w:pPr>
      <w:r>
        <w:rPr>
          <w:bCs/>
          <w:b/>
        </w:rPr>
        <w:t xml:space="preserve">Key finding:</w:t>
      </w:r>
      <w:r>
        <w:t xml:space="preserve"> </w:t>
      </w:r>
      <w:r>
        <w:t xml:space="preserve">The lowest corrected pH in the dataset (6.15, Atwater June) co-occurred with a Brook Trout eDNA detection at the same site on the same date — confirming that Brook Trout are present and active across the full corrected pH range. No corrected value falls below 6.0. The primary summer stressor in this watershed is</w:t>
      </w:r>
      <w:r>
        <w:t xml:space="preserve"> </w:t>
      </w:r>
      <w:r>
        <w:rPr>
          <w:bCs/>
          <w:b/>
        </w:rPr>
        <w:t xml:space="preserve">thermal</w:t>
      </w:r>
      <w:r>
        <w:t xml:space="preserve">, not chemical. The July 9 Atwater reading of 75.9°F is the only measurement approaching the acute lethal threshold.</w:t>
      </w:r>
    </w:p>
    <w:bookmarkEnd w:id="25"/>
    <w:bookmarkStart w:id="26"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5 events, 4 sites</w:t>
            </w:r>
          </w:p>
        </w:tc>
        <w:tc>
          <w:tcPr/>
          <w:p>
            <w:pPr>
              <w:pStyle w:val="Compact"/>
              <w:jc w:val="left"/>
            </w:pPr>
            <w:r>
              <w:t xml:space="preserve">Golf Course (Nov 2023), Below School St (Nov 2023, Aug 2024, Nov 2025), Atwater (Jun 2025), Below Lincoln Pool (Jun 2025)</w:t>
            </w:r>
          </w:p>
        </w:tc>
        <w:tc>
          <w:tcPr/>
          <w:p>
            <w:pPr>
              <w:pStyle w:val="Compact"/>
              <w:jc w:val="left"/>
            </w:pPr>
            <w:r>
              <w:t xml:space="preserve">Persistent multi-site presence across two years including spawning season</w:t>
            </w:r>
          </w:p>
        </w:tc>
      </w:tr>
      <w:tr>
        <w:tc>
          <w:tcPr/>
          <w:p>
            <w:pPr>
              <w:pStyle w:val="Compact"/>
              <w:jc w:val="left"/>
            </w:pPr>
            <w:r>
              <w:rPr>
                <w:bCs/>
                <w:b/>
              </w:rPr>
              <w:t>Alewife at 63% — L Mackintosh Pond only</w:t>
            </w:r>
          </w:p>
        </w:tc>
        <w:tc>
          <w:tcPr/>
          <w:p>
            <w:pPr>
              <w:pStyle w:val="Compact"/>
              <w:jc w:val="left"/>
            </w:pPr>
            <w:r>
              <w:t>L Mackintosh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6"/>
    <w:bookmarkStart w:id="27"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t xml:space="preserve">Native pickerel — 100% ESV match</w:t>
            </w:r>
          </w:p>
        </w:tc>
        <w:tc>
          <w:tcPr/>
          <w:p>
            <w:pPr>
              <w:pStyle w:val="Compact"/>
              <w:jc w:val="left"/>
            </w:pPr>
            <w:r>
              <w:rPr>
                <w:iCs/>
                <w:i/>
              </w:rPr>
              <w:t xml:space="preserve">E. niger</w:t>
            </w:r>
            <w:r>
              <w:t xml:space="preserve"> </w:t>
            </w:r>
            <w:r>
              <w:t xml:space="preserve">or</w:t>
            </w:r>
            <w:r>
              <w:t xml:space="preserve"> </w:t>
            </w:r>
            <w:r>
              <w:rPr>
                <w:iCs/>
                <w:i/>
              </w:rPr>
              <w:t xml:space="preserve">E. americanus</w:t>
            </w:r>
            <w:r>
              <w:t xml:space="preserve">; species-level unresolvable from this barcode [T2]</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Only at L Mackintosh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Field ID required — invasive</w:t>
            </w:r>
            <w:r>
              <w:t xml:space="preserve"> </w:t>
            </w:r>
            <w:r>
              <w:rPr>
                <w:iCs/>
                <w:i/>
              </w:rPr>
              <w:t xml:space="preserve">Nitellopsis obtusa</w:t>
            </w:r>
            <w:r>
              <w:t xml:space="preserve"> </w:t>
            </w:r>
            <w:r>
              <w:t xml:space="preserve">cannot be ruled out [T6]</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7"/>
    <w:bookmarkEnd w:id="28"/>
    <w:bookmarkStart w:id="107"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The Sawmill Brook system in Manchester-by-the-Sea is the most intensively monitored watershed in Massachusetts in this study — thirteen samples across nineteen months at multiple reaches from Cat Brook headwaters and L Mackintosh Pond through the mainstem to the tidal mouth at School Street, draining southwest into Manchester Harbor. The Manchester-by-the-Sea Brook Trout monitoring program (MBTS) tracks the health and status of a suburban coastal stream. Early samples (November 2023, August 2024) carry both fish and algal data; later samples are fish-only.</w:t>
      </w:r>
    </w:p>
    <w:p>
      <w:pPr>
        <w:pStyle w:val="BodyText"/>
      </w:pPr>
      <w:r>
        <w:t>L Mackintosh Pond is a headwater impoundment feeding into Cat Brook, which drains to Sawmill Brook.</w:t>
      </w:r>
      <w:r>
        <w:t xml:space="preserve"> </w:t>
      </w:r>
      <w:r>
        <w:rPr>
          <w:bCs/>
          <w:b/>
        </w:rPr>
        <w:t>Alewife at 63% at L Mackintosh Pond in October is an exceptional finding</w:t>
      </w:r>
      <w:r>
        <w:t xml:space="preserve"> </w:t>
      </w:r>
      <w:r>
        <w:t>— Alewife are essentially absent from the rest of the MBTS system, making this the only confirmed Alewife presence in the entire watershed. This signals a direct ocean connectivity pathway through L Mackintosh Pond and Cat Brook that may be available only seasonally or at specific water levels.</w:t>
      </w:r>
    </w:p>
    <w:p>
      <w:pPr>
        <w:pStyle w:val="BodyText"/>
      </w:pPr>
      <w:r>
        <w:rPr>
          <w:iCs/>
          <w:i/>
          <w:bCs/>
          <w:b/>
        </w:rPr>
        <w:t xml:space="preserve">Esox</w:t>
      </w:r>
      <w:r>
        <w:rPr>
          <w:bCs/>
          <w:b/>
        </w:rPr>
        <w:t xml:space="preserve"> </w:t>
      </w:r>
      <w:r>
        <w:rPr>
          <w:bCs/>
          <w:b/>
        </w:rPr>
        <w:t>spp. detected at L Mackintosh Pond (October 2024) — native pickerel;</w:t>
      </w:r>
      <w:r>
        <w:rPr>
          <w:bCs/>
          <w:b/>
        </w:rPr>
        <w:t xml:space="preserve"> </w:t>
      </w:r>
      <w:r>
        <w:rPr>
          <w:iCs/>
          <w:i/>
          <w:bCs/>
          <w:b/>
        </w:rPr>
        <w:t xml:space="preserve">Esox lucius</w:t>
      </w:r>
      <w:r>
        <w:rPr>
          <w:bCs/>
          <w:b/>
        </w:rPr>
        <w:t xml:space="preserve"> </w:t>
      </w:r>
      <w:r>
        <w:rPr>
          <w:bCs/>
          <w:b/>
        </w:rPr>
        <w:t xml:space="preserve">database assignment is an artifact [T2].</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3"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29"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9"/>
    <w:bookmarkStart w:id="30"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30"/>
    <w:bookmarkStart w:id="31" w:name="narrative"/>
    <w:p>
      <w:pPr>
        <w:pStyle w:val="Heading3"/>
      </w:pPr>
      <w:r>
        <w:t xml:space="preserve">Narrative</w:t>
      </w:r>
    </w:p>
    <w:p>
      <w:pPr>
        <w:pStyle w:val="FirstParagraph"/>
      </w:pPr>
      <w:r>
        <w:t>The fish community — Golden Shiner (58.3%), Sunfish sp. (36.8%), Bass sp. (2.1%), American Eel (2.6%), Brown Bullhead (Ameiurus nebulosus)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31"/>
    <w:bookmarkStart w:id="32"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Brown Bullhead (Ameiurus nebulosus)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2"/>
    <w:bookmarkEnd w:id="33"/>
    <w:bookmarkStart w:id="38"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4"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4"/>
    <w:bookmarkStart w:id="35"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5"/>
    <w:bookmarkStart w:id="36"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6"/>
    <w:bookmarkStart w:id="37"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Brook Trout consistently detected at this site indicate upstream refugia in the watershed. eDNA degrades faster in saline water than in freshwater [T7]; the true Brook Trout signal from upstream reaches may be understated at this tidal sampling point. Moving the sampling location further upstream is worth considering.</w:t>
      </w:r>
    </w:p>
    <w:p>
      <w:r>
        <w:pict>
          <v:rect style="width:0;height:1.5pt" o:hralign="center" o:hrstd="t" o:hr="t"/>
        </w:pict>
      </w:r>
    </w:p>
    <w:bookmarkEnd w:id="37"/>
    <w:bookmarkEnd w:id="38"/>
    <w:bookmarkStart w:id="43" w:name="X055f5458b6a71e4fc612ad09de4d1b4dce39fce"/>
    <w:p>
      <w:pPr>
        <w:pStyle w:val="Heading2"/>
      </w:pPr>
      <w:r>
        <w:t xml:space="preserve">Lower Golf Course / Sawmill Brook | JVB5776 / C4SUMTFY.1</w:t>
      </w:r>
    </w:p>
    <w:p>
      <w:pPr>
        <w:pStyle w:val="FirstParagraph"/>
      </w:pPr>
      <w:r>
        <w:rPr>
          <w:iCs/>
          <w:i/>
        </w:rPr>
        <w:t xml:space="preserve">This site was selected to determine whether Brook Trout were accessing the Golf Course reach during fall spawning season (November 2023).</w:t>
      </w:r>
    </w:p>
    <w:p>
      <w:pPr>
        <w:pStyle w:val="BodyText"/>
      </w:pPr>
      <w:r>
        <w:rPr>
          <w:bCs/>
          <w:b/>
        </w:rPr>
        <w:t xml:space="preserve">Fish: 9 species, H(f) = 1.62 | Algae: 140 ESVs, H(a) = 3.57</w:t>
      </w:r>
    </w:p>
    <w:bookmarkStart w:id="39"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9"/>
    <w:bookmarkStart w:id="40"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40"/>
    <w:bookmarkStart w:id="41"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Yellow Perch (1.4%) adds tolerant generalist presence. Rainbow Smelt (0.2%) is an anomalous detection — not documented in this system; unconfirmed pending ESV review [T9].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Invasive species flag [T6].</w:t>
      </w:r>
      <w:r>
        <w:t xml:space="preserve"> </w:t>
      </w:r>
      <w:r>
        <w:t xml:space="preserve">The 23S rRNA resolves this signal to class (Charophyceae) only — native</w:t>
      </w:r>
      <w:r>
        <w:t xml:space="preserve"> </w:t>
      </w:r>
      <w:r>
        <w:rPr>
          <w:iCs/>
          <w:i/>
        </w:rPr>
        <w:t xml:space="preserve">Chara</w:t>
      </w:r>
      <w:r>
        <w:t xml:space="preserve">/</w:t>
      </w:r>
      <w:r>
        <w:rPr>
          <w:iCs/>
          <w:i/>
        </w:rPr>
        <w:t xml:space="preserve">Nitella</w:t>
      </w:r>
      <w:r>
        <w:t xml:space="preserve"> </w:t>
      </w:r>
      <w:r>
        <w:t xml:space="preserve">and invasive</w:t>
      </w:r>
      <w:r>
        <w:t xml:space="preserve"> </w:t>
      </w:r>
      <w:r>
        <w:rPr>
          <w:iCs/>
          <w:i/>
        </w:rPr>
        <w:t xml:space="preserve">Nitellopsis obtusa</w:t>
      </w:r>
      <w:r>
        <w:t xml:space="preserve"> </w:t>
      </w:r>
      <w:r>
        <w:t xml:space="preserve">(Starry Stonewort) cannot be distinguished from this data. Field morphological identification or species-specific PCR is required before this signal can be interpreted as native or invasive. Do not treat as a confirmed positive indicator until field-verified.</w:t>
      </w:r>
    </w:p>
    <w:bookmarkEnd w:id="41"/>
    <w:bookmarkStart w:id="42"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2"/>
    <w:bookmarkEnd w:id="43"/>
    <w:bookmarkStart w:id="44"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4"/>
    <w:bookmarkStart w:id="62" w:name="X5b8f638f8cf74c8533972122a274082540184d9"/>
    <w:p>
      <w:pPr>
        <w:pStyle w:val="Heading2"/>
      </w:pPr>
      <w:r>
        <w:t xml:space="preserve">Sawmill Brook — Three Sites (Manchester-by-the-Sea, MA)</w:t>
      </w:r>
    </w:p>
    <w:bookmarkStart w:id="45" w:name="X154b2650e2b2d38ffa6d8c3a28b28270ed6c1da"/>
    <w:p>
      <w:pPr>
        <w:pStyle w:val="Heading3"/>
      </w:pPr>
      <w:r>
        <w:t xml:space="preserve">August 28, 2024 · Below School St · Fire Station · Sawmill Swamp</w:t>
      </w:r>
    </w:p>
    <w:p>
      <w:r>
        <w:pict>
          <v:rect style="width:0;height:1.5pt" o:hralign="center" o:hrstd="t" o:hr="t"/>
        </w:pict>
      </w:r>
    </w:p>
    <w:bookmarkEnd w:id="45"/>
    <w:bookmarkStart w:id="51"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6"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6"/>
    <w:bookmarkStart w:id="47"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7"/>
    <w:bookmarkStart w:id="48"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8"/>
    <w:bookmarkStart w:id="49"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9"/>
    <w:bookmarkStart w:id="50"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Largemouth Bass — non-native in this watershed context; competes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50"/>
    <w:bookmarkEnd w:id="51"/>
    <w:bookmarkStart w:id="56"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2"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2"/>
    <w:bookmarkStart w:id="53"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3"/>
    <w:bookmarkStart w:id="54"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4"/>
    <w:bookmarkStart w:id="55"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5"/>
    <w:bookmarkEnd w:id="56"/>
    <w:bookmarkStart w:id="57" w:name="X6c4793d42ea8104a20772b343134eb3b2cb6813"/>
    <w:p>
      <w:pPr>
        <w:pStyle w:val="Heading3"/>
      </w:pPr>
      <w:r>
        <w:t xml:space="preserve">Field Measurements — Below School St / School St Reach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Jul 31, 2025</w:t>
            </w:r>
          </w:p>
        </w:tc>
        <w:tc>
          <w:tcPr/>
          <w:p>
            <w:pPr>
              <w:pStyle w:val="Compact"/>
              <w:jc w:val="left"/>
            </w:pPr>
            <w:r>
              <w:t xml:space="preserve">7.05</w:t>
            </w:r>
          </w:p>
        </w:tc>
        <w:tc>
          <w:tcPr/>
          <w:p>
            <w:pPr>
              <w:pStyle w:val="Compact"/>
              <w:jc w:val="left"/>
            </w:pPr>
            <w:r>
              <w:t xml:space="preserve">71.6</w:t>
            </w:r>
          </w:p>
        </w:tc>
        <w:tc>
          <w:tcPr/>
          <w:p>
            <w:pPr>
              <w:pStyle w:val="Compact"/>
              <w:jc w:val="left"/>
            </w:pPr>
            <w:r>
              <w:t xml:space="preserve">Summer — pH neutral; temp at upper Brook Trout stress threshold</w:t>
            </w:r>
          </w:p>
        </w:tc>
      </w:tr>
      <w:tr>
        <w:tc>
          <w:tcPr/>
          <w:p>
            <w:pPr>
              <w:pStyle w:val="Compact"/>
              <w:jc w:val="left"/>
            </w:pPr>
            <w:r>
              <w:t xml:space="preserve">Nov 23, 2025</w:t>
            </w:r>
          </w:p>
        </w:tc>
        <w:tc>
          <w:tcPr/>
          <w:p>
            <w:pPr>
              <w:pStyle w:val="Compact"/>
              <w:jc w:val="left"/>
            </w:pPr>
            <w:r>
              <w:t xml:space="preserve">6.66</w:t>
            </w:r>
          </w:p>
        </w:tc>
        <w:tc>
          <w:tcPr/>
          <w:p>
            <w:pPr>
              <w:pStyle w:val="Compact"/>
              <w:jc w:val="left"/>
            </w:pPr>
            <w:r>
              <w:t xml:space="preserve">38.4</w:t>
            </w:r>
          </w:p>
        </w:tc>
        <w:tc>
          <w:tcPr/>
          <w:p>
            <w:pPr>
              <w:pStyle w:val="Compact"/>
              <w:jc w:val="left"/>
            </w:pPr>
            <w:r>
              <w:t xml:space="preserve">Winter baseline — co-dated with Nov 22, 2025 eDNA event</w:t>
            </w:r>
          </w:p>
        </w:tc>
      </w:tr>
    </w:tbl>
    <w:p>
      <w:pPr>
        <w:pStyle w:val="BodyText"/>
      </w:pPr>
      <w:r>
        <w:t xml:space="preserve">Corrected pH 7.05 and 71.6°F on July 31: pH is neutral and well within Brook Trout tolerance; thermal stress is the concern — 71.6°F exceeds the sustained-stress threshold (~68°F) and approaches the short-term lethal range (~75°F). Brook Trout detected at this site in November but not in summer — the July temperature is consistent with seasonal exclusion. Corrected November pH of 6.66 at 38.4°F is within full Brook Trout tolerance and aligns well with the biologically-inferred range (6.5–7.5) for this tidal reach; the November eDNA detection of Brook Trout at 4.8% is consistent with these conditions.</w:t>
      </w:r>
    </w:p>
    <w:p>
      <w:pPr>
        <w:pStyle w:val="BodyText"/>
      </w:pPr>
      <w:r>
        <w:t xml:space="preserve">† pH values two-point calibration corrected; residual uncertainty ±0.2 pH unit. Temperature in °F.</w:t>
      </w:r>
    </w:p>
    <w:bookmarkEnd w:id="57"/>
    <w:bookmarkStart w:id="61"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8" w:name="sentinel-signal-5"/>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p>
      <w:pPr>
        <w:pStyle w:val="BodyText"/>
      </w:pPr>
      <w:r>
        <w:t xml:space="preserve">Bluefish (Pomatomus saltator) detected at 167 reads (0.6%) at the Fire Station tidal limit — a marine pelagic predator whose eDNA at the tidal mouth of Sawmill Brook is consistent with late-summer feeding behavior in Manchester Harbor. Bluefish are voracious predators of Mummichog, Alewife, and other small fish common in this tidal reach. Their eDNA at the tidal limit is not unexpected in late August.</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58"/>
    <w:bookmarkStart w:id="59" w:name="narrative-5"/>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9"/>
    <w:bookmarkStart w:id="60"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60"/>
    <w:bookmarkEnd w:id="61"/>
    <w:bookmarkEnd w:id="62"/>
    <w:bookmarkStart w:id="68"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3" w:name="sentinel-signal-6"/>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3"/>
    <w:bookmarkStart w:id="64"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4"/>
    <w:bookmarkStart w:id="65"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5"/>
    <w:bookmarkStart w:id="66"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6"/>
    <w:bookmarkStart w:id="67"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7"/>
    <w:bookmarkEnd w:id="68"/>
    <w:bookmarkStart w:id="75" w:name="X5cc639b665002223de66d3d88c5acd95b75e531"/>
    <w:p>
      <w:pPr>
        <w:pStyle w:val="Heading2"/>
      </w:pPr>
      <w:r>
        <w:t>L Mackintosh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[T2]</w:t>
      </w:r>
      <w:r>
        <w:t xml:space="preserve"> </w:t>
      </w:r>
      <w:r>
        <w:rPr>
          <w:bCs/>
          <w:b/>
        </w:rPr>
        <w:t xml:space="preserve">Algae:</w:t>
      </w:r>
      <w:r>
        <w:t xml:space="preserve"> </w:t>
      </w:r>
      <w:r>
        <w:t xml:space="preserve">H(a) = 1.72 · 11 ESVs · 19,939 reads</w:t>
      </w:r>
    </w:p>
    <w:bookmarkStart w:id="69" w:name="sentinel-signal-7"/>
    <w:p>
      <w:pPr>
        <w:pStyle w:val="Heading3"/>
      </w:pPr>
      <w:r>
        <w:t xml:space="preserve">Sentinel Signal</w:t>
      </w:r>
    </w:p>
    <w:p>
      <w:pPr>
        <w:pStyle w:val="FirstParagraph"/>
      </w:pPr>
      <w:r>
        <w:t>L Mackintosh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detected at 1.5% — native pickerel [T2].</w:t>
      </w:r>
    </w:p>
    <w:bookmarkEnd w:id="69"/>
    <w:bookmarkStart w:id="70"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Database assignment uncertain — freshwater taxon identification pending ESV review</w:t>
            </w:r>
          </w:p>
        </w:tc>
      </w:tr>
    </w:tbl>
    <w:bookmarkEnd w:id="70"/>
    <w:bookmarkStart w:id="71"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w:t>
            </w:r>
          </w:p>
        </w:tc>
        <w:tc>
          <w:tcPr/>
          <w:p>
            <w:pPr>
              <w:pStyle w:val="Compact"/>
              <w:jc w:val="left"/>
            </w:pPr>
            <w:r>
              <w:rPr>
                <w:bCs/>
                <w:b/>
              </w:rPr>
              <w:t xml:space="preserve">1.5%</w:t>
            </w:r>
          </w:p>
        </w:tc>
        <w:tc>
          <w:tcPr/>
          <w:p>
            <w:pPr>
              <w:pStyle w:val="Compact"/>
              <w:jc w:val="left"/>
            </w:pPr>
            <w:r>
              <w:rPr>
                <w:bCs/>
                <w:b/>
              </w:rPr>
              <w:t xml:space="preserve">Native pickerel [T2]</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71"/>
    <w:bookmarkStart w:id="72"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72"/>
    <w:bookmarkStart w:id="73" w:name="narrative-7"/>
    <w:p>
      <w:pPr>
        <w:pStyle w:val="Heading3"/>
      </w:pPr>
      <w:r>
        <w:t xml:space="preserve">Narrative</w:t>
      </w:r>
    </w:p>
    <w:p>
      <w:pPr>
        <w:pStyle w:val="FirstParagraph"/>
      </w:pPr>
      <w:r>
        <w:t>L Mackintosh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is best known as the causative organism of brown tide events in Texas coastal embayments (Laguna Madre); its presence in L Mackintosh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at 3.0% provides a cold-water oligotrophic baseline signal consistent with L Mackintosh Pond being a moderately deep coastal kettle pond with residual cold-water character.</w:t>
      </w:r>
    </w:p>
    <w:p>
      <w:pPr>
        <w:pStyle w:val="BodyText"/>
      </w:pPr>
      <w:r>
        <w:t xml:space="preserve">Common Carp (Cyprinus carpio) — BLAST-confirmed at 4,093 reads (~30% of fish reads at this site) — is the most significant new finding at L Mackintosh Pond from the full BLAST run. Carp were previously unresolved (species=None) and excluded from the v38 community analysis. Their identification substantially revises the site picture: Alewife is no longer dominant at 63% but closer to 44% once Carp reads are included in the denominator. Carp are an introduced species with a well-documented capacity to degrade aquatic habitat through bottom-rooting, sediment resuspension, and uprooting of macrophytes. A 30% Carp signal in a headwater pond that also supports Alewife, Tessellated Darter, and potential Brook Trout connectivity is a serious conservation flag. Fathead Minnow (Pimephales promelas, ~5%) is a second introduced species now confirmed by BLAST — a common bait-bucket introduction. Both species should be flagged to MassWildlife and the town conservation commission.</w:t>
      </w:r>
    </w:p>
    <w:p>
      <w:pPr>
        <w:pStyle w:val="BodyText"/>
      </w:pPr>
      <w:r>
        <w:rPr>
          <w:iCs/>
          <w:i/>
        </w:rPr>
        <w:t xml:space="preserve">Mallomonas</w:t>
      </w:r>
      <w:r>
        <w:t xml:space="preserve"> </w:t>
      </w:r>
      <w:r>
        <w:t>at 3.0% provides a cold-water oligotrophic baseline signal consistent with L Mackintosh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iCs/>
          <w:i/>
        </w:rPr>
        <w:t xml:space="preserve">Esox</w:t>
      </w:r>
      <w:r>
        <w:t xml:space="preserve"> </w:t>
      </w:r>
      <w:r>
        <w:t xml:space="preserve">spp. at 1.5% is native pickerel [T2].</w:t>
      </w:r>
    </w:p>
    <w:bookmarkEnd w:id="73"/>
    <w:bookmarkStart w:id="74"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native pickerel [T2].</w:t>
      </w:r>
    </w:p>
    <w:p>
      <w:r>
        <w:pict>
          <v:rect style="width:0;height:1.5pt" o:hralign="center" o:hrstd="t" o:hr="t"/>
        </w:pict>
      </w:r>
    </w:p>
    <w:bookmarkEnd w:id="74"/>
    <w:bookmarkEnd w:id="75"/>
    <w:bookmarkStart w:id="82"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6"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BLAST update: Fundulus majalis (Striped Killifish) is now confirmed at School Street (821 reads in JVB4678 / UTEVR3WT.1). Striped Killifish is a tidal species distinct from Mummichog (F. heteroclitus), preferring sandy tidal flats and creek margins. Its confirmation at School Street reinforces the tidal character of this reach and adds a second Fundulus species to the watershed species list.</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6"/>
    <w:bookmarkStart w:id="77"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7"/>
    <w:bookmarkStart w:id="78"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8"/>
    <w:bookmarkStart w:id="79"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9"/>
    <w:bookmarkStart w:id="80"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80"/>
    <w:bookmarkStart w:id="81"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81"/>
    <w:bookmarkEnd w:id="82"/>
    <w:bookmarkStart w:id="89"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3"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3"/>
    <w:bookmarkStart w:id="84"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4"/>
    <w:bookmarkStart w:id="85"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5"/>
    <w:bookmarkStart w:id="86"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6"/>
    <w:bookmarkStart w:id="87"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46°F are extremely low. The absence of fish DNA is not an absence of fish.</w:t>
      </w:r>
    </w:p>
    <w:bookmarkEnd w:id="87"/>
    <w:bookmarkStart w:id="88"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8"/>
    <w:bookmarkEnd w:id="89"/>
    <w:bookmarkStart w:id="93"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90"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[T1]. Tomcod trace = early spring estuarine movement. No Brook Trout — tidal site.</w:t>
      </w:r>
    </w:p>
    <w:bookmarkEnd w:id="90"/>
    <w:bookmarkStart w:id="91"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[T1] — freshwater tributary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[T1]</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91"/>
    <w:bookmarkStart w:id="92"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is genus-level only — Brown Trout or Atlantic Salmon cannot be distinguished from this barcode [T1].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92"/>
    <w:bookmarkEnd w:id="93"/>
    <w:bookmarkStart w:id="95"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[T1]</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Note: Salvelinus fontinalis (0.6%, ~285 reads), Pumpkinseed (Lepomis gibbosus) (19.4%), and Largemouth Bass (Micropterus salmoides) (3.5%) were previously excluded due to genus-level ESV blank Species field. Reads and percentages for other species re-normalized to include these additions; approximate percentages shown.</w:t>
      </w:r>
    </w:p>
    <w:p>
      <w:pPr>
        <w:pStyle w:val="BodyText"/>
      </w:pPr>
      <w:r>
        <w:t xml:space="preserve">Fish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[T1].</w:t>
      </w:r>
    </w:p>
    <w:bookmarkStart w:id="94"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6.88</w:t>
            </w:r>
          </w:p>
        </w:tc>
        <w:tc>
          <w:tcPr/>
          <w:p>
            <w:pPr>
              <w:pStyle w:val="Compact"/>
              <w:jc w:val="left"/>
            </w:pPr>
            <w:r>
              <w:t xml:space="preserve">55.4</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6.53</w:t>
            </w:r>
          </w:p>
        </w:tc>
        <w:tc>
          <w:tcPr/>
          <w:p>
            <w:pPr>
              <w:pStyle w:val="Compact"/>
              <w:jc w:val="left"/>
            </w:pPr>
            <w:r>
              <w:t xml:space="preserve">37.7</w:t>
            </w:r>
          </w:p>
        </w:tc>
        <w:tc>
          <w:tcPr/>
          <w:p>
            <w:pPr>
              <w:pStyle w:val="Compact"/>
              <w:jc w:val="left"/>
            </w:pPr>
            <w:r>
              <w:t xml:space="preserve">Winter baseline</w:t>
            </w:r>
          </w:p>
        </w:tc>
      </w:tr>
    </w:tbl>
    <w:p>
      <w:pPr>
        <w:pStyle w:val="BodyText"/>
      </w:pPr>
      <w:r>
        <w:t xml:space="preserve">Corrected pH 6.88 and 55.4°F on the eDNA sample date are both within acceptable range for Brook Trout (thermal optimum 54–61°F; pH optimal range 6.0–7.0). The Brook Trout detection at 0.6% is consistent with these conditions — June temperatures and pH at this site are both suitable.</w:t>
      </w:r>
    </w:p>
    <w:p>
      <w:pPr>
        <w:pStyle w:val="BodyText"/>
      </w:pPr>
      <w:r>
        <w:t xml:space="preserve">† pH values two-point calibration corrected; residual uncertainty ±0.2 pH unit.</w:t>
      </w:r>
    </w:p>
    <w:p>
      <w:r>
        <w:pict>
          <v:rect style="width:0;height:1.5pt" o:hralign="center" o:hrstd="t" o:hr="t"/>
        </w:pict>
      </w:r>
    </w:p>
    <w:bookmarkEnd w:id="94"/>
    <w:bookmarkEnd w:id="95"/>
    <w:bookmarkStart w:id="10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(includes all genus-level ESVs; see cormorant QC note)</w:t>
      </w:r>
    </w:p>
    <w:bookmarkStart w:id="96"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Sculpin (Sculpin (Cottus sp.))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6"/>
    <w:bookmarkStart w:id="97"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[T1]</w:t>
            </w:r>
          </w:p>
        </w:tc>
      </w:tr>
      <w:tr>
        <w:tc>
          <w:tcPr/>
          <w:p>
            <w:pPr>
              <w:pStyle w:val="Compact"/>
              <w:jc w:val="left"/>
            </w:pPr>
            <w:r>
              <w:t>Sculpin (Cottus sp.)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Database artifact [T4] — excluded</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7"/>
    <w:bookmarkStart w:id="98" w:name="qc-note-cormorant-fecal-edna-t5"/>
    <w:p>
      <w:pPr>
        <w:pStyle w:val="Heading3"/>
      </w:pPr>
      <w:r>
        <w:t xml:space="preserve">QC Note — Cormorant Fecal eDNA [T5]</w:t>
      </w:r>
    </w:p>
    <w:p>
      <w:pPr>
        <w:pStyle w:val="FirstParagraph"/>
      </w:pPr>
      <w:r>
        <w:t xml:space="preserve">Three detections at this inland freshwater site are cormorant dietary artifacts:</w:t>
      </w:r>
      <w:r>
        <w:t xml:space="preserve"> </w:t>
      </w:r>
      <w:r>
        <w:rPr>
          <w:bCs/>
          <w:b/>
        </w:rPr>
        <w:t xml:space="preserve">Menhaden (1.7%, 176 reads)</w:t>
      </w:r>
      <w:r>
        <w:t xml:space="preserve"> </w:t>
      </w:r>
      <w:r>
        <w:t xml:space="preserve">— coastal marine species, no freshwater range;</w:t>
      </w:r>
      <w:r>
        <w:t xml:space="preserve"> </w:t>
      </w:r>
      <w:r>
        <w:rPr>
          <w:bCs/>
          <w:b/>
        </w:rPr>
        <w:t xml:space="preserve">Xiphister spp. (0.6%, 65 reads)</w:t>
      </w:r>
      <w:r>
        <w:t xml:space="preserve"> </w:t>
      </w:r>
      <w:r>
        <w:t xml:space="preserve">— intertidal marine species;</w:t>
      </w:r>
      <w:r>
        <w:t xml:space="preserve"> </w:t>
      </w:r>
      <w:r>
        <w:rPr>
          <w:bCs/>
          <w:b/>
        </w:rPr>
        <w:t xml:space="preserve">Alewife (0.8%, 85 reads)</w:t>
      </w:r>
      <w:r>
        <w:t xml:space="preserve"> </w:t>
      </w:r>
      <w:r>
        <w:t xml:space="preserve">— above confirmed anadromous limit in June. Menhaden is the diagnostic indicator of Double-crested Cormorant fecal input at inland sites [T5].</w:t>
      </w:r>
      <w:r>
        <w:t xml:space="preserve"> </w:t>
      </w:r>
      <w:r>
        <w:rPr>
          <w:bCs/>
          <w:b/>
        </w:rPr>
        <w:t xml:space="preserve">No authenticated live Alewife at the Atwater reach.</w:t>
      </w:r>
      <w:r>
        <w:t xml:space="preserve"> </w:t>
      </w:r>
      <w:r>
        <w:t>Alewife is confirmed at L Mackintosh Pond (Cat Brook headwater) — not at mid-watershed reaches above the tidal zone.</w:t>
      </w:r>
    </w:p>
    <w:bookmarkEnd w:id="98"/>
    <w:bookmarkStart w:id="99"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Sculpin (Sculpin (Cottus sp.),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Golden Shiner 78.1% · Pumpkinseed (Lepomis gibbosus) 10.2% · Sculpin 2.5% · Eel 2.0% · Bullhead 1.7% · Brook Trout 1.1%</w:t>
      </w:r>
      <w:r>
        <w:t xml:space="preserve"> </w:t>
      </w:r>
      <w:r>
        <w:t xml:space="preserve">— a coherent native freshwater community with both cold-water sentinel species (Brook Trout, Sculpin) confirmed.</w:t>
      </w:r>
    </w:p>
    <w:bookmarkEnd w:id="99"/>
    <w:bookmarkStart w:id="100"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6.15</w:t>
            </w:r>
          </w:p>
        </w:tc>
        <w:tc>
          <w:tcPr/>
          <w:p>
            <w:pPr>
              <w:pStyle w:val="Compact"/>
              <w:jc w:val="left"/>
            </w:pPr>
            <w:r>
              <w:t xml:space="preserve">62.7</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6.47</w:t>
            </w:r>
          </w:p>
        </w:tc>
        <w:tc>
          <w:tcPr/>
          <w:p>
            <w:pPr>
              <w:pStyle w:val="Compact"/>
              <w:jc w:val="left"/>
            </w:pPr>
            <w:r>
              <w:t xml:space="preserve">75.9</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6.87</w:t>
            </w:r>
          </w:p>
        </w:tc>
        <w:tc>
          <w:tcPr/>
          <w:p>
            <w:pPr>
              <w:pStyle w:val="Compact"/>
              <w:jc w:val="left"/>
            </w:pPr>
            <w:r>
              <w:t xml:space="preserve">36.8</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Atwater Ave water temperature is at or beyond the acute lethal threshold for Brook Trout (death commonly reported above 73–75°F).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corrected June pH of 6.15 is within comfortable adult Brook Trout range — pH is not a stressor at this site.</w:t>
      </w:r>
    </w:p>
    <w:p>
      <w:pPr>
        <w:pStyle w:val="FirstParagraph"/>
      </w:pPr>
      <w:r>
        <w:t xml:space="preserve">† pH values two-point calibration corrected; residual uncertainty ±0.2 pH unit.</w:t>
      </w:r>
    </w:p>
    <w:p>
      <w:r>
        <w:pict>
          <v:rect style="width:0;height:1.5pt" o:hralign="center" o:hrstd="t" o:hr="t"/>
        </w:pict>
      </w:r>
    </w:p>
    <w:bookmarkEnd w:id="100"/>
    <w:bookmarkEnd w:id="101"/>
    <w:bookmarkStart w:id="106"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02" w:name="sentinel-signal-12"/>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02"/>
    <w:bookmarkStart w:id="103"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03"/>
    <w:bookmarkStart w:id="104" w:name="narrative-12"/>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04"/>
    <w:bookmarkStart w:id="105" w:name="native-vs.-non-native-10"/>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05"/>
    <w:bookmarkEnd w:id="106"/>
    <w:bookmarkEnd w:id="107"/>
    <w:bookmarkStart w:id="108" w:name="X59784cc5e000a43598ed06a62acc0f059afb8f9"/>
    <w:p>
      <w:pPr>
        <w:pStyle w:val="Heading1"/>
      </w:pPr>
      <w:r>
        <w:t xml:space="preserve">Appendix A — Brook Trout Detections: Sawmill / Cat Brook Sites</w:t>
      </w:r>
    </w:p>
    <w:bookmarkEnd w:id="108"/>
    <w:bookmarkStart w:id="131" w:name="Xeb7b060d1e6179fce2f31433d2e5e45ce9c152d"/>
    <w:p>
      <w:pPr>
        <w:pStyle w:val="Heading1"/>
      </w:pPr>
      <w:r>
        <w:t xml:space="preserve">Appendix: Cross-Batch Brook Trout &amp; Atlantic Salmon Summary</w:t>
      </w:r>
    </w:p>
    <w:bookmarkStart w:id="109"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09"/>
    <w:bookmarkStart w:id="110" w:name="Xfbc067fc0f5d7d1f90a62d5ace41a44292e1398"/>
    <w:p>
      <w:pPr>
        <w:pStyle w:val="Heading2"/>
      </w:pPr>
      <w:r>
        <w:t xml:space="preserve">Cross-Batch Summary — Brook Trout and Atlantic Salmon</w:t>
      </w:r>
    </w:p>
    <w:bookmarkEnd w:id="110"/>
    <w:bookmarkStart w:id="111"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11"/>
    <w:bookmarkStart w:id="112"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12"/>
    <w:bookmarkStart w:id="113"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13"/>
    <w:bookmarkStart w:id="114" w:name="Xa6da346d69c83f3b5adf3f2211d32725af44499"/>
    <w:p>
      <w:pPr>
        <w:pStyle w:val="Heading2"/>
      </w:pPr>
      <w:r>
        <w:t xml:space="preserve">November 22, 2025 Sampling Batch – MBTS Sawmill Brook System</w:t>
      </w:r>
    </w:p>
    <w:p>
      <w:pPr>
        <w:pStyle w:val="FirstParagraph"/>
      </w:pPr>
      <w:r>
        <w:rPr>
          <w:iCs/>
          <w:i/>
        </w:rPr>
        <w:t xml:space="preserve">Source: MBTS_eDNA_Full_Report chart data (May 2026). Batch IDs to be confirmed against JV Master.</w:t>
      </w:r>
    </w:p>
    <w:p>
      <w:pPr>
        <w:pStyle w:val="BodyText"/>
      </w:pPr>
      <w:r>
        <w:t xml:space="preserve">Three sites sampled on the same date provide a longitudinal snapshot of the full Sawmill Brook gradient in late autumn, which is the peak of Brook Trout spawning season.</w:t>
      </w:r>
    </w:p>
    <w:p>
      <w:r>
        <w:pict>
          <v:rect style="width:0;height:1.5pt" o:hralign="center" o:hrstd="t" o:hr="t"/>
        </w:pict>
      </w:r>
    </w:p>
    <w:bookmarkEnd w:id="114"/>
    <w:bookmarkStart w:id="119" w:name="upper-sawmill-brook-nov-22-2025"/>
    <w:p>
      <w:pPr>
        <w:pStyle w:val="Heading2"/>
      </w:pPr>
      <w:r>
        <w:t xml:space="preserve">Upper Sawmill Brook | Nov 22, 2025</w:t>
      </w:r>
    </w:p>
    <w:p>
      <w:pPr>
        <w:pStyle w:val="FirstParagraph"/>
      </w:pPr>
      <w:r>
        <w:rPr>
          <w:bCs/>
          <w:b/>
        </w:rPr>
        <w:t xml:space="preserve">Fish: 6 species detected, H(f) = 0.91 (low-moderate) | No algae data this event</w:t>
      </w:r>
    </w:p>
    <w:bookmarkStart w:id="115" w:name="sentinel-signal-13"/>
    <w:p>
      <w:pPr>
        <w:pStyle w:val="Heading3"/>
      </w:pPr>
      <w:r>
        <w:t xml:space="preserve">Sentinel Signal</w:t>
      </w:r>
    </w:p>
    <w:p>
      <w:pPr>
        <w:pStyle w:val="FirstParagraph"/>
      </w:pPr>
      <w:r>
        <w:t xml:space="preserve">Golden Shiner dominant (57.9%) + Bluegill Sunfish co-dominant (36.2%) + Largemouth Bass =</w:t>
      </w:r>
      <w:r>
        <w:t xml:space="preserve"> </w:t>
      </w:r>
      <w:r>
        <w:rPr>
          <w:bCs/>
          <w:b/>
        </w:rPr>
        <w:t xml:space="preserve">warm-water lentic assemblage. Brook Trout: not detected.</w:t>
      </w:r>
      <w:r>
        <w:t xml:space="preserve"> </w:t>
      </w:r>
      <w:r>
        <w:t xml:space="preserve">November is peak Brook Trout spawning season. This is the single most ecologically significant finding in the November 2025 batch.</w:t>
      </w:r>
    </w:p>
    <w:bookmarkEnd w:id="115"/>
    <w:bookmarkStart w:id="116" w:name="fish-community-6"/>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Golden Shiner</w:t>
            </w:r>
          </w:p>
        </w:tc>
        <w:tc>
          <w:tcPr/>
          <w:p>
            <w:pPr>
              <w:pStyle w:val="Compact"/>
              <w:jc w:val="left"/>
            </w:pPr>
            <w:r>
              <w:t xml:space="preserve">57.9%</w:t>
            </w:r>
          </w:p>
        </w:tc>
        <w:tc>
          <w:tcPr/>
          <w:p>
            <w:pPr>
              <w:pStyle w:val="Compact"/>
              <w:jc w:val="left"/>
            </w:pPr>
            <w:r>
              <w:t xml:space="preserve">Lentic warm-water specialist</w:t>
            </w:r>
          </w:p>
        </w:tc>
      </w:tr>
      <w:tr>
        <w:tc>
          <w:tcPr/>
          <w:p>
            <w:pPr>
              <w:pStyle w:val="Compact"/>
              <w:jc w:val="left"/>
            </w:pPr>
            <w:r>
              <w:t xml:space="preserve">Bluegill Sunfish</w:t>
            </w:r>
          </w:p>
        </w:tc>
        <w:tc>
          <w:tcPr/>
          <w:p>
            <w:pPr>
              <w:pStyle w:val="Compact"/>
              <w:jc w:val="left"/>
            </w:pPr>
            <w:r>
              <w:t xml:space="preserve">36.2%</w:t>
            </w:r>
          </w:p>
        </w:tc>
        <w:tc>
          <w:tcPr/>
          <w:p>
            <w:pPr>
              <w:pStyle w:val="Compact"/>
              <w:jc w:val="left"/>
            </w:pPr>
            <w:r>
              <w:t xml:space="preserve">Pond/slow-water sunfish</w:t>
            </w:r>
          </w:p>
        </w:tc>
      </w:tr>
      <w:tr>
        <w:tc>
          <w:tcPr/>
          <w:p>
            <w:pPr>
              <w:pStyle w:val="Compact"/>
              <w:jc w:val="left"/>
            </w:pPr>
            <w:r>
              <w:t xml:space="preserve">American Eel</w:t>
            </w:r>
          </w:p>
        </w:tc>
        <w:tc>
          <w:tcPr/>
          <w:p>
            <w:pPr>
              <w:pStyle w:val="Compact"/>
              <w:jc w:val="left"/>
            </w:pPr>
            <w:r>
              <w:t xml:space="preserve">2.6%</w:t>
            </w:r>
          </w:p>
        </w:tc>
        <w:tc>
          <w:tcPr/>
          <w:p>
            <w:pPr>
              <w:pStyle w:val="Compact"/>
              <w:jc w:val="left"/>
            </w:pPr>
            <w:r>
              <w:t xml:space="preserve">Catadromous; confirms downstream connectivity</w:t>
            </w:r>
          </w:p>
        </w:tc>
      </w:tr>
      <w:tr>
        <w:tc>
          <w:tcPr/>
          <w:p>
            <w:pPr>
              <w:pStyle w:val="Compact"/>
              <w:jc w:val="left"/>
            </w:pPr>
            <w:r>
              <w:t xml:space="preserve">Largemouth Bass</w:t>
            </w:r>
          </w:p>
        </w:tc>
        <w:tc>
          <w:tcPr/>
          <w:p>
            <w:pPr>
              <w:pStyle w:val="Compact"/>
              <w:jc w:val="left"/>
            </w:pPr>
            <w:r>
              <w:t xml:space="preserve">2.1%</w:t>
            </w:r>
          </w:p>
        </w:tc>
        <w:tc>
          <w:tcPr/>
          <w:p>
            <w:pPr>
              <w:pStyle w:val="Compact"/>
              <w:jc w:val="left"/>
            </w:pPr>
            <w:r>
              <w:t xml:space="preserve">Warm-water predator</w:t>
            </w:r>
          </w:p>
        </w:tc>
      </w:tr>
      <w:tr>
        <w:tc>
          <w:tcPr/>
          <w:p>
            <w:pPr>
              <w:pStyle w:val="Compact"/>
              <w:jc w:val="left"/>
            </w:pPr>
            <w:r>
              <w:t xml:space="preserve">Sucker spp.</w:t>
            </w:r>
          </w:p>
        </w:tc>
        <w:tc>
          <w:tcPr/>
          <w:p>
            <w:pPr>
              <w:pStyle w:val="Compact"/>
              <w:jc w:val="left"/>
            </w:pPr>
            <w:r>
              <w:t xml:space="preserve">0.7%</w:t>
            </w:r>
          </w:p>
        </w:tc>
        <w:tc>
          <w:tcPr/>
          <w:p>
            <w:pPr>
              <w:pStyle w:val="Compact"/>
              <w:jc w:val="left"/>
            </w:pPr>
            <w:r>
              <w:t xml:space="preserve">Native; tolerant generalist</w:t>
            </w:r>
          </w:p>
        </w:tc>
      </w:tr>
      <w:tr>
        <w:tc>
          <w:tcPr/>
          <w:p>
            <w:pPr>
              <w:pStyle w:val="Compact"/>
              <w:jc w:val="left"/>
            </w:pPr>
            <w:r>
              <w:t xml:space="preserve">Brown Bullhead</w:t>
            </w:r>
          </w:p>
        </w:tc>
        <w:tc>
          <w:tcPr/>
          <w:p>
            <w:pPr>
              <w:pStyle w:val="Compact"/>
              <w:jc w:val="left"/>
            </w:pPr>
            <w:r>
              <w:t xml:space="preserve">0.2%</w:t>
            </w:r>
          </w:p>
        </w:tc>
        <w:tc>
          <w:tcPr/>
          <w:p>
            <w:pPr>
              <w:pStyle w:val="Compact"/>
              <w:jc w:val="left"/>
            </w:pPr>
            <w:r>
              <w:t xml:space="preserve">Tolerant warm-water benthic</w:t>
            </w:r>
          </w:p>
        </w:tc>
      </w:tr>
      <w:tr>
        <w:tc>
          <w:tcPr/>
          <w:p>
            <w:pPr>
              <w:pStyle w:val="Compact"/>
              <w:jc w:val="left"/>
            </w:pPr>
            <w:r>
              <w:rPr>
                <w:iCs/>
                <w:i/>
              </w:rPr>
              <w:t xml:space="preserve">Longear Sunfish</w:t>
            </w:r>
          </w:p>
        </w:tc>
        <w:tc>
          <w:tcPr/>
          <w:p>
            <w:pPr>
              <w:pStyle w:val="Compact"/>
              <w:jc w:val="left"/>
            </w:pPr>
            <w:r>
              <w:rPr>
                <w:iCs/>
                <w:i/>
              </w:rPr>
              <w:t xml:space="preserve">0.3%</w:t>
            </w:r>
          </w:p>
        </w:tc>
        <w:tc>
          <w:tcPr/>
          <w:p>
            <w:pPr>
              <w:pStyle w:val="Compact"/>
              <w:jc w:val="left"/>
            </w:pPr>
            <w:r>
              <w:rPr>
                <w:iCs/>
                <w:i/>
              </w:rPr>
              <w:t xml:space="preserve">Database artifact [T3] — excluded</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r>
        <w:tc>
          <w:tcPr/>
          <w:p>
            <w:pPr>
              <w:pStyle w:val="Compact"/>
              <w:jc w:val="left"/>
            </w:pPr>
            <w:r>
              <w:t xml:space="preserve">Fourspine Stickleback</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Mummichog</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Rainbow Smelt</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Smallmouth Bass</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Creek Chub</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Yellow Perch</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Atlantic Menhaden</w:t>
            </w:r>
          </w:p>
        </w:tc>
        <w:tc>
          <w:tcPr/>
          <w:p>
            <w:pPr>
              <w:pStyle w:val="Compact"/>
              <w:jc w:val="left"/>
            </w:pPr>
            <w:r>
              <w:t xml:space="preserve">NF</w:t>
            </w:r>
          </w:p>
        </w:tc>
        <w:tc>
          <w:tcPr/>
          <w:p>
            <w:pPr>
              <w:pStyle w:val="Compact"/>
              <w:jc w:val="left"/>
            </w:pPr>
            <w:r>
              <w:t xml:space="preserve">–</w:t>
            </w:r>
          </w:p>
        </w:tc>
      </w:tr>
    </w:tbl>
    <w:bookmarkEnd w:id="116"/>
    <w:bookmarkStart w:id="117" w:name="narrative-13"/>
    <w:p>
      <w:pPr>
        <w:pStyle w:val="Heading3"/>
      </w:pPr>
      <w:r>
        <w:t xml:space="preserve">Narrative</w:t>
      </w:r>
    </w:p>
    <w:p>
      <w:pPr>
        <w:pStyle w:val="FirstParagraph"/>
      </w:pPr>
      <w:r>
        <w:t xml:space="preserve">Brook Trout were not detected at Upper Sawmill Brook on November 22, 2025. This is the spawning season – Brook Trout are at peak behavioral activity in November, moving to gravel redds in cool, well-oxygenated reaches. The absence of a detectable signal at this site, in this month, is the most significant negative result in the November batch.</w:t>
      </w:r>
    </w:p>
    <w:p>
      <w:pPr>
        <w:pStyle w:val="BodyText"/>
      </w:pPr>
      <w:r>
        <w:t xml:space="preserve">The fish community that was detected – Golden Shiner (57.9%) and Bluegill Sunfish (36.2%) together accounting for 94% of reads – is a warm-water, lentic assemblage. This is the community of a pond, impoundment, or slow backwater, not a flowing cold-water stream. H(f) = 0.91 reflects a two-species-dominated system with limited diversity.</w:t>
      </w:r>
    </w:p>
    <w:p>
      <w:pPr>
        <w:pStyle w:val="BodyText"/>
      </w:pPr>
      <w:r>
        <w:t xml:space="preserve">American Eel (2.6%) confirms that some downstream connectivity to tidal water is maintained. Largemouth Bass (2.1%) and Brown Bullhead (0.2%) are warm-water tolerant species consistent with the lentic signal.</w:t>
      </w:r>
    </w:p>
    <w:p>
      <w:pPr>
        <w:pStyle w:val="BodyText"/>
      </w:pPr>
      <w:r>
        <w:rPr>
          <w:iCs/>
          <w:i/>
        </w:rPr>
        <w:t xml:space="preserve">Longear Sunfish</w:t>
      </w:r>
      <w:r>
        <w:t xml:space="preserve"> </w:t>
      </w:r>
      <w:r>
        <w:t xml:space="preserve">(0.3%) is a database artifact — excluded from ecological interpretation [T3].</w:t>
      </w:r>
    </w:p>
    <w:bookmarkEnd w:id="117"/>
    <w:bookmarkStart w:id="118" w:name="native-vs.-non-native-11"/>
    <w:p>
      <w:pPr>
        <w:pStyle w:val="Heading3"/>
      </w:pPr>
      <w:r>
        <w:t xml:space="preserve">Native vs. Non-Native</w:t>
      </w:r>
    </w:p>
    <w:p>
      <w:pPr>
        <w:pStyle w:val="FirstParagraph"/>
      </w:pPr>
      <w:r>
        <w:t xml:space="preserve">All detected fish are native to eastern North America. No confirmed non-native species.</w:t>
      </w:r>
      <w:r>
        <w:t xml:space="preserve"> </w:t>
      </w:r>
      <w:r>
        <w:rPr>
          <w:iCs/>
          <w:i/>
        </w:rPr>
        <w:t xml:space="preserve">Longear Sunfish</w:t>
      </w:r>
      <w:r>
        <w:t xml:space="preserve"> </w:t>
      </w:r>
      <w:r>
        <w:t xml:space="preserve">is a database artifact [T3].</w:t>
      </w:r>
    </w:p>
    <w:p>
      <w:r>
        <w:pict>
          <v:rect style="width:0;height:1.5pt" o:hralign="center" o:hrstd="t" o:hr="t"/>
        </w:pict>
      </w:r>
    </w:p>
    <w:bookmarkEnd w:id="118"/>
    <w:bookmarkEnd w:id="119"/>
    <w:bookmarkStart w:id="124" w:name="below-school-st-nov-22-2025"/>
    <w:p>
      <w:pPr>
        <w:pStyle w:val="Heading2"/>
      </w:pPr>
      <w:r>
        <w:t xml:space="preserve">Below School St | Nov 22, 2025</w:t>
      </w:r>
    </w:p>
    <w:p>
      <w:pPr>
        <w:pStyle w:val="FirstParagraph"/>
      </w:pPr>
      <w:r>
        <w:rPr>
          <w:bCs/>
          <w:b/>
        </w:rPr>
        <w:t xml:space="preserve">Fish: 9 species detected, H(f) = 1.40 (good diversity) | No algae data this event</w:t>
      </w:r>
    </w:p>
    <w:bookmarkStart w:id="120" w:name="sentinel-signal-14"/>
    <w:p>
      <w:pPr>
        <w:pStyle w:val="Heading3"/>
      </w:pPr>
      <w:r>
        <w:t xml:space="preserve">Sentinel Signal</w:t>
      </w:r>
    </w:p>
    <w:p>
      <w:pPr>
        <w:pStyle w:val="FirstParagraph"/>
      </w:pPr>
      <w:r>
        <w:t xml:space="preserve">Mummichog (42.2%) + Fourspine Stickleback (31.6%) + American Eel (15.6%) =</w:t>
      </w:r>
      <w:r>
        <w:t xml:space="preserve"> </w:t>
      </w:r>
      <w:r>
        <w:rPr>
          <w:bCs/>
          <w:b/>
        </w:rPr>
        <w:t xml:space="preserve">tidal freshwater-to-oligohaline transition, fully functional</w:t>
      </w:r>
      <w:r>
        <w:t xml:space="preserve">. Brook Trout confirmed at</w:t>
      </w:r>
      <w:r>
        <w:t xml:space="preserve"> </w:t>
      </w:r>
      <w:r>
        <w:rPr>
          <w:bCs/>
          <w:b/>
        </w:rPr>
        <w:t xml:space="preserve">4.8%</w:t>
      </w:r>
      <w:r>
        <w:t xml:space="preserve"> </w:t>
      </w:r>
      <w:r>
        <w:t xml:space="preserve">– detected in November during spawning season at the tidal reach.</w:t>
      </w:r>
    </w:p>
    <w:bookmarkEnd w:id="120"/>
    <w:bookmarkStart w:id="121"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Mummichog</w:t>
            </w:r>
          </w:p>
        </w:tc>
        <w:tc>
          <w:tcPr/>
          <w:p>
            <w:pPr>
              <w:pStyle w:val="Compact"/>
              <w:jc w:val="left"/>
            </w:pPr>
            <w:r>
              <w:t xml:space="preserve">42.2%</w:t>
            </w:r>
          </w:p>
        </w:tc>
        <w:tc>
          <w:tcPr/>
          <w:p>
            <w:pPr>
              <w:pStyle w:val="Compact"/>
              <w:jc w:val="left"/>
            </w:pPr>
            <w:r>
              <w:t xml:space="preserve">Tidal/estuarine indicator</w:t>
            </w:r>
          </w:p>
        </w:tc>
      </w:tr>
      <w:tr>
        <w:tc>
          <w:tcPr/>
          <w:p>
            <w:pPr>
              <w:pStyle w:val="Compact"/>
              <w:jc w:val="left"/>
            </w:pPr>
            <w:r>
              <w:t xml:space="preserve">Fourspine Stickleback</w:t>
            </w:r>
          </w:p>
        </w:tc>
        <w:tc>
          <w:tcPr/>
          <w:p>
            <w:pPr>
              <w:pStyle w:val="Compact"/>
              <w:jc w:val="left"/>
            </w:pPr>
            <w:r>
              <w:t xml:space="preserve">31.6%</w:t>
            </w:r>
          </w:p>
        </w:tc>
        <w:tc>
          <w:tcPr/>
          <w:p>
            <w:pPr>
              <w:pStyle w:val="Compact"/>
              <w:jc w:val="left"/>
            </w:pPr>
            <w:r>
              <w:t xml:space="preserve">Brackish-water specialist</w:t>
            </w:r>
          </w:p>
        </w:tc>
      </w:tr>
      <w:tr>
        <w:tc>
          <w:tcPr/>
          <w:p>
            <w:pPr>
              <w:pStyle w:val="Compact"/>
              <w:jc w:val="left"/>
            </w:pPr>
            <w:r>
              <w:t xml:space="preserve">American Eel</w:t>
            </w:r>
          </w:p>
        </w:tc>
        <w:tc>
          <w:tcPr/>
          <w:p>
            <w:pPr>
              <w:pStyle w:val="Compact"/>
              <w:jc w:val="left"/>
            </w:pPr>
            <w:r>
              <w:t xml:space="preserve">15.6%</w:t>
            </w:r>
          </w:p>
        </w:tc>
        <w:tc>
          <w:tcPr/>
          <w:p>
            <w:pPr>
              <w:pStyle w:val="Compact"/>
              <w:jc w:val="left"/>
            </w:pPr>
            <w:r>
              <w:t xml:space="preserve">Catadromous; ocean connectivity confirmed</w:t>
            </w:r>
          </w:p>
        </w:tc>
      </w:tr>
      <w:tr>
        <w:tc>
          <w:tcPr/>
          <w:p>
            <w:pPr>
              <w:pStyle w:val="Compact"/>
              <w:jc w:val="left"/>
            </w:pPr>
            <w:r>
              <w:rPr>
                <w:bCs/>
                <w:b/>
              </w:rPr>
              <w:t xml:space="preserve">Brook Trout</w:t>
            </w:r>
          </w:p>
        </w:tc>
        <w:tc>
          <w:tcPr/>
          <w:p>
            <w:pPr>
              <w:pStyle w:val="Compact"/>
              <w:jc w:val="left"/>
            </w:pPr>
            <w:r>
              <w:rPr>
                <w:bCs/>
                <w:b/>
              </w:rPr>
              <w:t xml:space="preserve">4.8%</w:t>
            </w:r>
          </w:p>
        </w:tc>
        <w:tc>
          <w:tcPr/>
          <w:p>
            <w:pPr>
              <w:pStyle w:val="Compact"/>
              <w:jc w:val="left"/>
            </w:pPr>
            <w:r>
              <w:rPr>
                <w:bCs/>
                <w:b/>
              </w:rPr>
              <w:t xml:space="preserve">Confirmed – spawning season detection</w:t>
            </w:r>
          </w:p>
        </w:tc>
      </w:tr>
      <w:tr>
        <w:tc>
          <w:tcPr/>
          <w:p>
            <w:pPr>
              <w:pStyle w:val="Compact"/>
              <w:jc w:val="left"/>
            </w:pPr>
            <w:r>
              <w:t xml:space="preserve">Golden Shiner</w:t>
            </w:r>
          </w:p>
        </w:tc>
        <w:tc>
          <w:tcPr/>
          <w:p>
            <w:pPr>
              <w:pStyle w:val="Compact"/>
              <w:jc w:val="left"/>
            </w:pPr>
            <w:r>
              <w:t xml:space="preserve">2.9%</w:t>
            </w:r>
          </w:p>
        </w:tc>
        <w:tc>
          <w:tcPr/>
          <w:p>
            <w:pPr>
              <w:pStyle w:val="Compact"/>
              <w:jc w:val="left"/>
            </w:pPr>
            <w:r>
              <w:t xml:space="preserve">Freshwater component</w:t>
            </w:r>
          </w:p>
        </w:tc>
      </w:tr>
      <w:tr>
        <w:tc>
          <w:tcPr/>
          <w:p>
            <w:pPr>
              <w:pStyle w:val="Compact"/>
              <w:jc w:val="left"/>
            </w:pPr>
            <w:r>
              <w:t xml:space="preserve">Bluegill Sunfish</w:t>
            </w:r>
          </w:p>
        </w:tc>
        <w:tc>
          <w:tcPr/>
          <w:p>
            <w:pPr>
              <w:pStyle w:val="Compact"/>
              <w:jc w:val="left"/>
            </w:pPr>
            <w:r>
              <w:t xml:space="preserve">1.5%</w:t>
            </w:r>
          </w:p>
        </w:tc>
        <w:tc>
          <w:tcPr/>
          <w:p>
            <w:pPr>
              <w:pStyle w:val="Compact"/>
              <w:jc w:val="left"/>
            </w:pPr>
            <w:r>
              <w:t xml:space="preserve">Warm-water sunfish</w:t>
            </w:r>
          </w:p>
        </w:tc>
      </w:tr>
      <w:tr>
        <w:tc>
          <w:tcPr/>
          <w:p>
            <w:pPr>
              <w:pStyle w:val="Compact"/>
              <w:jc w:val="left"/>
            </w:pPr>
            <w:r>
              <w:t xml:space="preserve">Largemouth Bass</w:t>
            </w:r>
          </w:p>
        </w:tc>
        <w:tc>
          <w:tcPr/>
          <w:p>
            <w:pPr>
              <w:pStyle w:val="Compact"/>
              <w:jc w:val="left"/>
            </w:pPr>
            <w:r>
              <w:t xml:space="preserve">1.4%</w:t>
            </w:r>
          </w:p>
        </w:tc>
        <w:tc>
          <w:tcPr/>
          <w:p>
            <w:pPr>
              <w:pStyle w:val="Compact"/>
              <w:jc w:val="left"/>
            </w:pPr>
            <w:r>
              <w:t xml:space="preserve">Warm-water predator</w:t>
            </w:r>
          </w:p>
        </w:tc>
      </w:tr>
      <w:tr>
        <w:tc>
          <w:tcPr/>
          <w:p>
            <w:pPr>
              <w:pStyle w:val="Compact"/>
              <w:jc w:val="left"/>
            </w:pPr>
            <w:r>
              <w:t xml:space="preserve">Brown Bullhead</w:t>
            </w:r>
          </w:p>
        </w:tc>
        <w:tc>
          <w:tcPr/>
          <w:p>
            <w:pPr>
              <w:pStyle w:val="Compact"/>
              <w:jc w:val="left"/>
            </w:pPr>
            <w:r>
              <w:t xml:space="preserve">0.1%</w:t>
            </w:r>
          </w:p>
        </w:tc>
        <w:tc>
          <w:tcPr/>
          <w:p>
            <w:pPr>
              <w:pStyle w:val="Compact"/>
              <w:jc w:val="left"/>
            </w:pPr>
            <w:r>
              <w:t xml:space="preserve">Tolerant benthic</w:t>
            </w:r>
          </w:p>
        </w:tc>
      </w:tr>
      <w:tr>
        <w:tc>
          <w:tcPr/>
          <w:p>
            <w:pPr>
              <w:pStyle w:val="Compact"/>
              <w:jc w:val="left"/>
            </w:pPr>
            <w:r>
              <w:t xml:space="preserve">Smallmouth Bass</w:t>
            </w:r>
          </w:p>
        </w:tc>
        <w:tc>
          <w:tcPr/>
          <w:p>
            <w:pPr>
              <w:pStyle w:val="Compact"/>
              <w:jc w:val="left"/>
            </w:pPr>
            <w:r>
              <w:t xml:space="preserve">0.1%</w:t>
            </w:r>
          </w:p>
        </w:tc>
        <w:tc>
          <w:tcPr/>
          <w:p>
            <w:pPr>
              <w:pStyle w:val="Compact"/>
              <w:jc w:val="left"/>
            </w:pPr>
            <w:r>
              <w:t xml:space="preserve">Clean-water indicator</w:t>
            </w:r>
          </w:p>
        </w:tc>
      </w:tr>
    </w:tbl>
    <w:bookmarkEnd w:id="121"/>
    <w:bookmarkStart w:id="122" w:name="narrative-14"/>
    <w:p>
      <w:pPr>
        <w:pStyle w:val="Heading3"/>
      </w:pPr>
      <w:r>
        <w:t xml:space="preserve">Narrative</w:t>
      </w:r>
    </w:p>
    <w:p>
      <w:pPr>
        <w:pStyle w:val="FirstParagraph"/>
      </w:pPr>
      <w:r>
        <w:t xml:space="preserve">The tidal character of Below School St is unchanged: Mummichog and Fourspine Stickleback together account for 73.8% of reads, defining this site’s identity as unambiguously as any chemical measurement could. American Eel at 15.6% confirms open ocean connectivity.</w:t>
      </w:r>
    </w:p>
    <w:p>
      <w:pPr>
        <w:pStyle w:val="BodyText"/>
      </w:pPr>
      <w:r>
        <w:t xml:space="preserve">Brook Trout at 4.8% is confirmed – detected at the tidal reach of Sawmill Brook during spawning season. H(f) = 1.40 matches the November 2023 sampling at this site, indicating a stable diverse estuarine assemblage.</w:t>
      </w:r>
    </w:p>
    <w:p>
      <w:pPr>
        <w:pStyle w:val="BodyText"/>
      </w:pPr>
      <w:r>
        <w:t xml:space="preserve">The freshwater component (Golden Shiner 2.9%, Bluegill Sunfish 1.5%, Largemouth Bass 1.4%) reflects upstream mixing – pond-origin fish eDNA carried downstream or present in the tidal backwater. Smallmouth Bass (0.1%) at this site is notable; their low-level detection is consistent with occasional dispersal from upstream reaches.</w:t>
      </w:r>
    </w:p>
    <w:bookmarkEnd w:id="122"/>
    <w:bookmarkStart w:id="123" w:name="native-vs.-non-native-12"/>
    <w:p>
      <w:pPr>
        <w:pStyle w:val="Heading3"/>
      </w:pPr>
      <w:r>
        <w:t xml:space="preserve">Native vs. Non-Native</w:t>
      </w:r>
    </w:p>
    <w:p>
      <w:pPr>
        <w:pStyle w:val="FirstParagraph"/>
      </w:pPr>
      <w:r>
        <w:t xml:space="preserve">All detected fish are native to the coastal New England estuarine environment. No non-native fish signal.</w:t>
      </w:r>
    </w:p>
    <w:p>
      <w:r>
        <w:pict>
          <v:rect style="width:0;height:1.5pt" o:hralign="center" o:hrstd="t" o:hr="t"/>
        </w:pict>
      </w:r>
    </w:p>
    <w:bookmarkEnd w:id="123"/>
    <w:bookmarkEnd w:id="124"/>
    <w:bookmarkStart w:id="129" w:name="southern-boundary-essex-club-nov-22-2025"/>
    <w:p>
      <w:pPr>
        <w:pStyle w:val="Heading2"/>
      </w:pPr>
      <w:r>
        <w:t xml:space="preserve">Southern Boundary / Essex Club | Nov 22, 2025</w:t>
      </w:r>
    </w:p>
    <w:p>
      <w:pPr>
        <w:pStyle w:val="FirstParagraph"/>
      </w:pPr>
      <w:r>
        <w:rPr>
          <w:bCs/>
          <w:b/>
        </w:rPr>
        <w:t xml:space="preserve">Fish: 8 species detected, H(f) = 1.63 (good diversity) | No algae data this event</w:t>
      </w:r>
    </w:p>
    <w:bookmarkStart w:id="125" w:name="sentinel-signal-15"/>
    <w:p>
      <w:pPr>
        <w:pStyle w:val="Heading3"/>
      </w:pPr>
      <w:r>
        <w:t xml:space="preserve">Sentinel Signal</w:t>
      </w:r>
    </w:p>
    <w:p>
      <w:pPr>
        <w:pStyle w:val="FirstParagraph"/>
      </w:pPr>
      <w:r>
        <w:t xml:space="preserve">Fourspine Stickleback (32%) + Mummichog (8%) = tidal/estuarine influence present. Bluegill Sunfish (24%) + Golden Shiner (15%) = freshwater warm-water input.</w:t>
      </w:r>
      <w:r>
        <w:t xml:space="preserve"> </w:t>
      </w:r>
      <w:r>
        <w:rPr>
          <w:bCs/>
          <w:b/>
        </w:rPr>
        <w:t xml:space="preserve">Brook Trout: not detected.</w:t>
      </w:r>
      <w:r>
        <w:t xml:space="preserve"> </w:t>
      </w:r>
      <w:r>
        <w:t xml:space="preserve">Atlantic Menhaden (1%) – flag for cormorant dietary artifact.</w:t>
      </w:r>
    </w:p>
    <w:bookmarkEnd w:id="125"/>
    <w:bookmarkStart w:id="126"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Fourspine Stickleback</w:t>
            </w:r>
          </w:p>
        </w:tc>
        <w:tc>
          <w:tcPr/>
          <w:p>
            <w:pPr>
              <w:pStyle w:val="Compact"/>
              <w:jc w:val="left"/>
            </w:pPr>
            <w:r>
              <w:t xml:space="preserve">32%</w:t>
            </w:r>
          </w:p>
        </w:tc>
        <w:tc>
          <w:tcPr/>
          <w:p>
            <w:pPr>
              <w:pStyle w:val="Compact"/>
              <w:jc w:val="left"/>
            </w:pPr>
            <w:r>
              <w:t xml:space="preserve">Brackish-water specialist; tidal marker</w:t>
            </w:r>
          </w:p>
        </w:tc>
      </w:tr>
      <w:tr>
        <w:tc>
          <w:tcPr/>
          <w:p>
            <w:pPr>
              <w:pStyle w:val="Compact"/>
              <w:jc w:val="left"/>
            </w:pPr>
            <w:r>
              <w:t xml:space="preserve">Bluegill Sunfish</w:t>
            </w:r>
          </w:p>
        </w:tc>
        <w:tc>
          <w:tcPr/>
          <w:p>
            <w:pPr>
              <w:pStyle w:val="Compact"/>
              <w:jc w:val="left"/>
            </w:pPr>
            <w:r>
              <w:t xml:space="preserve">24%</w:t>
            </w:r>
          </w:p>
        </w:tc>
        <w:tc>
          <w:tcPr/>
          <w:p>
            <w:pPr>
              <w:pStyle w:val="Compact"/>
              <w:jc w:val="left"/>
            </w:pPr>
            <w:r>
              <w:t xml:space="preserve">Warm-water freshwater sunfish</w:t>
            </w:r>
          </w:p>
        </w:tc>
      </w:tr>
      <w:tr>
        <w:tc>
          <w:tcPr/>
          <w:p>
            <w:pPr>
              <w:pStyle w:val="Compact"/>
              <w:jc w:val="left"/>
            </w:pPr>
            <w:r>
              <w:t xml:space="preserve">American Eel</w:t>
            </w:r>
          </w:p>
        </w:tc>
        <w:tc>
          <w:tcPr/>
          <w:p>
            <w:pPr>
              <w:pStyle w:val="Compact"/>
              <w:jc w:val="left"/>
            </w:pPr>
            <w:r>
              <w:t xml:space="preserve">17%</w:t>
            </w:r>
          </w:p>
        </w:tc>
        <w:tc>
          <w:tcPr/>
          <w:p>
            <w:pPr>
              <w:pStyle w:val="Compact"/>
              <w:jc w:val="left"/>
            </w:pPr>
            <w:r>
              <w:t xml:space="preserve">Catadromous; ocean connectivity</w:t>
            </w:r>
          </w:p>
        </w:tc>
      </w:tr>
      <w:tr>
        <w:tc>
          <w:tcPr/>
          <w:p>
            <w:pPr>
              <w:pStyle w:val="Compact"/>
              <w:jc w:val="left"/>
            </w:pPr>
            <w:r>
              <w:t xml:space="preserve">Golden Shiner</w:t>
            </w:r>
          </w:p>
        </w:tc>
        <w:tc>
          <w:tcPr/>
          <w:p>
            <w:pPr>
              <w:pStyle w:val="Compact"/>
              <w:jc w:val="left"/>
            </w:pPr>
            <w:r>
              <w:t xml:space="preserve">15%</w:t>
            </w:r>
          </w:p>
        </w:tc>
        <w:tc>
          <w:tcPr/>
          <w:p>
            <w:pPr>
              <w:pStyle w:val="Compact"/>
              <w:jc w:val="left"/>
            </w:pPr>
            <w:r>
              <w:t xml:space="preserve">Freshwater lentic species</w:t>
            </w:r>
          </w:p>
        </w:tc>
      </w:tr>
      <w:tr>
        <w:tc>
          <w:tcPr/>
          <w:p>
            <w:pPr>
              <w:pStyle w:val="Compact"/>
              <w:jc w:val="left"/>
            </w:pPr>
            <w:r>
              <w:t xml:space="preserve">Mummichog</w:t>
            </w:r>
          </w:p>
        </w:tc>
        <w:tc>
          <w:tcPr/>
          <w:p>
            <w:pPr>
              <w:pStyle w:val="Compact"/>
              <w:jc w:val="left"/>
            </w:pPr>
            <w:r>
              <w:t xml:space="preserve">8%</w:t>
            </w:r>
          </w:p>
        </w:tc>
        <w:tc>
          <w:tcPr/>
          <w:p>
            <w:pPr>
              <w:pStyle w:val="Compact"/>
              <w:jc w:val="left"/>
            </w:pPr>
            <w:r>
              <w:t xml:space="preserve">Tidal/estuarine indicator</w:t>
            </w:r>
          </w:p>
        </w:tc>
      </w:tr>
      <w:tr>
        <w:tc>
          <w:tcPr/>
          <w:p>
            <w:pPr>
              <w:pStyle w:val="Compact"/>
              <w:jc w:val="left"/>
            </w:pPr>
            <w:r>
              <w:t xml:space="preserve">Atlantic Menhaden</w:t>
            </w:r>
          </w:p>
        </w:tc>
        <w:tc>
          <w:tcPr/>
          <w:p>
            <w:pPr>
              <w:pStyle w:val="Compact"/>
              <w:jc w:val="left"/>
            </w:pPr>
            <w:r>
              <w:t xml:space="preserve">1%</w:t>
            </w:r>
          </w:p>
        </w:tc>
        <w:tc>
          <w:tcPr/>
          <w:p>
            <w:pPr>
              <w:pStyle w:val="Compact"/>
              <w:jc w:val="left"/>
            </w:pPr>
            <w:r>
              <w:t xml:space="preserve">Marine schooling fish – cormorant dietary artifact (see QC note)</w:t>
            </w:r>
          </w:p>
        </w:tc>
      </w:tr>
      <w:tr>
        <w:tc>
          <w:tcPr/>
          <w:p>
            <w:pPr>
              <w:pStyle w:val="Compact"/>
              <w:jc w:val="left"/>
            </w:pPr>
            <w:r>
              <w:t xml:space="preserve">Creek Chub</w:t>
            </w:r>
          </w:p>
        </w:tc>
        <w:tc>
          <w:tcPr/>
          <w:p>
            <w:pPr>
              <w:pStyle w:val="Compact"/>
              <w:jc w:val="left"/>
            </w:pPr>
            <w:r>
              <w:t xml:space="preserve">1%</w:t>
            </w:r>
          </w:p>
        </w:tc>
        <w:tc>
          <w:tcPr/>
          <w:p>
            <w:pPr>
              <w:pStyle w:val="Compact"/>
              <w:jc w:val="left"/>
            </w:pPr>
            <w:r>
              <w:t xml:space="preserve">Native freshwater stream fish</w:t>
            </w:r>
          </w:p>
        </w:tc>
      </w:tr>
      <w:tr>
        <w:tc>
          <w:tcPr/>
          <w:p>
            <w:pPr>
              <w:pStyle w:val="Compact"/>
              <w:jc w:val="left"/>
            </w:pPr>
            <w:r>
              <w:t xml:space="preserve">Yellow Perch</w:t>
            </w:r>
          </w:p>
        </w:tc>
        <w:tc>
          <w:tcPr/>
          <w:p>
            <w:pPr>
              <w:pStyle w:val="Compact"/>
              <w:jc w:val="left"/>
            </w:pPr>
            <w:r>
              <w:t xml:space="preserve">1%</w:t>
            </w:r>
          </w:p>
        </w:tc>
        <w:tc>
          <w:tcPr/>
          <w:p>
            <w:pPr>
              <w:pStyle w:val="Compact"/>
              <w:jc w:val="left"/>
            </w:pPr>
            <w:r>
              <w:t xml:space="preserve">Native freshwater tolerant generalist</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bl>
    <w:bookmarkEnd w:id="126"/>
    <w:bookmarkStart w:id="127" w:name="narrative-15"/>
    <w:p>
      <w:pPr>
        <w:pStyle w:val="Heading3"/>
      </w:pPr>
      <w:r>
        <w:t xml:space="preserve">Narrative</w:t>
      </w:r>
    </w:p>
    <w:p>
      <w:pPr>
        <w:pStyle w:val="FirstParagraph"/>
      </w:pPr>
      <w:r>
        <w:t xml:space="preserve">Southern Boundary / Essex Club occupies an ecotone between the freshwater Sawmill Brook system and the tidal-influenced lower reach. The fish community reflects this mixed character: Fourspine Stickleback and Mummichog confirm tidal influence; Golden Shiner and Bluegill Sunfish indicate freshwater lentic input. H(f) = 1.63 is the highest in the November 2025 batch, consistent with ecotone sites receiving species from both adjacent systems.</w:t>
      </w:r>
    </w:p>
    <w:p>
      <w:pPr>
        <w:pStyle w:val="BodyText"/>
      </w:pPr>
      <w:r>
        <w:t xml:space="preserve">Brook Trout were not detected. In November – spawning season – this absence is ecologically meaningful.</w:t>
      </w:r>
    </w:p>
    <w:p>
      <w:pPr>
        <w:pStyle w:val="BodyText"/>
      </w:pPr>
      <w:r>
        <w:t xml:space="preserve">Creek Chub (1%) is a native stream fish preferring flowing water with gravel substrate – more compatible with Brook Trout habitat than the lentic signal dominant at Upper Sawmill.</w:t>
      </w:r>
    </w:p>
    <w:p>
      <w:pPr>
        <w:pStyle w:val="BodyText"/>
      </w:pPr>
      <w:r>
        <w:rPr>
          <w:bCs/>
          <w:b/>
        </w:rPr>
        <w:t xml:space="preserve">Atlantic Menhaden QC note:</w:t>
      </w:r>
      <w:r>
        <w:t xml:space="preserve"> </w:t>
      </w:r>
      <w:r>
        <w:t xml:space="preserve">Atlantic Menhaden (</w:t>
      </w:r>
      <w:r>
        <w:rPr>
          <w:iCs/>
          <w:i/>
        </w:rPr>
        <w:t xml:space="preserve">Brevoortia tyrannus</w:t>
      </w:r>
      <w:r>
        <w:t xml:space="preserve">) are coastal marine schooling fish that do not enter small tidal creeks. Their presence at 1% is consistent with cormorant dietary artifact, documented at the Atwater Site (JVB4981, June 2025) where Menhaden and marine prickleback (</w:t>
      </w:r>
      <w:r>
        <w:rPr>
          <w:iCs/>
          <w:i/>
        </w:rPr>
        <w:t xml:space="preserve">Xiphister</w:t>
      </w:r>
      <w:r>
        <w:t xml:space="preserve"> </w:t>
      </w:r>
      <w:r>
        <w:t xml:space="preserve">spp.) were attributed to Double-crested Cormorant fecal input. The 1% Menhaden reading at Essex Club is not interpreted as live fish.</w:t>
      </w:r>
    </w:p>
    <w:bookmarkEnd w:id="127"/>
    <w:bookmarkStart w:id="128" w:name="native-vs.-non-native-13"/>
    <w:p>
      <w:pPr>
        <w:pStyle w:val="Heading3"/>
      </w:pPr>
      <w:r>
        <w:t xml:space="preserve">Native vs. Non-Native</w:t>
      </w:r>
    </w:p>
    <w:p>
      <w:pPr>
        <w:pStyle w:val="FirstParagraph"/>
      </w:pPr>
      <w:r>
        <w:t xml:space="preserve">All detected fish are native to coastal New England. No confirmed non-native species. Atlantic Menhaden detection treated as cormorant dietary artifact.</w:t>
      </w:r>
    </w:p>
    <w:p>
      <w:r>
        <w:pict>
          <v:rect style="width:0;height:1.5pt" o:hralign="center" o:hrstd="t" o:hr="t"/>
        </w:pict>
      </w:r>
    </w:p>
    <w:bookmarkEnd w:id="128"/>
    <w:bookmarkEnd w:id="129"/>
    <w:bookmarkStart w:id="130" w:name="Xf5341428c39fc8adde34ff518b35b786279bbec"/>
    <w:p>
      <w:pPr>
        <w:pStyle w:val="Heading2"/>
      </w:pPr>
      <w:r>
        <w:t xml:space="preserve">November 2025 – Longitudinal Brook Trout Summary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Nov 22, 2025</w:t>
            </w:r>
          </w:p>
        </w:tc>
        <w:tc>
          <w:tcPr/>
          <w:p>
            <w:pPr>
              <w:pStyle w:val="Compact"/>
              <w:jc w:val="left"/>
            </w:pPr>
            <w:r>
              <w:t xml:space="preserve">Prior detection</w:t>
            </w:r>
          </w:p>
        </w:tc>
      </w:tr>
      <w:tr>
        <w:tc>
          <w:tcPr/>
          <w:p>
            <w:pPr>
              <w:pStyle w:val="Compact"/>
              <w:jc w:val="left"/>
            </w:pPr>
            <w:r>
              <w:t xml:space="preserve">Upper Sawmill Brook</w:t>
            </w:r>
          </w:p>
        </w:tc>
        <w:tc>
          <w:tcPr/>
          <w:p>
            <w:pPr>
              <w:pStyle w:val="Compact"/>
              <w:jc w:val="left"/>
            </w:pPr>
            <w:r>
              <w:rPr>
                <w:bCs/>
                <w:b/>
              </w:rPr>
              <w:t xml:space="preserve">NF</w:t>
            </w:r>
          </w:p>
        </w:tc>
        <w:tc>
          <w:tcPr/>
          <w:p>
            <w:pPr>
              <w:pStyle w:val="Compact"/>
              <w:jc w:val="left"/>
            </w:pPr>
            <w:r>
              <w:t xml:space="preserve">Present historically (Golf Course reach Nov 2023)</w:t>
            </w:r>
          </w:p>
        </w:tc>
      </w:tr>
      <w:tr>
        <w:tc>
          <w:tcPr/>
          <w:p>
            <w:pPr>
              <w:pStyle w:val="Compact"/>
              <w:jc w:val="left"/>
            </w:pPr>
            <w:r>
              <w:t xml:space="preserve">Below School St</w:t>
            </w:r>
          </w:p>
        </w:tc>
        <w:tc>
          <w:tcPr/>
          <w:p>
            <w:pPr>
              <w:pStyle w:val="Compact"/>
              <w:jc w:val="left"/>
            </w:pPr>
            <w:r>
              <w:rPr>
                <w:bCs/>
                <w:b/>
              </w:rPr>
              <w:t xml:space="preserve">4.8%</w:t>
            </w:r>
          </w:p>
        </w:tc>
        <w:tc>
          <w:tcPr/>
          <w:p>
            <w:pPr>
              <w:pStyle w:val="Compact"/>
              <w:jc w:val="left"/>
            </w:pPr>
            <w:r>
              <w:t xml:space="preserve">2.5% (Nov 2023); consistent presence confirmed</w:t>
            </w:r>
          </w:p>
        </w:tc>
      </w:tr>
      <w:tr>
        <w:tc>
          <w:tcPr/>
          <w:p>
            <w:pPr>
              <w:pStyle w:val="Compact"/>
              <w:jc w:val="left"/>
            </w:pPr>
            <w:r>
              <w:t xml:space="preserve">Southern Boundary / Essex Club</w:t>
            </w:r>
          </w:p>
        </w:tc>
        <w:tc>
          <w:tcPr/>
          <w:p>
            <w:pPr>
              <w:pStyle w:val="Compact"/>
              <w:jc w:val="left"/>
            </w:pPr>
            <w:r>
              <w:rPr>
                <w:bCs/>
                <w:b/>
              </w:rPr>
              <w:t xml:space="preserve">NF</w:t>
            </w:r>
          </w:p>
        </w:tc>
        <w:tc>
          <w:tcPr/>
          <w:p>
            <w:pPr>
              <w:pStyle w:val="Compact"/>
              <w:jc w:val="left"/>
            </w:pPr>
            <w:r>
              <w:t xml:space="preserve">No prior data at this site</w:t>
            </w:r>
          </w:p>
        </w:tc>
      </w:tr>
    </w:tbl>
    <w:p>
      <w:pPr>
        <w:pStyle w:val="BodyText"/>
      </w:pPr>
      <w:r>
        <w:t xml:space="preserve">Brook Trout are confirmed present in the Sawmill watershed as of November 2025 – detected at Below School St during spawning season. Their absence at Upper Sawmill Brook in the same month, with a warm-water lentic assemblage dominant at that site, is the primary finding of this batch.</w:t>
      </w:r>
    </w:p>
    <w:p>
      <w:r>
        <w:pict>
          <v:rect style="width:0;height:1.5pt" o:hralign="center" o:hrstd="t" o:hr="t"/>
        </w:pict>
      </w:r>
    </w:p>
    <w:bookmarkEnd w:id="130"/>
    <w:bookmarkEnd w:id="131"/>
    <w:bookmarkStart w:id="132" w:name="taxonomic-qc-notes"/>
    <w:p>
      <w:pPr>
        <w:pStyle w:val="Heading1"/>
      </w:pPr>
      <w:r>
        <w:t xml:space="preserve">Taxonomic &amp; QC Notes</w:t>
      </w:r>
    </w:p>
    <w:p>
      <w:pPr>
        <w:pStyle w:val="FirstParagraph"/>
      </w:pPr>
      <w:r>
        <w:rPr>
          <w:bCs/>
          <w:b/>
        </w:rPr>
        <w:t xml:space="preserve">[T1] — MiFish 12S barcode resolution limits.</w:t>
      </w:r>
      <w:r>
        <w:t xml:space="preserve"> </w:t>
      </w:r>
      <w:r>
        <w:t xml:space="preserve">The MiFish 12S rRNA barcode resolves most teleost fish to species level, but certain genera cannot be distinguished below genus.</w:t>
      </w:r>
      <w:r>
        <w:t xml:space="preserve"> </w:t>
      </w:r>
      <w:r>
        <w:rPr>
          <w:iCs/>
          <w:i/>
        </w:rPr>
        <w:t xml:space="preserve">Lepomis</w:t>
      </w:r>
      <w:r>
        <w:t xml:space="preserve"> </w:t>
      </w:r>
      <w:r>
        <w:t xml:space="preserve">spp. (sunfish) includes Bluegill, Pumpkinseed, Redear Sunfish, and Longear Sunfish (</w:t>
      </w:r>
      <w:r>
        <w:rPr>
          <w:iCs/>
          <w:i/>
        </w:rPr>
        <w:t xml:space="preserve">L. megalotis</w:t>
      </w:r>
      <w:r>
        <w:t xml:space="preserve">), among others.</w:t>
      </w:r>
      <w:r>
        <w:t xml:space="preserve"> </w:t>
      </w:r>
      <w:r>
        <w:rPr>
          <w:iCs/>
          <w:i/>
        </w:rPr>
        <w:t xml:space="preserve">Micropterus</w:t>
      </w:r>
      <w:r>
        <w:t xml:space="preserve"> </w:t>
      </w:r>
      <w:r>
        <w:t xml:space="preserve">spp. includes Largemouth Bass and Smallmouth Bass.</w:t>
      </w:r>
      <w:r>
        <w:t xml:space="preserve"> </w:t>
      </w:r>
      <w:r>
        <w:rPr>
          <w:iCs/>
          <w:i/>
        </w:rPr>
        <w:t xml:space="preserve">Ameiurus</w:t>
      </w:r>
      <w:r>
        <w:t xml:space="preserve"> </w:t>
      </w:r>
      <w:r>
        <w:t>spp. includes Brown Bullhead, Yellow Bullhead, and Black Bullhead. Cottus sp. (Sculpin) is confirmed by BLAST; likely Slimy Sculpin (Cottus cognatus) or Mottled Sculpin (Cottus bairdi). In all cases the genus-level assignment is reliable; species-level is not.</w:t>
      </w:r>
      <w:r>
        <w:t xml:space="preserve"> </w:t>
      </w:r>
      <w:r>
        <w:rPr>
          <w:iCs/>
          <w:i/>
        </w:rPr>
        <w:t xml:space="preserve">Salmo</w:t>
      </w:r>
      <w:r>
        <w:t xml:space="preserve"> </w:t>
      </w:r>
      <w:r>
        <w:t xml:space="preserve">spp. may be Brown Trout (</w:t>
      </w:r>
      <w:r>
        <w:rPr>
          <w:iCs/>
          <w:i/>
        </w:rPr>
        <w:t xml:space="preserve">S. trutta</w:t>
      </w:r>
      <w:r>
        <w:t xml:space="preserve">, non-native, stocked throughout New England) or Atlantic Salmon (</w:t>
      </w:r>
      <w:r>
        <w:rPr>
          <w:iCs/>
          <w:i/>
        </w:rPr>
        <w:t xml:space="preserve">S. salar</w:t>
      </w:r>
      <w:r>
        <w:t xml:space="preserve">, native anadromous) — these two species cannot be distinguished by the MiFish barcode. Life history forms (sea-run vs. stream-resident) cannot be determined by eDNA for any species.</w:t>
      </w:r>
    </w:p>
    <w:p>
      <w:pPr>
        <w:pStyle w:val="BodyText"/>
      </w:pPr>
      <w:r>
        <w:rPr>
          <w:bCs/>
          <w:b/>
        </w:rPr>
        <w:t xml:space="preserve">[T2] —</w:t>
      </w:r>
      <w:r>
        <w:rPr>
          <w:bCs/>
          <w:b/>
        </w:rPr>
        <w:t xml:space="preserve"> </w:t>
      </w:r>
      <w:r>
        <w:rPr>
          <w:iCs/>
          <w:i/>
          <w:bCs/>
          <w:b/>
        </w:rPr>
        <w:t xml:space="preserve">Esox</w:t>
      </w:r>
      <w:r>
        <w:rPr>
          <w:bCs/>
          <w:b/>
        </w:rPr>
        <w:t xml:space="preserve"> </w:t>
      </w:r>
      <w:r>
        <w:rPr>
          <w:bCs/>
          <w:b/>
        </w:rPr>
        <w:t xml:space="preserve">spp. /</w:t>
      </w:r>
      <w:r>
        <w:rPr>
          <w:bCs/>
          <w:b/>
        </w:rPr>
        <w:t xml:space="preserve"> </w:t>
      </w:r>
      <w:r>
        <w:rPr>
          <w:iCs/>
          <w:i/>
          <w:bCs/>
          <w:b/>
        </w:rPr>
        <w:t xml:space="preserve">Esox lucius</w:t>
      </w:r>
      <w:r>
        <w:rPr>
          <w:bCs/>
          <w:b/>
        </w:rPr>
        <w:t xml:space="preserve"> </w:t>
      </w:r>
      <w:r>
        <w:rPr>
          <w:bCs/>
          <w:b/>
        </w:rPr>
        <w:t xml:space="preserve">database artifact.</w:t>
      </w:r>
      <w:r>
        <w:t xml:space="preserve"> </w:t>
      </w:r>
      <w:r>
        <w:t xml:space="preserve">The MiFish 12S barcode cannot reliably distinguish</w:t>
      </w:r>
      <w:r>
        <w:t xml:space="preserve"> </w:t>
      </w:r>
      <w:r>
        <w:rPr>
          <w:iCs/>
          <w:i/>
        </w:rPr>
        <w:t xml:space="preserve">Esox lucius</w:t>
      </w:r>
      <w:r>
        <w:t xml:space="preserve"> </w:t>
      </w:r>
      <w:r>
        <w:t xml:space="preserve">(Northern Pike, native to northern Maine, non-native in most of Massachusetts) from</w:t>
      </w:r>
      <w:r>
        <w:t xml:space="preserve"> </w:t>
      </w:r>
      <w:r>
        <w:rPr>
          <w:iCs/>
          <w:i/>
        </w:rPr>
        <w:t xml:space="preserve">Esox niger</w:t>
      </w:r>
      <w:r>
        <w:t xml:space="preserve"> </w:t>
      </w:r>
      <w:r>
        <w:t xml:space="preserve">(Chain Pickerel, native throughout coastal New England) or</w:t>
      </w:r>
      <w:r>
        <w:t xml:space="preserve"> </w:t>
      </w:r>
      <w:r>
        <w:rPr>
          <w:iCs/>
          <w:i/>
        </w:rPr>
        <w:t xml:space="preserve">Esox americanus</w:t>
      </w:r>
      <w:r>
        <w:t xml:space="preserve"> </w:t>
      </w:r>
      <w:r>
        <w:t xml:space="preserve">(Redfin Pickerel, native). In this dataset, ESV_010000 — the</w:t>
      </w:r>
      <w:r>
        <w:t xml:space="preserve"> </w:t>
      </w:r>
      <w:r>
        <w:rPr>
          <w:iCs/>
          <w:i/>
        </w:rPr>
        <w:t xml:space="preserve">Esox</w:t>
      </w:r>
      <w:r>
        <w:t xml:space="preserve"> </w:t>
      </w:r>
      <w:r>
        <w:t xml:space="preserve">sequence recovered across all batches — returns a 100% match to native pickerel. The</w:t>
      </w:r>
      <w:r>
        <w:t xml:space="preserve"> </w:t>
      </w:r>
      <w:r>
        <w:rPr>
          <w:iCs/>
          <w:i/>
        </w:rPr>
        <w:t xml:space="preserve">Esox lucius</w:t>
      </w:r>
      <w:r>
        <w:t xml:space="preserve"> </w:t>
      </w:r>
      <w:r>
        <w:t xml:space="preserve">species-level database assignment is a reference database artifact, not a confirmed Northern Pike detection. Do not report as Northern Pike or illegal stocking without electrofishing or species-specific PCR confirmation.</w:t>
      </w:r>
    </w:p>
    <w:p>
      <w:pPr>
        <w:pStyle w:val="BodyText"/>
      </w:pPr>
      <w:r>
        <w:rPr>
          <w:bCs/>
          <w:b/>
        </w:rPr>
        <w:t xml:space="preserve">[T3] —</w:t>
      </w:r>
      <w:r>
        <w:rPr>
          <w:bCs/>
          <w:b/>
        </w:rPr>
        <w:t xml:space="preserve"> </w:t>
      </w:r>
      <w:r>
        <w:rPr>
          <w:iCs/>
          <w:i/>
          <w:bCs/>
          <w:b/>
        </w:rPr>
        <w:t xml:space="preserve">Longear Sunfish</w:t>
      </w:r>
      <w:r>
        <w:rPr>
          <w:bCs/>
          <w:b/>
        </w:rPr>
        <w:t xml:space="preserve"> </w:t>
      </w:r>
      <w:r>
        <w:rPr>
          <w:bCs/>
          <w:b/>
        </w:rPr>
        <w:t xml:space="preserve">(</w:t>
      </w:r>
      <w:r>
        <w:rPr>
          <w:iCs/>
          <w:i/>
          <w:bCs/>
          <w:b/>
        </w:rPr>
        <w:t xml:space="preserve">Lepomis megalotis</w:t>
      </w:r>
      <w:r>
        <w:rPr>
          <w:bCs/>
          <w:b/>
        </w:rPr>
        <w:t xml:space="preserve">) database artifact.</w:t>
      </w:r>
      <w:r>
        <w:t xml:space="preserve"> </w:t>
      </w:r>
      <w:r>
        <w:rPr>
          <w:iCs/>
          <w:i/>
        </w:rPr>
        <w:t xml:space="preserve">Lepomis megalotis</w:t>
      </w:r>
      <w:r>
        <w:t xml:space="preserve"> </w:t>
      </w:r>
      <w:r>
        <w:t xml:space="preserve">is native to the Great Lakes and Mississippi drainage — not to New England. Any detection in a Massachusetts or Maine eDNA sample is a database artifact: the MiFish barcode assigns the read to the closest reference database entry, which for certain</w:t>
      </w:r>
      <w:r>
        <w:t xml:space="preserve"> </w:t>
      </w:r>
      <w:r>
        <w:rPr>
          <w:iCs/>
          <w:i/>
        </w:rPr>
        <w:t xml:space="preserve">Lepomis</w:t>
      </w:r>
      <w:r>
        <w:t xml:space="preserve"> </w:t>
      </w:r>
      <w:r>
        <w:t xml:space="preserve">ESVs is</w:t>
      </w:r>
      <w:r>
        <w:t xml:space="preserve"> </w:t>
      </w:r>
      <w:r>
        <w:rPr>
          <w:iCs/>
          <w:i/>
        </w:rPr>
        <w:t xml:space="preserve">L. megalotis</w:t>
      </w:r>
      <w:r>
        <w:t xml:space="preserve"> </w:t>
      </w:r>
      <w:r>
        <w:t xml:space="preserve">rather than the true species (most likely Pumpkinseed</w:t>
      </w:r>
      <w:r>
        <w:t xml:space="preserve"> </w:t>
      </w:r>
      <w:r>
        <w:rPr>
          <w:iCs/>
          <w:i/>
        </w:rPr>
        <w:t xml:space="preserve">L. gibbosus</w:t>
      </w:r>
      <w:r>
        <w:t xml:space="preserve"> </w:t>
      </w:r>
      <w:r>
        <w:t xml:space="preserve">or Bluegill</w:t>
      </w:r>
      <w:r>
        <w:t xml:space="preserve"> </w:t>
      </w:r>
      <w:r>
        <w:rPr>
          <w:iCs/>
          <w:i/>
        </w:rPr>
        <w:t xml:space="preserve">L. macrochirus</w:t>
      </w:r>
      <w:r>
        <w:t xml:space="preserve">). All</w:t>
      </w:r>
      <w:r>
        <w:t xml:space="preserve"> </w:t>
      </w:r>
      <w:r>
        <w:rPr>
          <w:iCs/>
          <w:i/>
        </w:rPr>
        <w:t xml:space="preserve">Longear Sunfish</w:t>
      </w:r>
      <w:r>
        <w:t xml:space="preserve"> </w:t>
      </w:r>
      <w:r>
        <w:t xml:space="preserve">detections in this dataset are treated as misassigned</w:t>
      </w:r>
      <w:r>
        <w:t xml:space="preserve"> </w:t>
      </w:r>
      <w:r>
        <w:rPr>
          <w:iCs/>
          <w:i/>
        </w:rPr>
        <w:t xml:space="preserve">Lepomis</w:t>
      </w:r>
      <w:r>
        <w:t xml:space="preserve"> </w:t>
      </w:r>
      <w:r>
        <w:t xml:space="preserve">spp. and excluded from ecological interpretation.</w:t>
      </w:r>
    </w:p>
    <w:p>
      <w:pPr>
        <w:pStyle w:val="BodyText"/>
      </w:pPr>
      <w:r>
        <w:rPr>
          <w:bCs/>
          <w:b/>
        </w:rPr>
        <w:t xml:space="preserve">[T4] —</w:t>
      </w:r>
      <w:r>
        <w:rPr>
          <w:bCs/>
          <w:b/>
        </w:rPr>
        <w:t xml:space="preserve"> </w:t>
      </w:r>
      <w:r>
        <w:rPr>
          <w:iCs/>
          <w:i/>
          <w:bCs/>
          <w:b/>
        </w:rPr>
        <w:t xml:space="preserve">Fundulus parvipinnis</w:t>
      </w:r>
      <w:r>
        <w:rPr>
          <w:bCs/>
          <w:b/>
        </w:rPr>
        <w:t xml:space="preserve"> </w:t>
      </w:r>
      <w:r>
        <w:rPr>
          <w:bCs/>
          <w:b/>
        </w:rPr>
        <w:t xml:space="preserve">database artifact.</w:t>
      </w:r>
      <w:r>
        <w:t xml:space="preserve"> </w:t>
      </w:r>
      <w:r>
        <w:rPr>
          <w:iCs/>
          <w:i/>
        </w:rPr>
        <w:t xml:space="preserve">Fundulus parvipinnis</w:t>
      </w:r>
      <w:r>
        <w:t xml:space="preserve"> </w:t>
      </w:r>
      <w:r>
        <w:t xml:space="preserve">(California Killifish) is a Pacific coast species with no range east of the Rockies. Any detection in a New England eDNA sample is a database artifact — the barcode assigns these reads to</w:t>
      </w:r>
      <w:r>
        <w:t xml:space="preserve"> </w:t>
      </w:r>
      <w:r>
        <w:rPr>
          <w:iCs/>
          <w:i/>
        </w:rPr>
        <w:t xml:space="preserve">F. parvipinnis</w:t>
      </w:r>
      <w:r>
        <w:t xml:space="preserve"> </w:t>
      </w:r>
      <w:r>
        <w:t xml:space="preserve">as the closest available reference match for an eastern</w:t>
      </w:r>
      <w:r>
        <w:t xml:space="preserve"> </w:t>
      </w:r>
      <w:r>
        <w:rPr>
          <w:iCs/>
          <w:i/>
        </w:rPr>
        <w:t xml:space="preserve">Fundulus</w:t>
      </w:r>
      <w:r>
        <w:t xml:space="preserve"> </w:t>
      </w:r>
      <w:r>
        <w:t xml:space="preserve">ESV (most likely</w:t>
      </w:r>
      <w:r>
        <w:t xml:space="preserve"> </w:t>
      </w:r>
      <w:r>
        <w:rPr>
          <w:iCs/>
          <w:i/>
        </w:rPr>
        <w:t xml:space="preserve">Fundulus heteroclitus</w:t>
      </w:r>
      <w:r>
        <w:t xml:space="preserve">, Mummichog). Exclude from ecological interpretation.</w:t>
      </w:r>
    </w:p>
    <w:p>
      <w:pPr>
        <w:pStyle w:val="BodyText"/>
      </w:pPr>
      <w:r>
        <w:rPr>
          <w:bCs/>
          <w:b/>
        </w:rPr>
        <w:t xml:space="preserve">[T5] — Cormorant fecal eDNA.</w:t>
      </w:r>
      <w:r>
        <w:t xml:space="preserve"> </w:t>
      </w:r>
      <w:r>
        <w:t xml:space="preserve">Double-crested Cormorants (</w:t>
      </w:r>
      <w:r>
        <w:rPr>
          <w:iCs/>
          <w:i/>
        </w:rPr>
        <w:t xml:space="preserve">Phalacrocorax auritus</w:t>
      </w:r>
      <w:r>
        <w:t xml:space="preserve">) forage actively in Manchester Harbor and adjacent coastal waters on Atlantic Menhaden (</w:t>
      </w:r>
      <w:r>
        <w:rPr>
          <w:iCs/>
          <w:i/>
        </w:rPr>
        <w:t xml:space="preserve">Brevoortia</w:t>
      </w:r>
      <w:r>
        <w:t xml:space="preserve"> </w:t>
      </w:r>
      <w:r>
        <w:t xml:space="preserve">spp.), Alewife, and other marine/estuarine fish. Cormorants transit inland waterways and deposit dietary fish DNA via feces. The diagnostic indicator is</w:t>
      </w:r>
      <w:r>
        <w:t xml:space="preserve"> </w:t>
      </w:r>
      <w:r>
        <w:rPr>
          <w:bCs/>
          <w:b/>
        </w:rPr>
        <w:t xml:space="preserve">Atlantic Menhaden</w:t>
      </w:r>
      <w:r>
        <w:t xml:space="preserve"> </w:t>
      </w:r>
      <w:r>
        <w:t xml:space="preserve">— a coastal marine schooling fish with no freshwater range. Any Menhaden detection at an inland freshwater site is evidence of cormorant fecal eDNA input.</w:t>
      </w:r>
      <w:r>
        <w:t xml:space="preserve"> </w:t>
      </w:r>
      <w:r>
        <w:rPr>
          <w:iCs/>
          <w:i/>
        </w:rPr>
        <w:t xml:space="preserve">Xiphister</w:t>
      </w:r>
      <w:r>
        <w:t xml:space="preserve"> </w:t>
      </w:r>
      <w:r>
        <w:t xml:space="preserve">spp. (marine prickleback, intertidal rocky shore) is a secondary corroborating indicator. Alewife detections at sites above the confirmed anadromous limit should be evaluated in light of co-occurring Menhaden signal; if Menhaden is present, Alewife is parsimoniously explained by the same fecal source rather than live fish presence.</w:t>
      </w:r>
    </w:p>
    <w:p>
      <w:pPr>
        <w:pStyle w:val="BodyText"/>
      </w:pPr>
      <w:r>
        <w:rPr>
          <w:bCs/>
          <w:b/>
        </w:rPr>
        <w:t xml:space="preserve">[T6] — Charophyte genus /</w:t>
      </w:r>
      <w:r>
        <w:rPr>
          <w:bCs/>
          <w:b/>
        </w:rPr>
        <w:t xml:space="preserve"> </w:t>
      </w:r>
      <w:r>
        <w:rPr>
          <w:iCs/>
          <w:i/>
          <w:bCs/>
          <w:b/>
        </w:rPr>
        <w:t xml:space="preserve">Nitellopsis obtusa</w:t>
      </w:r>
      <w:r>
        <w:rPr>
          <w:bCs/>
          <w:b/>
        </w:rPr>
        <w:t xml:space="preserve"> </w:t>
      </w:r>
      <w:r>
        <w:rPr>
          <w:bCs/>
          <w:b/>
        </w:rPr>
        <w:t xml:space="preserve">invasive species uncertainty.</w:t>
      </w:r>
      <w:r>
        <w:t xml:space="preserve"> </w:t>
      </w:r>
      <w:r>
        <w:t xml:space="preserve">The 23S rRNA barcode in this dataset resolves the Charophyte (Stonewort) signal to class (Charophyceae) but not to genus. Native</w:t>
      </w:r>
      <w:r>
        <w:t xml:space="preserve"> </w:t>
      </w:r>
      <w:r>
        <w:rPr>
          <w:iCs/>
          <w:i/>
        </w:rPr>
        <w:t xml:space="preserve">Chara</w:t>
      </w:r>
      <w:r>
        <w:t xml:space="preserve"> </w:t>
      </w:r>
      <w:r>
        <w:t xml:space="preserve">spp. and</w:t>
      </w:r>
      <w:r>
        <w:t xml:space="preserve"> </w:t>
      </w:r>
      <w:r>
        <w:rPr>
          <w:iCs/>
          <w:i/>
        </w:rPr>
        <w:t xml:space="preserve">Nitella</w:t>
      </w:r>
      <w:r>
        <w:t xml:space="preserve"> </w:t>
      </w:r>
      <w:r>
        <w:t xml:space="preserve">spp. — clean-water ecological indicators — and invasive</w:t>
      </w:r>
      <w:r>
        <w:t xml:space="preserve"> </w:t>
      </w:r>
      <w:r>
        <w:rPr>
          <w:iCs/>
          <w:i/>
        </w:rPr>
        <w:t xml:space="preserve">Nitellopsis obtusa</w:t>
      </w:r>
      <w:r>
        <w:t xml:space="preserve"> </w:t>
      </w:r>
      <w:r>
        <w:t xml:space="preserve">(Starry Stonewort, regulated invasive in multiple northeastern states, expanding rapidly from Great Lakes origin) are both Charophyceae and cannot be distinguished from this data alone. The top database hit at Golf Course/Sawmill Brook is</w:t>
      </w:r>
      <w:r>
        <w:t xml:space="preserve"> </w:t>
      </w:r>
      <w:r>
        <w:rPr>
          <w:iCs/>
          <w:i/>
        </w:rPr>
        <w:t xml:space="preserve">Nitellopsis obtusa</w:t>
      </w:r>
      <w:r>
        <w:t xml:space="preserve"> </w:t>
      </w:r>
      <w:r>
        <w:t xml:space="preserve">at 95.8% identity — below the species-level threshold of 97%, with only a 0.3% margin over native</w:t>
      </w:r>
      <w:r>
        <w:t xml:space="preserve"> </w:t>
      </w:r>
      <w:r>
        <w:rPr>
          <w:iCs/>
          <w:i/>
        </w:rPr>
        <w:t xml:space="preserve">Chara</w:t>
      </w:r>
      <w:r>
        <w:t xml:space="preserve">/</w:t>
      </w:r>
      <w:r>
        <w:rPr>
          <w:iCs/>
          <w:i/>
        </w:rPr>
        <w:t xml:space="preserve">Nitella</w:t>
      </w:r>
      <w:r>
        <w:t xml:space="preserve">. Anecdotal reports from local ecologists and phycologists indicate that</w:t>
      </w:r>
      <w:r>
        <w:t xml:space="preserve"> </w:t>
      </w:r>
      <w:r>
        <w:rPr>
          <w:iCs/>
          <w:i/>
        </w:rPr>
        <w:t xml:space="preserve">Nitellopsis obtusa</w:t>
      </w:r>
      <w:r>
        <w:t xml:space="preserve"> </w:t>
      </w:r>
      <w:r>
        <w:t xml:space="preserve">has not been documented in Massachusetts. Field morphological identification or species-specific PCR is required before invasive status can be confirmed or ruled out. The Charophyte signal at this site is ecologically significant regardless of species identity — but its management implications depend entirely on the field determination.</w:t>
      </w:r>
    </w:p>
    <w:p>
      <w:pPr>
        <w:pStyle w:val="BodyText"/>
      </w:pPr>
      <w:r>
        <w:rPr>
          <w:bCs/>
          <w:b/>
        </w:rPr>
        <w:t xml:space="preserve">[T7] — eDNA degradation in tidal/saline water.</w:t>
      </w:r>
      <w:r>
        <w:t xml:space="preserve"> </w:t>
      </w:r>
      <w:r>
        <w:t xml:space="preserve">eDNA degrades more rapidly in saline and brackish water than in freshwater, due to elevated enzymatic activity and UV exposure in open tidal reaches. Fish eDNA signals from upstream freshwater sources collected at tidal sampling points may therefore be attenuated relative to the true upstream population signal. Brook Trout detections at Below School St (a tidal sampling point) likely understate upstream Brook Trout abundance. Where possible, sampling locations should be sited upstream of the tidal limit to maximize detection sensitivity for freshwater species.</w:t>
      </w:r>
    </w:p>
    <w:p>
      <w:pPr>
        <w:pStyle w:val="BodyText"/>
      </w:pPr>
      <w:r>
        <w:rPr>
          <w:bCs/>
          <w:b/>
        </w:rPr>
        <w:t xml:space="preserve">[T8] — Read count reliability.</w:t>
      </w:r>
      <w:r>
        <w:t xml:space="preserve"> </w:t>
      </w:r>
      <w:r>
        <w:t xml:space="preserve">eDNA read counts are proportional, not absolute — they represent the fraction of total DNA molecules in a sample matching each species, not fish abundance. Detection reliability scales with both read percentage and total read count. A species at 1% with 50,000 total reads (500 reads) is a reliable detection; the same 1% from only 500 total reads (5 reads) is marginal. In this dataset, total read counts per sample range from ~3,700 (Sawmill Swamp algae) to ~47,870 (Below Lincoln Pool fish). Detections below ~10 reads should be treated with caution regardless of percentage.</w:t>
      </w:r>
    </w:p>
    <w:p>
      <w:pPr>
        <w:pStyle w:val="BodyText"/>
      </w:pPr>
      <w:r>
        <w:rPr>
          <w:bCs/>
          <w:b/>
        </w:rPr>
        <w:t xml:space="preserve">[T9] — Rainbow Smelt anomalous detection (Golf Course/Sawmill Brook, Nov 2023).</w:t>
      </w:r>
      <w:r>
        <w:t xml:space="preserve"> </w:t>
      </w:r>
      <w:r>
        <w:t xml:space="preserve">Rainbow Smelt (</w:t>
      </w:r>
      <w:r>
        <w:rPr>
          <w:iCs/>
          <w:i/>
        </w:rPr>
        <w:t xml:space="preserve">Osmerus mordax</w:t>
      </w:r>
      <w:r>
        <w:t xml:space="preserve">) are anadromous and do enter some Massachusetts coastal streams for late-winter/spring spawning runs, but are not documented in Sawmill Brook or Cat Brook. The 0.2% detection at Golf Course/Sawmill Brook in November is anomalous for this site and season. ESV-level review is needed to confirm whether this represents a genuine smelt detection or a barcode cross-match. Treat as unconfirmed pending ESV verification.</w:t>
      </w:r>
    </w:p>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2026-04-29T01:34:36Z</dcterms:created>
  <dcterms:modified xsi:type="dcterms:W3CDTF">2026-04-29T01:34:36Z</dcterms:modified>
</cp:coreProperties>
</file>

<file path=docProps/custom.xml><?xml version="1.0" encoding="utf-8"?>
<Properties xmlns="http://schemas.openxmlformats.org/officeDocument/2006/custom-properties" xmlns:vt="http://schemas.openxmlformats.org/officeDocument/2006/docPropsVTypes"/>
</file>