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24"/>
        </w:rPr>
        <w:t>MBTS eDNA Watershed Summary — May 2026</w:t>
      </w:r>
    </w:p>
    <w:p>
      <w:pPr>
        <w:spacing w:before="0" w:after="80"/>
        <w:jc w:val="center"/>
      </w:pPr>
      <w:r>
        <w:rPr>
          <w:i/>
          <w:sz w:val="17"/>
        </w:rPr>
        <w:t>Sawmill Brook / Cat Brook Watershed, Manchester-by-the-Sea MA  |  14 samples, 2024–2025  |  v40 findings</w:t>
      </w:r>
    </w:p>
    <w:p>
      <w:pPr>
        <w:spacing w:before="120" w:after="20"/>
      </w:pPr>
      <w:r>
        <w:rPr>
          <w:b/>
          <w:color w:val="00467F"/>
          <w:sz w:val="20"/>
        </w:rPr>
        <w:t>1.  Brook Trout (Salvelinus fontinalis)</w:t>
      </w:r>
    </w:p>
    <w:p>
      <w:pPr>
        <w:spacing w:before="0" w:after="40"/>
      </w:pPr>
      <w:r>
        <w:rPr>
          <w:sz w:val="17"/>
        </w:rPr>
        <w:t>Confirmed at 4 of 14 sites. Strongest signal at Below School St (4.6% of fish reads, Nov 2025 — spawning season) and Sawmill Brook at School St (2.5%, Aug 2024). Sawmill Swamp (1.0%, Aug 2024) and Below Lincoln Pool (0.6%, Jun 2025) are also positive. Brook Trout were absent from Upper Sawmill, Golf Course reach, Cat Brook, L Mackintosh Pond, Atwater, MBTS #3, and Proctor Point in all samples to date. The Nov 2025 absence at Upper Sawmill during spawning season is a flag — this reach should be a functional spawning corridor. BLAST confirms all positive detections to Salvelinus fontinalis.</w:t>
      </w:r>
    </w:p>
    <w:p>
      <w:pPr>
        <w:spacing w:before="120" w:after="20"/>
      </w:pPr>
      <w:r>
        <w:rPr>
          <w:b/>
          <w:color w:val="00467F"/>
          <w:sz w:val="20"/>
        </w:rPr>
        <w:t>2.  Eutrophication</w:t>
      </w:r>
    </w:p>
    <w:p>
      <w:pPr>
        <w:spacing w:before="0" w:after="40"/>
      </w:pPr>
      <w:r>
        <w:rPr>
          <w:sz w:val="17"/>
        </w:rPr>
        <w:t>L Mackintosh Pond is the single most degraded site in the watershed and the only eutrophication signal. Common Carp (37% of fish reads, BLAST-confirmed) and Fathead Minnow (~6%) are introduced species whose presence was unknown before BLAST. Carp bottom-rooting releases phosphorus from sediment; the 23S algal community confirms the result: Stephanodiscus minutulus (22.5%) — a classical high-phosphorus diatom — dominates, alongside Veerella sp. (18%), a eutrophic flagellate. Alewife at 42% (not 63% as v38 reported before Carp were included in the denominator) remains present but is no longer ecologically dominant. The main-stem Sawmill Brook community (Eunotia naegelii, Mallomonas, Dinobryon, Chrysochromulina) is oligotrophic throughout — the nutrient problem is geographically contained to L Mackintosh Pond but ecologically critical given its headwater position feeding Cat Brook.</w:t>
      </w:r>
    </w:p>
    <w:p>
      <w:pPr>
        <w:spacing w:before="120" w:after="20"/>
      </w:pPr>
      <w:r>
        <w:rPr>
          <w:b/>
          <w:color w:val="00467F"/>
          <w:sz w:val="20"/>
        </w:rPr>
        <w:t>3.  pH  (Vivosun meter, two-point calibration, ±0.2 pH unit)</w:t>
      </w:r>
    </w:p>
    <w:p>
      <w:pPr>
        <w:spacing w:before="0" w:after="40"/>
      </w:pPr>
      <w:r>
        <w:rPr>
          <w:sz w:val="17"/>
        </w:rPr>
        <w:t>Eight Vivosun field measurements are available across three Sawmill Brook sites. All fall within Brook Trout tolerance (6.5–7.5 optimal). Range: 6.15–7.05. Average: 6.66. School St: pH 7.05 / 71.6°F (Jul 2025) — pH optimal but temperature at the upper Brook Trout stress threshold (~68°F); pH 6.66 / 38.4°F (Nov 2025, co-dated with eDNA) — full tolerance, Brook Trout detected at 4.8%. Below Lincoln Pool: pH 6.88 / 55.4°F (Jun 2025, co-collected with eDNA) — optimal; Brook Trout detected at 0.6%. pH 6.53 / 37.7°F (Nov 2025) — winter baseline, full tolerance. Atwater: pH 6.15 / 62.7°F (Jun 2025, co-collected with eDNA) — low end of optimal, borderline for spawning habitat; pH 6.47 / 75.9°F (Jul 2025) — acute thermal stress, above short-term BT lethal threshold; pH 6.87 / 36.8°F (Nov 2025). No pH data for L Mackintosh Pond, Cat Brook, Golf Course, Elm Street, MBTS #3, Sawmill Swamp, or Fire Station — priority gap sites for future Sonde or grab-sample measurement.</w:t>
      </w:r>
    </w:p>
    <w:p>
      <w:pPr>
        <w:spacing w:before="120" w:after="20"/>
      </w:pPr>
      <w:r>
        <w:rPr>
          <w:b/>
          <w:color w:val="00467F"/>
          <w:sz w:val="20"/>
        </w:rPr>
        <w:t>4.  Significant and Sentinel Species</w:t>
      </w:r>
    </w:p>
    <w:p>
      <w:pPr>
        <w:pStyle w:val="ListBullet"/>
        <w:spacing w:before="0" w:after="20"/>
        <w:ind w:left="216"/>
      </w:pPr>
      <w:r>
        <w:rPr>
          <w:sz w:val="17"/>
        </w:rPr>
        <w:t>Largemouth Bass (Micropterus salmoides) — dominant across most sites: 98% at Sawmill Swamp, 66% at Cat Brook, 46% at Below School St, present at Upper Sawmill, Lincoln Pool, School St. The single greatest competitive threat to Brook Trout in the watershed.</w:t>
      </w:r>
    </w:p>
    <w:p>
      <w:pPr>
        <w:pStyle w:val="ListBullet"/>
        <w:spacing w:before="0" w:after="20"/>
        <w:ind w:left="216"/>
      </w:pPr>
      <w:r>
        <w:rPr>
          <w:sz w:val="17"/>
        </w:rPr>
        <w:t>Pumpkinseed (Lepomis gibbosus) — ubiquitous: 99% at Golf Course, 93% Upper Sawmill, 91% MBTS #3, 83% Lincoln Pool, 88% School St Aug. Displaces invertebrate prey throughout.</w:t>
      </w:r>
    </w:p>
    <w:p>
      <w:pPr>
        <w:pStyle w:val="ListBullet"/>
        <w:spacing w:before="0" w:after="20"/>
        <w:ind w:left="216"/>
      </w:pPr>
      <w:r>
        <w:rPr>
          <w:sz w:val="17"/>
        </w:rPr>
        <w:t>Brown Trout (Salmo trutta) — MBTS #3 only (8.5%, 267 reads, BLAST-confirmed). Non-native, stocked. Competes directly with Brook Trout for territory and food.</w:t>
      </w:r>
    </w:p>
    <w:p>
      <w:pPr>
        <w:pStyle w:val="ListBullet"/>
        <w:spacing w:before="0" w:after="20"/>
        <w:ind w:left="216"/>
      </w:pPr>
      <w:r>
        <w:rPr>
          <w:sz w:val="17"/>
        </w:rPr>
        <w:t>Smallmouth Bass (Micropterus dolomieu) — Proctor Point (46%, BLAST-confirmed first detection in watershed). Expanding range; direct Brook Trout competitor in cold reaches.</w:t>
      </w:r>
    </w:p>
    <w:p>
      <w:pPr>
        <w:pStyle w:val="ListBullet"/>
        <w:spacing w:before="0" w:after="20"/>
        <w:ind w:left="216"/>
      </w:pPr>
      <w:r>
        <w:rPr>
          <w:sz w:val="17"/>
        </w:rPr>
        <w:t>Common Carp (Cyprinus carpio) — L Mackintosh Pond only (37%). Driving eutrophication. Flag to MassWildlife.</w:t>
      </w:r>
    </w:p>
    <w:p>
      <w:pPr>
        <w:pStyle w:val="ListBullet"/>
        <w:spacing w:before="0" w:after="20"/>
        <w:ind w:left="216"/>
      </w:pPr>
      <w:r>
        <w:rPr>
          <w:sz w:val="17"/>
        </w:rPr>
        <w:t>Fathead Minnow (Pimephales promelas) — L Mackintosh Pond (~6%). Bait-bucket introduction; second invasive species at this site.</w:t>
      </w:r>
    </w:p>
    <w:p>
      <w:pPr>
        <w:pStyle w:val="ListBullet"/>
        <w:spacing w:before="0" w:after="20"/>
        <w:ind w:left="216"/>
      </w:pPr>
      <w:r>
        <w:rPr>
          <w:sz w:val="17"/>
        </w:rPr>
        <w:t>Bluefish (Pomatomus saltator) — Fire Station tidal limit (167 reads, Aug). Marine predator; seasonal presence consistent with Manchester Harbor late-summer feeding.</w:t>
      </w:r>
    </w:p>
    <w:p>
      <w:pPr>
        <w:pStyle w:val="ListBullet"/>
        <w:spacing w:before="0" w:after="20"/>
        <w:ind w:left="216"/>
      </w:pPr>
      <w:r>
        <w:rPr>
          <w:sz w:val="17"/>
        </w:rPr>
        <w:t>Striped Killifish (Fundulus majalis) — School St tidal reach (821 reads). Second Fundulus species confirmed; reinforces tidal character of this reach.</w:t>
      </w:r>
    </w:p>
    <w:p>
      <w:pPr>
        <w:spacing w:before="120" w:after="20"/>
      </w:pPr>
      <w:r>
        <w:rPr>
          <w:b/>
          <w:color w:val="00467F"/>
          <w:sz w:val="20"/>
        </w:rPr>
        <w:t>5.  Habitat Indicators</w:t>
      </w:r>
    </w:p>
    <w:p>
      <w:pPr>
        <w:spacing w:before="0" w:after="40"/>
      </w:pPr>
      <w:r>
        <w:rPr>
          <w:sz w:val="17"/>
        </w:rPr>
        <w:t>Characeae stonewort (32.8% of 23S reads) at the Golf Course reach and Callitriche stagnalis (water starwort, visually confirmed + eDNA at Below School St, Upper Sawmill, Golf Course) indicate submerged aquatic vegetation — positive structure for Brook Trout and invertebrates. Fontinalis antipyretica (aquatic moss, eDNA) at School St confirms suitable submerged substrate. Nitellopsis obtusa (invasive stonewort, 1% trace) at Golf Course reach warrants a physical survey. The Elm Street algal community (Eunotia naegelii dominant) confirms a clean, soft-water freshwater reach — no tidal influence extends above School St.</w:t>
      </w:r>
    </w:p>
    <w:p/>
    <w:p>
      <w:pPr>
        <w:spacing w:before="40" w:after="0"/>
      </w:pPr>
      <w:r>
        <w:rPr>
          <w:i/>
          <w:sz w:val="15"/>
        </w:rPr>
        <w:t>Data source: edna.db (SQLite); MiFishU 12S (fish) + 23S (algal/macrophyte) amplicon sequencing; BLAST v40 refinements applied. All species % = reads / total fish reads (MiFishU) or total 23S reads at site. pH: no field measurements available for MBTS sites. Generated May 2026.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