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3289e9015b23c4de795bcc01b6612b3f0c28b6"/>
    <w:p>
      <w:pPr>
        <w:pStyle w:val="Heading1"/>
      </w:pPr>
      <w:r>
        <w:t xml:space="preserve">eDNA Ecological Report — Sawmill Brook / Cat Brook Watershed</w:t>
      </w:r>
    </w:p>
    <w:bookmarkStart w:id="21" w:name="X9d658fc938b6d924a93f6690ed900e719728b5c"/>
    <w:p>
      <w:pPr>
        <w:pStyle w:val="Heading2"/>
      </w:pPr>
      <w:r>
        <w:t xml:space="preserve">Manchester-by-the-Sea Brook Trout Monitoring Program (MBTS)</w:t>
      </w:r>
    </w:p>
    <w:bookmarkStart w:id="20" w:name="Xa32eeb888876ed4b3501ff3b05763bd9f6f8a7a"/>
    <w:p>
      <w:pPr>
        <w:pStyle w:val="Heading3"/>
      </w:pPr>
      <w:r>
        <w:t xml:space="preserve">Manchester-by-the-Sea, MA · November 2023 – June 2025</w:t>
      </w:r>
    </w:p>
    <w:p>
      <w:r>
        <w:pict>
          <v:rect style="width:0;height:1.5pt" o:hralign="center" o:hrstd="t" o:hr="t"/>
        </w:pict>
      </w:r>
    </w:p>
    <w:bookmarkEnd w:id="20"/>
    <w:bookmarkEnd w:id="21"/>
    <w:bookmarkStart w:id="22" w:name="a-note-on-interpretation"/>
    <w:p>
      <w:pPr>
        <w:pStyle w:val="Heading2"/>
      </w:pPr>
      <w:r>
        <w:t xml:space="preserve">A Note on Interpretation</w:t>
      </w:r>
    </w:p>
    <w:p>
      <w:pPr>
        <w:pStyle w:val="FirstParagraph"/>
      </w:pPr>
      <w:r>
        <w:rPr>
          <w:bCs/>
          <w:b/>
        </w:rPr>
        <w:t xml:space="preserve">This report states only what the data shows.</w:t>
      </w:r>
      <w:r>
        <w:t xml:space="preserve"> </w:t>
      </w:r>
      <w:r>
        <w:t xml:space="preserve">It does not hedge, model, estimate, or speculate beyond the evidence. If a species is not detected, that is what is written. If a reading is ambiguous, the ambiguity is named and the most likely interpretation is stated directly. Unsupported qualifications are not a substitute for data.</w:t>
      </w:r>
    </w:p>
    <w:p>
      <w:r>
        <w:pict>
          <v:rect style="width:0;height:1.5pt" o:hralign="center" o:hrstd="t" o:hr="t"/>
        </w:pict>
      </w:r>
    </w:p>
    <w:bookmarkEnd w:id="22"/>
    <w:bookmarkStart w:id="23" w:name="about-this-report"/>
    <w:p>
      <w:pPr>
        <w:pStyle w:val="Heading2"/>
      </w:pPr>
      <w:r>
        <w:t xml:space="preserve">About This Report</w:t>
      </w:r>
    </w:p>
    <w:p>
      <w:pPr>
        <w:pStyle w:val="FirstParagraph"/>
      </w:pPr>
      <w:r>
        <w:t xml:space="preserve">This report covers water samples from 12 distinct sites in and around the Sawmill Brook / Cat Brook watershed in Manchester-by-the-Sea, MA, spanning November 2023 through November 2025. It also includes one marine sample at Proctor Point Dock (Manchester Harbor, June 2025), which provides ecological context for the watershed’s coastal outlet.</w:t>
      </w:r>
    </w:p>
    <w:p>
      <w:pPr>
        <w:pStyle w:val="BodyText"/>
      </w:pPr>
      <w:r>
        <w:t xml:space="preserve">The Manchester-by-the-Sea Brook Trout Monitoring Program (MBTS) tracks the health and status of Sawmill Brook — a small suburban coastal stream that drains southwest into Manchester Harbor. The sampling network covers the full longitudinal gradient: from Second Pond and Cat Brook headwaters through the main stem, past the tidal limit at Fire Station, to the estuarine School Street reach.</w:t>
      </w:r>
    </w:p>
    <w:p>
      <w:pPr>
        <w:pStyle w:val="BodyText"/>
      </w:pPr>
      <w:r>
        <w:t xml:space="preserve">Brook Trout (</w:t>
      </w:r>
      <w:r>
        <w:rPr>
          <w:iCs/>
          <w:i/>
        </w:rPr>
        <w:t xml:space="preserve">Salvelinus fontinalis</w:t>
      </w:r>
      <w:r>
        <w:t xml:space="preserve">) are the primary monitoring target. Their presence or absence at each site tells a story about water quality, thermal conditions, and habitat connectivity. All other species detected — from Golden Shiner to Mummichog — are interpreted in relation to that central question: is this watershed livable for Brook Trout, and what is limiting or sustaining their population?</w:t>
      </w:r>
    </w:p>
    <w:p>
      <w:r>
        <w:pict>
          <v:rect style="width:0;height:1.5pt" o:hralign="center" o:hrstd="t" o:hr="t"/>
        </w:pict>
      </w:r>
    </w:p>
    <w:bookmarkEnd w:id="23"/>
    <w:bookmarkStart w:id="24" w:name="how-to-read-this-report"/>
    <w:p>
      <w:pPr>
        <w:pStyle w:val="Heading2"/>
      </w:pPr>
      <w:r>
        <w:t xml:space="preserve">How to Read This Report</w:t>
      </w:r>
    </w:p>
    <w:p>
      <w:pPr>
        <w:pStyle w:val="FirstParagraph"/>
      </w:pPr>
      <w:r>
        <w:t xml:space="preserve">Algae are the base of the food web. They respond within days to light, temperature, pH, nutrients, and dissolved minerals. Fish integrate conditions over years — they reflect whether the habitat has been livable long enough to support recruitment, growth, and community assembly. Together, algae and fish tell a story neither can tell alone.</w:t>
      </w:r>
    </w:p>
    <w:p>
      <w:pPr>
        <w:pStyle w:val="BodyText"/>
      </w:pPr>
      <w:r>
        <w:rPr>
          <w:bCs/>
          <w:b/>
        </w:rPr>
        <w:t xml:space="preserve">Shannon diversity</w:t>
      </w:r>
      <w:r>
        <w:t xml:space="preserve"> </w:t>
      </w:r>
      <w:r>
        <w:t xml:space="preserve">is used throughout:</w:t>
      </w:r>
      <w:r>
        <w:t xml:space="preserve"> </w:t>
      </w:r>
      <w:r>
        <w:rPr>
          <w:bCs/>
          <w:b/>
        </w:rPr>
        <w:t xml:space="preserve">H(f)</w:t>
      </w:r>
      <w:r>
        <w:t xml:space="preserve"> </w:t>
      </w:r>
      <w:r>
        <w:t xml:space="preserve">for fish,</w:t>
      </w:r>
      <w:r>
        <w:t xml:space="preserve"> </w:t>
      </w:r>
      <w:r>
        <w:rPr>
          <w:bCs/>
          <w:b/>
        </w:rPr>
        <w:t xml:space="preserve">H(a)</w:t>
      </w:r>
      <w:r>
        <w:t xml:space="preserve"> </w:t>
      </w:r>
      <w:r>
        <w:t xml:space="preserve">for algae (formula: −Σ p·ln p). A higher value means more even distribution of reads across species — a proxy for ecological complexity.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 value</w:t>
            </w:r>
          </w:p>
        </w:tc>
        <w:tc>
          <w:tcPr/>
          <w:p>
            <w:pPr>
              <w:pStyle w:val="Compact"/>
              <w:jc w:val="left"/>
            </w:pPr>
            <w:r>
              <w:t xml:space="preserve">Interpretation</w:t>
            </w:r>
          </w:p>
        </w:tc>
      </w:tr>
      <w:tr>
        <w:tc>
          <w:tcPr/>
          <w:p>
            <w:pPr>
              <w:pStyle w:val="Compact"/>
              <w:jc w:val="left"/>
            </w:pPr>
            <w:r>
              <w:t xml:space="preserve">0.00</w:t>
            </w:r>
          </w:p>
        </w:tc>
        <w:tc>
          <w:tcPr/>
          <w:p>
            <w:pPr>
              <w:pStyle w:val="Compact"/>
              <w:jc w:val="left"/>
            </w:pPr>
            <w:r>
              <w:t xml:space="preserve">Single species / monoculture</w:t>
            </w:r>
          </w:p>
        </w:tc>
      </w:tr>
      <w:tr>
        <w:tc>
          <w:tcPr/>
          <w:p>
            <w:pPr>
              <w:pStyle w:val="Compact"/>
              <w:jc w:val="left"/>
            </w:pPr>
            <w:r>
              <w:t xml:space="preserve">0.01 – 0.30</w:t>
            </w:r>
          </w:p>
        </w:tc>
        <w:tc>
          <w:tcPr/>
          <w:p>
            <w:pPr>
              <w:pStyle w:val="Compact"/>
              <w:jc w:val="left"/>
            </w:pPr>
            <w:r>
              <w:t xml:space="preserve">Near-monoculture (&gt;90% one species)</w:t>
            </w:r>
          </w:p>
        </w:tc>
      </w:tr>
      <w:tr>
        <w:tc>
          <w:tcPr/>
          <w:p>
            <w:pPr>
              <w:pStyle w:val="Compact"/>
              <w:jc w:val="left"/>
            </w:pPr>
            <w:r>
              <w:t xml:space="preserve">0.30 – 0.80</w:t>
            </w:r>
          </w:p>
        </w:tc>
        <w:tc>
          <w:tcPr/>
          <w:p>
            <w:pPr>
              <w:pStyle w:val="Compact"/>
              <w:jc w:val="left"/>
            </w:pPr>
            <w:r>
              <w:t xml:space="preserve">Low diversity (2–3 species dominant)</w:t>
            </w:r>
          </w:p>
        </w:tc>
      </w:tr>
      <w:tr>
        <w:tc>
          <w:tcPr/>
          <w:p>
            <w:pPr>
              <w:pStyle w:val="Compact"/>
              <w:jc w:val="left"/>
            </w:pPr>
            <w:r>
              <w:t xml:space="preserve">0.80 – 1.40</w:t>
            </w:r>
          </w:p>
        </w:tc>
        <w:tc>
          <w:tcPr/>
          <w:p>
            <w:pPr>
              <w:pStyle w:val="Compact"/>
              <w:jc w:val="left"/>
            </w:pPr>
            <w:r>
              <w:t xml:space="preserve">Moderate diversity (4–6 species)</w:t>
            </w:r>
          </w:p>
        </w:tc>
      </w:tr>
      <w:tr>
        <w:tc>
          <w:tcPr/>
          <w:p>
            <w:pPr>
              <w:pStyle w:val="Compact"/>
              <w:jc w:val="left"/>
            </w:pPr>
            <w:r>
              <w:t xml:space="preserve">1.40 – 2.00</w:t>
            </w:r>
          </w:p>
        </w:tc>
        <w:tc>
          <w:tcPr/>
          <w:p>
            <w:pPr>
              <w:pStyle w:val="Compact"/>
              <w:jc w:val="left"/>
            </w:pPr>
            <w:r>
              <w:t xml:space="preserve">Good diversity (6–10 species)</w:t>
            </w:r>
          </w:p>
        </w:tc>
      </w:tr>
      <w:tr>
        <w:tc>
          <w:tcPr/>
          <w:p>
            <w:pPr>
              <w:pStyle w:val="Compact"/>
              <w:jc w:val="left"/>
            </w:pPr>
            <w:r>
              <w:t xml:space="preserve">2.00 – 2.50</w:t>
            </w:r>
          </w:p>
        </w:tc>
        <w:tc>
          <w:tcPr/>
          <w:p>
            <w:pPr>
              <w:pStyle w:val="Compact"/>
              <w:jc w:val="left"/>
            </w:pPr>
            <w:r>
              <w:t xml:space="preserve">High diversity (10–15+ species)</w:t>
            </w:r>
          </w:p>
        </w:tc>
      </w:tr>
      <w:tr>
        <w:tc>
          <w:tcPr/>
          <w:p>
            <w:pPr>
              <w:pStyle w:val="Compact"/>
              <w:jc w:val="left"/>
            </w:pPr>
            <w:r>
              <w:t xml:space="preserve">2.50+</w:t>
            </w:r>
          </w:p>
        </w:tc>
        <w:tc>
          <w:tcPr/>
          <w:p>
            <w:pPr>
              <w:pStyle w:val="Compact"/>
              <w:jc w:val="left"/>
            </w:pPr>
            <w:r>
              <w:t xml:space="preserve">Very high diversity (richest communities)</w:t>
            </w:r>
          </w:p>
        </w:tc>
      </w:tr>
    </w:tbl>
    <w:p>
      <w:pPr>
        <w:pStyle w:val="BodyText"/>
      </w:pPr>
      <w:r>
        <w:rPr>
          <w:bCs/>
          <w:b/>
        </w:rPr>
        <w:t xml:space="preserve">Read counts</w:t>
      </w:r>
      <w:r>
        <w:t xml:space="preserve"> </w:t>
      </w:r>
      <w:r>
        <w:t xml:space="preserve">are proportional, not absolute. A species at 1% with 10,000 total reads (100 reads) is more reliable than a species at 1% with 500 total reads (5 reads). Read count footnotes are provided where this distinction matters.</w:t>
      </w:r>
    </w:p>
    <w:p>
      <w:pPr>
        <w:pStyle w:val="BodyText"/>
      </w:pPr>
      <w:r>
        <w:t xml:space="preserve">Water chemistry values are</w:t>
      </w:r>
      <w:r>
        <w:t xml:space="preserve"> </w:t>
      </w:r>
      <w:r>
        <w:rPr>
          <w:bCs/>
          <w:b/>
        </w:rPr>
        <w:t xml:space="preserve">inferred</w:t>
      </w:r>
      <w:r>
        <w:t xml:space="preserve"> </w:t>
      </w:r>
      <w:r>
        <w:t xml:space="preserve">from biological indicator species unless otherwise stated — directionally reliable but not a substitute for direct measurement. Field pH and temperature readings in this dataset were made with a</w:t>
      </w:r>
      <w:r>
        <w:t xml:space="preserve"> </w:t>
      </w:r>
      <w:r>
        <w:rPr>
          <w:bCs/>
          <w:b/>
        </w:rPr>
        <w:t xml:space="preserve">Vivosun handheld pH meter (uncalibrated)</w:t>
      </w:r>
      <w:r>
        <w:t xml:space="preserve"> </w:t>
      </w:r>
      <w:r>
        <w:t xml:space="preserve">and should be treated as approximate (±0.5–1.0 pH unit). Measurements are reported in °F. Field data are presented site-by-site where available.</w:t>
      </w:r>
    </w:p>
    <w:p>
      <w:pPr>
        <w:pStyle w:val="BodyText"/>
      </w:pPr>
      <w:r>
        <w:rPr>
          <w:bCs/>
          <w:b/>
        </w:rPr>
        <w:t xml:space="preserve">Site order:</w:t>
      </w:r>
      <w:r>
        <w:t xml:space="preserve"> </w:t>
      </w:r>
      <w:r>
        <w:t xml:space="preserve">Sites are presented upstream-to-downstream where possible, followed by Proctor Point marine reference.</w:t>
      </w:r>
    </w:p>
    <w:p>
      <w:pPr>
        <w:pStyle w:val="BodyText"/>
      </w:pPr>
      <w:r>
        <w:rPr>
          <w:bCs/>
          <w:b/>
        </w:rPr>
        <w:t xml:space="preserve">Methods:</w:t>
      </w:r>
      <w:r>
        <w:t xml:space="preserve"> </w:t>
      </w:r>
      <w:r>
        <w:t xml:space="preserve">All samples were collected using Jonah Ventures (JV) eDNA field kits following field-sterile procedures. All samples were mailed to JV for processing. Most samples were analyzed using the MiFish 12S rRNA barcode (fish); several were also analyzed for algae using the 23S rRNA barcode. Results were processed in MS Excel and later using Artificial Intelligence (Claude / OpenAI).</w:t>
      </w:r>
    </w:p>
    <w:p>
      <w:r>
        <w:pict>
          <v:rect style="width:0;height:1.5pt" o:hralign="center" o:hrstd="t" o:hr="t"/>
        </w:pict>
      </w:r>
    </w:p>
    <w:bookmarkEnd w:id="24"/>
    <w:bookmarkStart w:id="25" w:name="key-findings-sawmill-cat-brook-system"/>
    <w:p>
      <w:pPr>
        <w:pStyle w:val="Heading2"/>
      </w:pPr>
      <w:r>
        <w:t xml:space="preserve">Key Findings — Sawmill / Cat Brook System</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Finding</w:t>
            </w:r>
          </w:p>
        </w:tc>
        <w:tc>
          <w:tcPr/>
          <w:p>
            <w:pPr>
              <w:pStyle w:val="Compact"/>
              <w:jc w:val="left"/>
            </w:pPr>
            <w:r>
              <w:t xml:space="preserve">Site</w:t>
            </w:r>
          </w:p>
        </w:tc>
        <w:tc>
          <w:tcPr/>
          <w:p>
            <w:pPr>
              <w:pStyle w:val="Compact"/>
              <w:jc w:val="left"/>
            </w:pPr>
            <w:r>
              <w:t xml:space="preserve">Significance</w:t>
            </w:r>
          </w:p>
        </w:tc>
      </w:tr>
      <w:tr>
        <w:tc>
          <w:tcPr/>
          <w:p>
            <w:pPr>
              <w:pStyle w:val="Compact"/>
              <w:jc w:val="left"/>
            </w:pPr>
            <w:r>
              <w:rPr>
                <w:bCs/>
                <w:b/>
              </w:rPr>
              <w:t xml:space="preserve">Brook Trout confirmed — 4 sites</w:t>
            </w:r>
          </w:p>
        </w:tc>
        <w:tc>
          <w:tcPr/>
          <w:p>
            <w:pPr>
              <w:pStyle w:val="Compact"/>
              <w:jc w:val="left"/>
            </w:pPr>
            <w:r>
              <w:t xml:space="preserve">Golf Course (Nov 2023), Below School St (Nov 2023 + Aug 2024), Atwater (Jun 2025), Below Lincoln Pool (Jun 2025)</w:t>
            </w:r>
          </w:p>
        </w:tc>
        <w:tc>
          <w:tcPr/>
          <w:p>
            <w:pPr>
              <w:pStyle w:val="Compact"/>
              <w:jc w:val="left"/>
            </w:pPr>
            <w:r>
              <w:t xml:space="preserve">Persistent multi-site presence across two years</w:t>
            </w:r>
          </w:p>
        </w:tc>
      </w:tr>
      <w:tr>
        <w:tc>
          <w:tcPr/>
          <w:p>
            <w:pPr>
              <w:pStyle w:val="Compact"/>
              <w:jc w:val="left"/>
            </w:pPr>
            <w:r>
              <w:rPr>
                <w:bCs/>
                <w:b/>
              </w:rPr>
              <w:t xml:space="preserve">Alewife at 63% — Second Pond only</w:t>
            </w:r>
          </w:p>
        </w:tc>
        <w:tc>
          <w:tcPr/>
          <w:p>
            <w:pPr>
              <w:pStyle w:val="Compact"/>
              <w:jc w:val="left"/>
            </w:pPr>
            <w:r>
              <w:t xml:space="preserve">Second Pond (Oct 2024)</w:t>
            </w:r>
          </w:p>
        </w:tc>
        <w:tc>
          <w:tcPr/>
          <w:p>
            <w:pPr>
              <w:pStyle w:val="Compact"/>
              <w:jc w:val="left"/>
            </w:pPr>
            <w:r>
              <w:t xml:space="preserve">Only Alewife in entire watershed; possible landlocked population — fishway status critical</w:t>
            </w:r>
          </w:p>
        </w:tc>
      </w:tr>
      <w:tr>
        <w:tc>
          <w:tcPr/>
          <w:p>
            <w:pPr>
              <w:pStyle w:val="Compact"/>
              <w:jc w:val="left"/>
            </w:pPr>
            <w:r>
              <w:rPr>
                <w:bCs/>
                <w:b/>
              </w:rPr>
              <w:t xml:space="preserve">Sculpin confirmed</w:t>
            </w:r>
          </w:p>
        </w:tc>
        <w:tc>
          <w:tcPr/>
          <w:p>
            <w:pPr>
              <w:pStyle w:val="Compact"/>
              <w:jc w:val="left"/>
            </w:pPr>
            <w:r>
              <w:t xml:space="preserve">Atwater Site (Jun 2025)</w:t>
            </w:r>
          </w:p>
        </w:tc>
        <w:tc>
          <w:tcPr/>
          <w:p>
            <w:pPr>
              <w:pStyle w:val="Compact"/>
              <w:jc w:val="left"/>
            </w:pPr>
            <w:r>
              <w:t xml:space="preserve">Cold benthic indicator = high-quality cold-water habitat</w:t>
            </w:r>
          </w:p>
        </w:tc>
      </w:tr>
      <w:tr>
        <w:tc>
          <w:tcPr/>
          <w:p>
            <w:pPr>
              <w:pStyle w:val="Compact"/>
              <w:jc w:val="left"/>
            </w:pPr>
            <w:r>
              <w:rPr>
                <w:bCs/>
                <w:b/>
              </w:rPr>
              <w:t xml:space="preserve">Cormorant dietary eDNA</w:t>
            </w:r>
          </w:p>
        </w:tc>
        <w:tc>
          <w:tcPr/>
          <w:p>
            <w:pPr>
              <w:pStyle w:val="Compact"/>
              <w:jc w:val="left"/>
            </w:pPr>
            <w:r>
              <w:t xml:space="preserve">Atwater Site (Jun 2025)</w:t>
            </w:r>
          </w:p>
        </w:tc>
        <w:tc>
          <w:tcPr/>
          <w:p>
            <w:pPr>
              <w:pStyle w:val="Compact"/>
              <w:jc w:val="left"/>
            </w:pPr>
            <w:r>
              <w:t xml:space="preserve">Menhaden + Xiphister prove bird fecal input — Alewife at this site = artifact, not live fish</w:t>
            </w:r>
          </w:p>
        </w:tc>
      </w:tr>
      <w:tr>
        <w:tc>
          <w:tcPr/>
          <w:p>
            <w:pPr>
              <w:pStyle w:val="Compact"/>
              <w:jc w:val="left"/>
            </w:pPr>
            <w:r>
              <w:rPr>
                <w:bCs/>
                <w:b/>
              </w:rPr>
              <w:t xml:space="preserve">Stoneworts (Charophyceae) at 35%</w:t>
            </w:r>
          </w:p>
        </w:tc>
        <w:tc>
          <w:tcPr/>
          <w:p>
            <w:pPr>
              <w:pStyle w:val="Compact"/>
              <w:jc w:val="left"/>
            </w:pPr>
            <w:r>
              <w:t xml:space="preserve">Golf Course / Sawmill Brook (Nov 2023)</w:t>
            </w:r>
          </w:p>
        </w:tc>
        <w:tc>
          <w:tcPr/>
          <w:p>
            <w:pPr>
              <w:pStyle w:val="Compact"/>
              <w:jc w:val="left"/>
            </w:pPr>
            <w:r>
              <w:t xml:space="preserve">Ca-rich groundwater signal — native vs. invasive (</w:t>
            </w:r>
            <w:r>
              <w:rPr>
                <w:iCs/>
                <w:i/>
              </w:rPr>
              <w:t xml:space="preserve">Nitellopsis obtusa</w:t>
            </w:r>
            <w:r>
              <w:t xml:space="preserve">) requires field verification</w:t>
            </w:r>
          </w:p>
        </w:tc>
      </w:tr>
      <w:tr>
        <w:tc>
          <w:tcPr/>
          <w:p>
            <w:pPr>
              <w:pStyle w:val="Compact"/>
              <w:jc w:val="left"/>
            </w:pPr>
            <w:r>
              <w:rPr>
                <w:bCs/>
                <w:b/>
              </w:rPr>
              <w:t xml:space="preserve">Tidal-freshwater algal gradient</w:t>
            </w:r>
          </w:p>
        </w:tc>
        <w:tc>
          <w:tcPr/>
          <w:p>
            <w:pPr>
              <w:pStyle w:val="Compact"/>
              <w:jc w:val="left"/>
            </w:pPr>
            <w:r>
              <w:t xml:space="preserve">School St vs. Elm St (Mar 2025)</w:t>
            </w:r>
          </w:p>
        </w:tc>
        <w:tc>
          <w:tcPr/>
          <w:p>
            <w:pPr>
              <w:pStyle w:val="Compact"/>
              <w:jc w:val="left"/>
            </w:pPr>
            <w:r>
              <w:t xml:space="preserve">Sharpest within-system contrast in dataset — marine algae below tidal limit, cold chrysophytes above</w:t>
            </w:r>
          </w:p>
        </w:tc>
      </w:tr>
      <w:tr>
        <w:tc>
          <w:tcPr/>
          <w:p>
            <w:pPr>
              <w:pStyle w:val="Compact"/>
              <w:jc w:val="left"/>
            </w:pPr>
            <w:r>
              <w:rPr>
                <w:bCs/>
                <w:b/>
              </w:rPr>
              <w:t xml:space="preserve">16-species marine assemblage</w:t>
            </w:r>
          </w:p>
        </w:tc>
        <w:tc>
          <w:tcPr/>
          <w:p>
            <w:pPr>
              <w:pStyle w:val="Compact"/>
              <w:jc w:val="left"/>
            </w:pPr>
            <w:r>
              <w:t xml:space="preserve">Proctor Point Dock (Jun 2025)</w:t>
            </w:r>
          </w:p>
        </w:tc>
        <w:tc>
          <w:tcPr/>
          <w:p>
            <w:pPr>
              <w:pStyle w:val="Compact"/>
              <w:jc w:val="left"/>
            </w:pPr>
            <w:r>
              <w:t xml:space="preserve">Richest single-sample community in dataset — Herring, Mackerel, Hickory Shad, Striped Bass</w:t>
            </w:r>
          </w:p>
        </w:tc>
      </w:tr>
    </w:tbl>
    <w:p>
      <w:r>
        <w:pict>
          <v:rect style="width:0;height:1.5pt" o:hralign="center" o:hrstd="t" o:hr="t"/>
        </w:pict>
      </w:r>
    </w:p>
    <w:bookmarkEnd w:id="25"/>
    <w:bookmarkStart w:id="26" w:name="X83788124e963ddd8f4d9b60ce8a40a2feb1f3ed"/>
    <w:p>
      <w:pPr>
        <w:pStyle w:val="Heading2"/>
      </w:pPr>
      <w:r>
        <w:t xml:space="preserve">Sentinel Species — Sawmill/Cat Brook Context</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What it signals</w:t>
            </w:r>
          </w:p>
        </w:tc>
        <w:tc>
          <w:tcPr/>
          <w:p>
            <w:pPr>
              <w:pStyle w:val="Compact"/>
              <w:jc w:val="left"/>
            </w:pPr>
            <w:r>
              <w:t xml:space="preserve">Notes</w:t>
            </w:r>
          </w:p>
        </w:tc>
      </w:tr>
      <w:tr>
        <w:tc>
          <w:tcPr/>
          <w:p>
            <w:pPr>
              <w:pStyle w:val="Compact"/>
              <w:jc w:val="left"/>
            </w:pPr>
            <w:r>
              <w:rPr>
                <w:bCs/>
                <w:b/>
              </w:rPr>
              <w:t xml:space="preserve">Brook Trout</w:t>
            </w:r>
            <w:r>
              <w:t xml:space="preserve"> </w:t>
            </w:r>
            <w:r>
              <w:t xml:space="preserve">(</w:t>
            </w:r>
            <w:r>
              <w:rPr>
                <w:iCs/>
                <w:i/>
              </w:rPr>
              <w:t xml:space="preserve">Salvelinus</w:t>
            </w:r>
            <w:r>
              <w:t xml:space="preserve"> </w:t>
            </w:r>
            <w:r>
              <w:t xml:space="preserve">spp.)</w:t>
            </w:r>
          </w:p>
        </w:tc>
        <w:tc>
          <w:tcPr/>
          <w:p>
            <w:pPr>
              <w:pStyle w:val="Compact"/>
              <w:jc w:val="left"/>
            </w:pPr>
            <w:r>
              <w:t xml:space="preserve">Cold, clean, well-oxygenated water</w:t>
            </w:r>
          </w:p>
        </w:tc>
        <w:tc>
          <w:tcPr/>
          <w:p>
            <w:pPr>
              <w:pStyle w:val="Compact"/>
              <w:jc w:val="left"/>
            </w:pPr>
            <w:r>
              <w:t xml:space="preserve">Native; primary monitoring target</w:t>
            </w:r>
          </w:p>
        </w:tc>
      </w:tr>
      <w:tr>
        <w:tc>
          <w:tcPr/>
          <w:p>
            <w:pPr>
              <w:pStyle w:val="Compact"/>
              <w:jc w:val="left"/>
            </w:pPr>
            <w:r>
              <w:rPr>
                <w:bCs/>
                <w:b/>
              </w:rPr>
              <w:t xml:space="preserve">Sculpin</w:t>
            </w:r>
            <w:r>
              <w:t xml:space="preserve"> </w:t>
            </w:r>
            <w:r>
              <w:t xml:space="preserve">(Cottidae)</w:t>
            </w:r>
          </w:p>
        </w:tc>
        <w:tc>
          <w:tcPr/>
          <w:p>
            <w:pPr>
              <w:pStyle w:val="Compact"/>
              <w:jc w:val="left"/>
            </w:pPr>
            <w:r>
              <w:t xml:space="preserve">Cold benthic habitat; structurally complex substrate</w:t>
            </w:r>
          </w:p>
        </w:tc>
        <w:tc>
          <w:tcPr/>
          <w:p>
            <w:pPr>
              <w:pStyle w:val="Compact"/>
              <w:jc w:val="left"/>
            </w:pPr>
            <w:r>
              <w:t xml:space="preserve">Same requirements as Brook Trout</w:t>
            </w:r>
          </w:p>
        </w:tc>
      </w:tr>
      <w:tr>
        <w:tc>
          <w:tcPr/>
          <w:p>
            <w:pPr>
              <w:pStyle w:val="Compact"/>
              <w:jc w:val="left"/>
            </w:pPr>
            <w:r>
              <w:rPr>
                <w:bCs/>
                <w:b/>
              </w:rPr>
              <w:t xml:space="preserve">American Eel</w:t>
            </w:r>
          </w:p>
        </w:tc>
        <w:tc>
          <w:tcPr/>
          <w:p>
            <w:pPr>
              <w:pStyle w:val="Compact"/>
              <w:jc w:val="left"/>
            </w:pPr>
            <w:r>
              <w:t xml:space="preserve">Catadromous connectivity — ocean to headwaters</w:t>
            </w:r>
          </w:p>
        </w:tc>
        <w:tc>
          <w:tcPr/>
          <w:p>
            <w:pPr>
              <w:pStyle w:val="Compact"/>
              <w:jc w:val="left"/>
            </w:pPr>
            <w:r>
              <w:t xml:space="preserve">Wide tolerance; confirms no impassable barriers</w:t>
            </w:r>
          </w:p>
        </w:tc>
      </w:tr>
      <w:tr>
        <w:tc>
          <w:tcPr/>
          <w:p>
            <w:pPr>
              <w:pStyle w:val="Compact"/>
              <w:jc w:val="left"/>
            </w:pPr>
            <w:r>
              <w:rPr>
                <w:bCs/>
                <w:b/>
              </w:rPr>
              <w:t xml:space="preserve">Mummichog</w:t>
            </w:r>
          </w:p>
        </w:tc>
        <w:tc>
          <w:tcPr/>
          <w:p>
            <w:pPr>
              <w:pStyle w:val="Compact"/>
              <w:jc w:val="left"/>
            </w:pPr>
            <w:r>
              <w:t xml:space="preserve">Tidal/estuarine influence</w:t>
            </w:r>
          </w:p>
        </w:tc>
        <w:tc>
          <w:tcPr/>
          <w:p>
            <w:pPr>
              <w:pStyle w:val="Compact"/>
              <w:jc w:val="left"/>
            </w:pPr>
            <w:r>
              <w:t xml:space="preserve">Marks tidal penetration limit</w:t>
            </w:r>
          </w:p>
        </w:tc>
      </w:tr>
      <w:tr>
        <w:tc>
          <w:tcPr/>
          <w:p>
            <w:pPr>
              <w:pStyle w:val="Compact"/>
              <w:jc w:val="left"/>
            </w:pPr>
            <w:r>
              <w:rPr>
                <w:bCs/>
                <w:b/>
              </w:rPr>
              <w:t xml:space="preserve">Fourspine Stickleback</w:t>
            </w:r>
          </w:p>
        </w:tc>
        <w:tc>
          <w:tcPr/>
          <w:p>
            <w:pPr>
              <w:pStyle w:val="Compact"/>
              <w:jc w:val="left"/>
            </w:pPr>
            <w:r>
              <w:t xml:space="preserve">Brackish-water; tidal transition</w:t>
            </w:r>
          </w:p>
        </w:tc>
        <w:tc>
          <w:tcPr/>
          <w:p>
            <w:pPr>
              <w:pStyle w:val="Compact"/>
              <w:jc w:val="left"/>
            </w:pPr>
            <w:r>
              <w:t xml:space="preserve">Confirms estuarine zone</w:t>
            </w:r>
          </w:p>
        </w:tc>
      </w:tr>
      <w:tr>
        <w:tc>
          <w:tcPr/>
          <w:p>
            <w:pPr>
              <w:pStyle w:val="Compact"/>
              <w:jc w:val="left"/>
            </w:pPr>
            <w:r>
              <w:rPr>
                <w:bCs/>
                <w:b/>
              </w:rPr>
              <w:t xml:space="preserve">Golden Shiner</w:t>
            </w:r>
            <w:r>
              <w:t xml:space="preserve"> </w:t>
            </w:r>
            <w:r>
              <w:t xml:space="preserve">(dominant)</w:t>
            </w:r>
          </w:p>
        </w:tc>
        <w:tc>
          <w:tcPr/>
          <w:p>
            <w:pPr>
              <w:pStyle w:val="Compact"/>
              <w:jc w:val="left"/>
            </w:pPr>
            <w:r>
              <w:t xml:space="preserve">Slow warm water; may be from upstream pond</w:t>
            </w:r>
          </w:p>
        </w:tc>
        <w:tc>
          <w:tcPr/>
          <w:p>
            <w:pPr>
              <w:pStyle w:val="Compact"/>
              <w:jc w:val="left"/>
            </w:pPr>
            <w:r>
              <w:t xml:space="preserve">Common in lentic/semi-lentic reaches</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t xml:space="preserve">Native pickerel likely; Northern Pike possible but unconfirmed</w:t>
            </w:r>
          </w:p>
        </w:tc>
        <w:tc>
          <w:tcPr/>
          <w:p>
            <w:pPr>
              <w:pStyle w:val="Compact"/>
              <w:jc w:val="left"/>
            </w:pPr>
            <w:r>
              <w:t xml:space="preserve">Database anomaly — verify by electrofishing</w:t>
            </w:r>
          </w:p>
        </w:tc>
      </w:tr>
      <w:tr>
        <w:tc>
          <w:tcPr/>
          <w:p>
            <w:pPr>
              <w:pStyle w:val="Compact"/>
              <w:jc w:val="left"/>
            </w:pPr>
            <w:r>
              <w:rPr>
                <w:bCs/>
                <w:b/>
              </w:rPr>
              <w:t xml:space="preserve">Alewife</w:t>
            </w:r>
          </w:p>
        </w:tc>
        <w:tc>
          <w:tcPr/>
          <w:p>
            <w:pPr>
              <w:pStyle w:val="Compact"/>
              <w:jc w:val="left"/>
            </w:pPr>
            <w:r>
              <w:t xml:space="preserve">Anadromous connectivity; landlocked if no downstream signal</w:t>
            </w:r>
          </w:p>
        </w:tc>
        <w:tc>
          <w:tcPr/>
          <w:p>
            <w:pPr>
              <w:pStyle w:val="Compact"/>
              <w:jc w:val="left"/>
            </w:pPr>
            <w:r>
              <w:t xml:space="preserve">Only at Second Pond — fishway investigation required</w:t>
            </w:r>
          </w:p>
        </w:tc>
      </w:tr>
      <w:tr>
        <w:tc>
          <w:tcPr/>
          <w:p>
            <w:pPr>
              <w:pStyle w:val="Compact"/>
              <w:jc w:val="left"/>
            </w:pPr>
            <w:r>
              <w:rPr>
                <w:iCs/>
                <w:i/>
                <w:bCs/>
                <w:b/>
              </w:rPr>
              <w:t xml:space="preserve">Synura</w:t>
            </w:r>
            <w:r>
              <w:rPr>
                <w:bCs/>
                <w:b/>
              </w:rPr>
              <w:t xml:space="preserve"> </w:t>
            </w:r>
            <w:r>
              <w:rPr>
                <w:bCs/>
                <w:b/>
              </w:rPr>
              <w:t xml:space="preserve">/ Chrysophytes</w:t>
            </w:r>
          </w:p>
        </w:tc>
        <w:tc>
          <w:tcPr/>
          <w:p>
            <w:pPr>
              <w:pStyle w:val="Compact"/>
              <w:jc w:val="left"/>
            </w:pPr>
            <w:r>
              <w:t xml:space="preserve">Cold, clean, phosphorus-limited soft water</w:t>
            </w:r>
          </w:p>
        </w:tc>
        <w:tc>
          <w:tcPr/>
          <w:p>
            <w:pPr>
              <w:pStyle w:val="Compact"/>
              <w:jc w:val="left"/>
            </w:pPr>
            <w:r>
              <w:t xml:space="preserve">Indicates high-quality coldwater headwater conditions</w:t>
            </w:r>
          </w:p>
        </w:tc>
      </w:tr>
      <w:tr>
        <w:tc>
          <w:tcPr/>
          <w:p>
            <w:pPr>
              <w:pStyle w:val="Compact"/>
              <w:jc w:val="left"/>
            </w:pPr>
            <w:r>
              <w:rPr>
                <w:bCs/>
                <w:b/>
              </w:rPr>
              <w:t xml:space="preserve">Charophytes (Stoneworts)</w:t>
            </w:r>
          </w:p>
        </w:tc>
        <w:tc>
          <w:tcPr/>
          <w:p>
            <w:pPr>
              <w:pStyle w:val="Compact"/>
              <w:jc w:val="left"/>
            </w:pPr>
            <w:r>
              <w:t xml:space="preserve">Calcium-rich, clear, low-turbidity groundwater input</w:t>
            </w:r>
          </w:p>
        </w:tc>
        <w:tc>
          <w:tcPr/>
          <w:p>
            <w:pPr>
              <w:pStyle w:val="Compact"/>
              <w:jc w:val="left"/>
            </w:pPr>
            <w:r>
              <w:t xml:space="preserve">Cannot distinguish native</w:t>
            </w:r>
            <w:r>
              <w:t xml:space="preserve"> </w:t>
            </w:r>
            <w:r>
              <w:rPr>
                <w:iCs/>
                <w:i/>
              </w:rPr>
              <w:t xml:space="preserve">Chara/Nitella</w:t>
            </w:r>
            <w:r>
              <w:t xml:space="preserve"> </w:t>
            </w:r>
            <w:r>
              <w:t xml:space="preserve">from invasive</w:t>
            </w:r>
            <w:r>
              <w:t xml:space="preserve"> </w:t>
            </w:r>
            <w:r>
              <w:rPr>
                <w:iCs/>
                <w:i/>
              </w:rPr>
              <w:t xml:space="preserve">Nitellopsis</w:t>
            </w:r>
            <w:r>
              <w:t xml:space="preserve"> </w:t>
            </w:r>
            <w:r>
              <w:t xml:space="preserve">without field ID</w:t>
            </w:r>
          </w:p>
        </w:tc>
      </w:tr>
      <w:tr>
        <w:tc>
          <w:tcPr/>
          <w:p>
            <w:pPr>
              <w:pStyle w:val="Compact"/>
              <w:jc w:val="left"/>
            </w:pPr>
            <w:r>
              <w:rPr>
                <w:bCs/>
                <w:b/>
              </w:rPr>
              <w:t xml:space="preserve">Marine estuarine diatoms</w:t>
            </w:r>
          </w:p>
        </w:tc>
        <w:tc>
          <w:tcPr/>
          <w:p>
            <w:pPr>
              <w:pStyle w:val="Compact"/>
              <w:jc w:val="left"/>
            </w:pPr>
            <w:r>
              <w:t xml:space="preserve">Tidal penetration</w:t>
            </w:r>
          </w:p>
        </w:tc>
        <w:tc>
          <w:tcPr/>
          <w:p>
            <w:pPr>
              <w:pStyle w:val="Compact"/>
              <w:jc w:val="left"/>
            </w:pPr>
            <w:r>
              <w:t xml:space="preserve">At School St = normal; further upstream = anomalous</w:t>
            </w:r>
          </w:p>
        </w:tc>
      </w:tr>
    </w:tbl>
    <w:p>
      <w:r>
        <w:pict>
          <v:rect style="width:0;height:1.5pt" o:hralign="center" o:hrstd="t" o:hr="t"/>
        </w:pict>
      </w:r>
    </w:p>
    <w:p>
      <w:r>
        <w:pict>
          <v:rect style="width:0;height:1.5pt" o:hralign="center" o:hrstd="t" o:hr="t"/>
        </w:pict>
      </w:r>
    </w:p>
    <w:bookmarkEnd w:id="26"/>
    <w:bookmarkEnd w:id="27"/>
    <w:bookmarkStart w:id="105"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draining southwest into Manchester Harbor. The Manchester-by-the-Sea Brook Trout monitoring program (MBTS) tracks ecological recovery of a historically impacted suburban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iCs/>
          <w:i/>
          <w:bCs/>
          <w:b/>
        </w:rPr>
        <w:t xml:space="preserve">Esox</w:t>
      </w:r>
      <w:r>
        <w:rPr>
          <w:bCs/>
          <w:b/>
        </w:rPr>
        <w:t xml:space="preserve"> </w:t>
      </w:r>
      <w:r>
        <w:rPr>
          <w:bCs/>
          <w:b/>
        </w:rPr>
        <w:t xml:space="preserve">spp. (database:</w:t>
      </w:r>
      <w:r>
        <w:rPr>
          <w:bCs/>
          <w:b/>
        </w:rPr>
        <w:t xml:space="preserve"> </w:t>
      </w:r>
      <w:r>
        <w:rPr>
          <w:iCs/>
          <w:i/>
          <w:bCs/>
          <w:b/>
        </w:rPr>
        <w:t xml:space="preserve">Esox lucius</w:t>
      </w:r>
      <w:r>
        <w:rPr>
          <w:bCs/>
          <w:b/>
        </w:rPr>
        <w:t xml:space="preserve">) detected at Second Pond (October 2024) — QC flag: likely native Chain or Redfin Pickerel; MiFish 12S cannot reliably distinguish</w:t>
      </w:r>
      <w:r>
        <w:rPr>
          <w:bCs/>
          <w:b/>
        </w:rPr>
        <w:t xml:space="preserve"> </w:t>
      </w:r>
      <w:r>
        <w:rPr>
          <w:iCs/>
          <w:i/>
          <w:bCs/>
          <w:b/>
        </w:rPr>
        <w:t xml:space="preserve">Esox lucius</w:t>
      </w:r>
      <w:r>
        <w:rPr>
          <w:bCs/>
          <w:b/>
        </w:rPr>
        <w:t xml:space="preserve"> </w:t>
      </w:r>
      <w:r>
        <w:rPr>
          <w:bCs/>
          <w:b/>
        </w:rPr>
        <w:t xml:space="preserve">from native pickerel. Verify by electrofishing before reporting as illegal stocking.</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32" w:name="upper-sawmill-jvb5776-cvvu52a9.1"/>
    <w:p>
      <w:pPr>
        <w:pStyle w:val="Heading2"/>
      </w:pPr>
      <w:r>
        <w:t xml:space="preserve">Upper Sawmill | JVB5776 / CVVU52A9.1</w:t>
      </w:r>
    </w:p>
    <w:p>
      <w:pPr>
        <w:pStyle w:val="FirstParagraph"/>
      </w:pPr>
      <w:r>
        <w:rPr>
          <w:bCs/>
          <w:b/>
        </w:rPr>
        <w:t xml:space="preserve">Fish: 5 species, H(f) = 0.87 | Algae: 151 ESVs, H(a) = 4.20 | Date: unknown</w:t>
      </w:r>
    </w:p>
    <w:bookmarkStart w:id="28" w:name="sentinel-signal"/>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H(f) reflects habitat type, not stress.</w:t>
      </w:r>
    </w:p>
    <w:bookmarkEnd w:id="28"/>
    <w:bookmarkStart w:id="29"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29"/>
    <w:bookmarkStart w:id="30" w:name="narrative"/>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H(f) = 0.87 reflects the naturally limited fish diversity of a small pond, not chemical impairment.</w:t>
      </w:r>
    </w:p>
    <w:p>
      <w:pPr>
        <w:pStyle w:val="BodyText"/>
      </w:pPr>
      <w:r>
        <w:t xml:space="preserve">The algal community is ecologically informative: H(a) =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30"/>
    <w:bookmarkStart w:id="31" w:name="native-vs.-non-native"/>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bookmarkEnd w:id="31"/>
    <w:bookmarkEnd w:id="32"/>
    <w:bookmarkStart w:id="37" w:name="below-school-st-jvb5776-cdwd42kp.1"/>
    <w:p>
      <w:pPr>
        <w:pStyle w:val="Heading2"/>
      </w:pPr>
      <w:r>
        <w:t xml:space="preserve">Below School St | JVB5776 / CDWD42KP.1</w:t>
      </w:r>
    </w:p>
    <w:p>
      <w:pPr>
        <w:pStyle w:val="FirstParagraph"/>
      </w:pPr>
      <w:r>
        <w:rPr>
          <w:bCs/>
          <w:b/>
        </w:rPr>
        <w:t xml:space="preserve">Fish: 9 species, H(f) = 1.40 | Algae: 178 ESVs, H(a) = 4.43 (second highest in dataset)</w:t>
      </w:r>
    </w:p>
    <w:bookmarkStart w:id="33" w:name="sentinel-signal-1"/>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33"/>
    <w:bookmarkStart w:id="34"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34"/>
    <w:bookmarkStart w:id="35" w:name="narrative-1"/>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H(a)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35"/>
    <w:bookmarkStart w:id="36" w:name="native-vs.-non-native-1"/>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This is what a healthy coastal tidal reach looks like in late November.</w:t>
      </w:r>
    </w:p>
    <w:p>
      <w:r>
        <w:pict>
          <v:rect style="width:0;height:1.5pt" o:hralign="center" o:hrstd="t" o:hr="t"/>
        </w:pict>
      </w:r>
    </w:p>
    <w:bookmarkEnd w:id="36"/>
    <w:bookmarkEnd w:id="37"/>
    <w:bookmarkStart w:id="42" w:name="X055f5458b6a71e4fc612ad09de4d1b4dce39fce"/>
    <w:p>
      <w:pPr>
        <w:pStyle w:val="Heading2"/>
      </w:pPr>
      <w:r>
        <w:t xml:space="preserve">Lower Golf Course / Sawmill Brook | JVB5776 / C4SUMTFY.1</w:t>
      </w:r>
    </w:p>
    <w:p>
      <w:pPr>
        <w:pStyle w:val="FirstParagraph"/>
      </w:pPr>
      <w:r>
        <w:rPr>
          <w:bCs/>
          <w:b/>
        </w:rPr>
        <w:t xml:space="preserve">Fish: 9 species, H(f) = 1.62 | Algae: 140 ESVs, H(a) = 3.57</w:t>
      </w:r>
    </w:p>
    <w:bookmarkStart w:id="38" w:name="sentinel-signal-2"/>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38"/>
    <w:bookmarkStart w:id="39"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39"/>
    <w:bookmarkStart w:id="40" w:name="narrative-2"/>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H(f) =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01"/>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01"/>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01"/>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01"/>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01"/>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Critical caveat — invasive species risk.</w:t>
      </w:r>
      <w:r>
        <w:t xml:space="preserve"> </w:t>
      </w:r>
      <w:r>
        <w:t xml:space="preserve">The 23S rRNA data resolved this signal to class (Charophyceae) but not to genus. Native</w:t>
      </w:r>
      <w:r>
        <w:t xml:space="preserve"> </w:t>
      </w:r>
      <w:r>
        <w:rPr>
          <w:iCs/>
          <w:i/>
        </w:rPr>
        <w:t xml:space="preserve">Chara</w:t>
      </w:r>
      <w:r>
        <w:t xml:space="preserve"> </w:t>
      </w:r>
      <w:r>
        <w:t xml:space="preserve">and</w:t>
      </w:r>
      <w:r>
        <w:t xml:space="preserve"> </w:t>
      </w:r>
      <w:r>
        <w:rPr>
          <w:iCs/>
          <w:i/>
        </w:rPr>
        <w:t xml:space="preserve">Nitella</w:t>
      </w:r>
      <w:r>
        <w:t xml:space="preserve"> </w:t>
      </w:r>
      <w:r>
        <w:t xml:space="preserve">— clean-water indicators — and</w:t>
      </w:r>
      <w:r>
        <w:t xml:space="preserve"> </w:t>
      </w:r>
      <w:r>
        <w:rPr>
          <w:bCs/>
          <w:b/>
        </w:rPr>
        <w:t xml:space="preserve">Starry Stonewort (</w:t>
      </w:r>
      <w:r>
        <w:rPr>
          <w:iCs/>
          <w:i/>
          <w:bCs/>
          <w:b/>
        </w:rPr>
        <w:t xml:space="preserve">Nitellopsis obtusa</w:t>
      </w:r>
      <w:r>
        <w:rPr>
          <w:bCs/>
          <w:b/>
        </w:rPr>
        <w:t xml:space="preserve">)</w:t>
      </w:r>
      <w:r>
        <w:t xml:space="preserve"> </w:t>
      </w:r>
      <w:r>
        <w:t xml:space="preserve">— an invasive charophyte spreading rapidly through the northeastern US from Great Lakes origin — are</w:t>
      </w:r>
      <w:r>
        <w:t xml:space="preserve"> </w:t>
      </w:r>
      <w:r>
        <w:rPr>
          <w:bCs/>
          <w:b/>
        </w:rPr>
        <w:t xml:space="preserve">both Charophyceae and cannot be distinguished in this dataset</w:t>
      </w:r>
      <w: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w:t>
      </w:r>
      <w:r>
        <w:t xml:space="preserve"> </w:t>
      </w:r>
      <w:r>
        <w:rPr>
          <w:bCs/>
          <w:b/>
        </w:rPr>
        <w:t xml:space="preserve">In-situ morphological identification or targeted species-specific PCR is required before this signal can be confidently interpreted as native or invasive.</w:t>
      </w:r>
      <w:r>
        <w:t xml:space="preserve"> </w:t>
      </w:r>
      <w:r>
        <w:t xml:space="preserve">This is not a minor footnote — if</w:t>
      </w:r>
      <w:r>
        <w:t xml:space="preserve"> </w:t>
      </w:r>
      <w:r>
        <w:rPr>
          <w:iCs/>
          <w:i/>
        </w:rPr>
        <w:t xml:space="preserve">Nitellopsis obtusa</w:t>
      </w:r>
      <w:r>
        <w:t xml:space="preserve"> </w:t>
      </w:r>
      <w:r>
        <w:t xml:space="preserve">is established here, it is a management priority, not a positive indicator.</w:t>
      </w:r>
    </w:p>
    <w:bookmarkEnd w:id="40"/>
    <w:bookmarkStart w:id="41" w:name="native-vs.-non-native-2"/>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41"/>
    <w:bookmarkEnd w:id="42"/>
    <w:bookmarkStart w:id="43"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bookmarkEnd w:id="43"/>
    <w:bookmarkStart w:id="60" w:name="X5b8f638f8cf74c8533972122a274082540184d9"/>
    <w:p>
      <w:pPr>
        <w:pStyle w:val="Heading2"/>
      </w:pPr>
      <w:r>
        <w:t xml:space="preserve">Sawmill Brook — Three Sites (Manchester-by-the-Sea, MA)</w:t>
      </w:r>
    </w:p>
    <w:bookmarkStart w:id="44" w:name="X154b2650e2b2d38ffa6d8c3a28b28270ed6c1da"/>
    <w:p>
      <w:pPr>
        <w:pStyle w:val="Heading3"/>
      </w:pPr>
      <w:r>
        <w:t xml:space="preserve">August 28, 2024 · Below School St · Fire Station · Sawmill Swamp</w:t>
      </w:r>
    </w:p>
    <w:p>
      <w:pPr>
        <w:pStyle w:val="FirstParagraph"/>
      </w:pPr>
      <w:r>
        <w:rPr>
          <w:bCs/>
          <w:b/>
        </w:rPr>
        <w:t xml:space="preserve">Note:</w:t>
      </w:r>
      <w:r>
        <w:t xml:space="preserve"> </w:t>
      </w:r>
      <w:r>
        <w:t xml:space="preserve">Sawmill Brook is in Manchester-by-the-Sea on the North Shore — not Cape Cod. Three sites provide a longitudinal transect: Sawmill Swamp (headwaters, cold groundwater source) → Below School St (mid-reach) → Fire Station (tidal limit).</w:t>
      </w:r>
    </w:p>
    <w:p>
      <w:r>
        <w:pict>
          <v:rect style="width:0;height:1.5pt" o:hralign="center" o:hrstd="t" o:hr="t"/>
        </w:pict>
      </w:r>
    </w:p>
    <w:bookmarkEnd w:id="44"/>
    <w:bookmarkStart w:id="50"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H(f) = 0.65 · 5 species |</w:t>
      </w:r>
      <w:r>
        <w:t xml:space="preserve"> </w:t>
      </w:r>
      <w:r>
        <w:rPr>
          <w:bCs/>
          <w:b/>
        </w:rPr>
        <w:t xml:space="preserve">Algae:</w:t>
      </w:r>
      <w:r>
        <w:t xml:space="preserve"> </w:t>
      </w:r>
      <w:r>
        <w:t xml:space="preserve">H(a) = 4.24 · 4,259 reads</w:t>
      </w:r>
    </w:p>
    <w:bookmarkStart w:id="45" w:name="sentinel-signal-3"/>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45"/>
    <w:bookmarkStart w:id="46" w:name="inferred-water-chemistry-3"/>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46"/>
    <w:bookmarkStart w:id="47" w:name="narrative-3"/>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(H(a)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47"/>
    <w:bookmarkStart w:id="48" w:name="algal-community"/>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H(a) = 4.24.</w:t>
      </w:r>
    </w:p>
    <w:bookmarkEnd w:id="48"/>
    <w:bookmarkStart w:id="49" w:name="native-vs.-non-native-3"/>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49"/>
    <w:bookmarkEnd w:id="50"/>
    <w:bookmarkStart w:id="55"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H(f) = 1.05 · 8 species |</w:t>
      </w:r>
      <w:r>
        <w:t xml:space="preserve"> </w:t>
      </w:r>
      <w:r>
        <w:rPr>
          <w:bCs/>
          <w:b/>
        </w:rPr>
        <w:t xml:space="preserve">Algae:</w:t>
      </w:r>
      <w:r>
        <w:t xml:space="preserve"> </w:t>
      </w:r>
      <w:r>
        <w:t xml:space="preserve">H(a) =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51" w:name="sentinel-signal-4"/>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51"/>
    <w:bookmarkStart w:id="52" w:name="inferred-water-chemistry-4"/>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52"/>
    <w:bookmarkStart w:id="53" w:name="narrative-4"/>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53"/>
    <w:bookmarkStart w:id="54" w:name="native-vs.-non-native-4"/>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54"/>
    <w:bookmarkEnd w:id="55"/>
    <w:bookmarkStart w:id="59"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H(f) = 0.23 · 7 species |</w:t>
      </w:r>
      <w:r>
        <w:t xml:space="preserve"> </w:t>
      </w:r>
      <w:r>
        <w:rPr>
          <w:bCs/>
          <w:b/>
        </w:rPr>
        <w:t xml:space="preserve">Algae:</w:t>
      </w:r>
      <w:r>
        <w:t xml:space="preserve"> </w:t>
      </w:r>
      <w:r>
        <w:t xml:space="preserve">H(a) = 2.93 · 6,555 reads</w:t>
      </w:r>
    </w:p>
    <w:bookmarkStart w:id="56" w:name="sentinel-signal-5"/>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56"/>
    <w:bookmarkStart w:id="57" w:name="narrative-5"/>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57"/>
    <w:bookmarkStart w:id="58" w:name="native-vs.-non-native-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bookmarkEnd w:id="58"/>
    <w:bookmarkEnd w:id="59"/>
    <w:bookmarkEnd w:id="60"/>
    <w:bookmarkStart w:id="66"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H(f) = 1.27 · 5 species |</w:t>
      </w:r>
      <w:r>
        <w:t xml:space="preserve"> </w:t>
      </w:r>
      <w:r>
        <w:rPr>
          <w:bCs/>
          <w:b/>
        </w:rPr>
        <w:t xml:space="preserve">Algae:</w:t>
      </w:r>
      <w:r>
        <w:t xml:space="preserve"> </w:t>
      </w:r>
      <w:r>
        <w:t xml:space="preserve">H(a) = 4.36 · 34,673 reads</w:t>
      </w:r>
    </w:p>
    <w:bookmarkStart w:id="61" w:name="sentinel-signal-6"/>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61"/>
    <w:bookmarkStart w:id="62"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62"/>
    <w:bookmarkStart w:id="63" w:name="narrative-6"/>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02"/>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02"/>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02"/>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63"/>
    <w:bookmarkStart w:id="64"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64"/>
    <w:bookmarkStart w:id="65" w:name="native-vs.-non-native-6"/>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65"/>
    <w:bookmarkEnd w:id="66"/>
    <w:bookmarkStart w:id="73"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H(f) = 1.23 · 5 species · 9,311 reads ·</w:t>
      </w:r>
      <w:r>
        <w:t xml:space="preserve"> </w:t>
      </w:r>
      <w:r>
        <w:rPr>
          <w:iCs/>
          <w:i/>
          <w:bCs/>
          <w:b/>
        </w:rPr>
        <w:t xml:space="preserve">Esox</w:t>
      </w:r>
      <w:r>
        <w:rPr>
          <w:bCs/>
          <w:b/>
        </w:rPr>
        <w:t xml:space="preserve"> </w:t>
      </w:r>
      <w:r>
        <w:rPr>
          <w:bCs/>
          <w:b/>
        </w:rPr>
        <w:t xml:space="preserve">spp. detected (db:</w:t>
      </w:r>
      <w:r>
        <w:rPr>
          <w:bCs/>
          <w:b/>
        </w:rPr>
        <w:t xml:space="preserve"> </w:t>
      </w:r>
      <w:r>
        <w:rPr>
          <w:iCs/>
          <w:i/>
          <w:bCs/>
          <w:b/>
        </w:rPr>
        <w:t xml:space="preserve">Esox lucius</w:t>
      </w:r>
      <w:r>
        <w:rPr>
          <w:bCs/>
          <w:b/>
        </w:rPr>
        <w:t xml:space="preserve"> </w:t>
      </w:r>
      <w:r>
        <w:rPr>
          <w:bCs/>
          <w:b/>
        </w:rPr>
        <w:t xml:space="preserve">— likely native pickerel; QC flag)</w:t>
      </w:r>
      <w:r>
        <w:t xml:space="preserve"> </w:t>
      </w:r>
      <w:r>
        <w:rPr>
          <w:bCs/>
          <w:b/>
        </w:rPr>
        <w:t xml:space="preserve">Algae:</w:t>
      </w:r>
      <w:r>
        <w:t xml:space="preserve"> </w:t>
      </w:r>
      <w:r>
        <w:t xml:space="preserve">H(a) = 1.72 · 11 ESVs · 19,939 reads</w:t>
      </w:r>
    </w:p>
    <w:bookmarkStart w:id="67" w:name="sentinel-signal-7"/>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iCs/>
          <w:i/>
          <w:bCs/>
          <w:b/>
        </w:rPr>
        <w:t xml:space="preserve">Esox</w:t>
      </w:r>
      <w:r>
        <w:rPr>
          <w:bCs/>
          <w:b/>
        </w:rPr>
        <w:t xml:space="preserve"> </w:t>
      </w:r>
      <w:r>
        <w:rPr>
          <w:bCs/>
          <w:b/>
        </w:rPr>
        <w:t xml:space="preserve">spp. (database assignment:</w:t>
      </w:r>
      <w:r>
        <w:rPr>
          <w:bCs/>
          <w:b/>
        </w:rPr>
        <w:t xml:space="preserve"> </w:t>
      </w:r>
      <w:r>
        <w:rPr>
          <w:iCs/>
          <w:i/>
          <w:bCs/>
          <w:b/>
        </w:rPr>
        <w:t xml:space="preserve">Esox lucius</w:t>
      </w:r>
      <w:r>
        <w:rPr>
          <w:bCs/>
          <w:b/>
        </w:rPr>
        <w:t xml:space="preserve">) detected at 1.5% — species-level call considered anomalous; see fish community QC note.</w:t>
      </w:r>
    </w:p>
    <w:bookmarkEnd w:id="67"/>
    <w:bookmarkStart w:id="68"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May be database artifact for a freshwater taxon</w:t>
            </w:r>
          </w:p>
        </w:tc>
      </w:tr>
    </w:tbl>
    <w:bookmarkEnd w:id="68"/>
    <w:bookmarkStart w:id="69"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(db:</w:t>
            </w:r>
            <w:r>
              <w:t xml:space="preserve"> </w:t>
            </w:r>
            <w:r>
              <w:rPr>
                <w:iCs/>
                <w:i/>
              </w:rPr>
              <w:t xml:space="preserve">Esox lucius</w:t>
            </w:r>
            <w:r>
              <w:t xml:space="preserve">)</w:t>
            </w:r>
          </w:p>
        </w:tc>
        <w:tc>
          <w:tcPr/>
          <w:p>
            <w:pPr>
              <w:pStyle w:val="Compact"/>
              <w:jc w:val="left"/>
            </w:pPr>
            <w:r>
              <w:rPr>
                <w:bCs/>
                <w:b/>
              </w:rPr>
              <w:t xml:space="preserve">1.5%</w:t>
            </w:r>
          </w:p>
        </w:tc>
        <w:tc>
          <w:tcPr/>
          <w:p>
            <w:pPr>
              <w:pStyle w:val="Compact"/>
              <w:jc w:val="left"/>
            </w:pPr>
            <w:r>
              <w:rPr>
                <w:bCs/>
                <w:b/>
              </w:rPr>
              <w:t xml:space="preserve">QC flag — likely Chain or Redfin Pickerel (native);</w:t>
            </w:r>
            <w:r>
              <w:rPr>
                <w:bCs/>
                <w:b/>
              </w:rPr>
              <w:t xml:space="preserve"> </w:t>
            </w:r>
            <w:r>
              <w:rPr>
                <w:iCs/>
                <w:i/>
                <w:bCs/>
                <w:b/>
              </w:rPr>
              <w:t xml:space="preserve">Esox lucius</w:t>
            </w:r>
            <w:r>
              <w:rPr>
                <w:bCs/>
                <w:b/>
              </w:rPr>
              <w:t xml:space="preserve"> </w:t>
            </w:r>
            <w:r>
              <w:rPr>
                <w:bCs/>
                <w:b/>
              </w:rPr>
              <w:t xml:space="preserve">assignment anomalous for this habitat; verify by electrofishing before reporting</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69"/>
    <w:bookmarkStart w:id="70" w:name="algal-community-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70"/>
    <w:bookmarkStart w:id="71" w:name="narrative-7"/>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 The</w:t>
      </w:r>
      <w:r>
        <w:t xml:space="preserve"> </w:t>
      </w:r>
      <w:r>
        <w:rPr>
          <w:iCs/>
          <w:i/>
        </w:rPr>
        <w:t xml:space="preserve">Esox</w:t>
      </w:r>
      <w:r>
        <w:t xml:space="preserve"> </w:t>
      </w:r>
      <w:r>
        <w:t xml:space="preserve">spp. detection (1.5%, database-assigned to</w:t>
      </w:r>
      <w:r>
        <w:t xml:space="preserve"> </w:t>
      </w:r>
      <w:r>
        <w:rPr>
          <w:iCs/>
          <w:i/>
        </w:rPr>
        <w:t xml:space="preserve">Esox lucius</w:t>
      </w:r>
      <w:r>
        <w:t xml:space="preserve">) is treated as a QC flag — MiFish 12S resolution within the</w:t>
      </w:r>
      <w:r>
        <w:t xml:space="preserve"> </w:t>
      </w:r>
      <w:r>
        <w:rPr>
          <w:iCs/>
          <w:i/>
        </w:rPr>
        <w:t xml:space="preserve">Esox</w:t>
      </w:r>
      <w:r>
        <w:t xml:space="preserve"> </w:t>
      </w:r>
      <w:r>
        <w:t xml:space="preserve">genus does not reliably distinguish Northern Pike from Chain Pickerel (</w:t>
      </w:r>
      <w:r>
        <w:rPr>
          <w:iCs/>
          <w:i/>
        </w:rPr>
        <w:t xml:space="preserve">Esox niger</w:t>
      </w:r>
      <w:r>
        <w:t xml:space="preserve">) or Redfin Pickerel (</w:t>
      </w:r>
      <w:r>
        <w:rPr>
          <w:iCs/>
          <w:i/>
        </w:rPr>
        <w:t xml:space="preserve">Esox americanus</w:t>
      </w:r>
      <w:r>
        <w:t xml:space="preserve">), both of which are native to coastal Massachusetts pond systems. The species-level assignment to</w:t>
      </w:r>
      <w:r>
        <w:t xml:space="preserve"> </w:t>
      </w:r>
      <w:r>
        <w:rPr>
          <w:iCs/>
          <w:i/>
        </w:rPr>
        <w:t xml:space="preserve">Esox lucius</w:t>
      </w:r>
      <w:r>
        <w:t xml:space="preserve"> </w:t>
      </w:r>
      <w:r>
        <w:t xml:space="preserve">(Northern Pike) is anomalous for this habitat and should not be acted upon without verification by electrofishing or species-specific PCR.</w:t>
      </w:r>
    </w:p>
    <w:bookmarkEnd w:id="71"/>
    <w:bookmarkStart w:id="72" w:name="native-vs.-non-native-7"/>
    <w:p>
      <w:pPr>
        <w:pStyle w:val="Heading3"/>
      </w:pPr>
      <w:r>
        <w:t xml:space="preserve">Native vs. Non-Native</w:t>
      </w:r>
    </w:p>
    <w:p>
      <w:pPr>
        <w:pStyle w:val="FirstParagraph"/>
      </w:pPr>
      <w:r>
        <w:t xml:space="preserve">Alewife, Tessellated Darter, Eel are native. Rock Bass is native to the Great Lakes drainage but introduced to coastal MA.</w:t>
      </w:r>
      <w:r>
        <w:t xml:space="preserve"> </w:t>
      </w:r>
      <w:r>
        <w:rPr>
          <w:iCs/>
          <w:i/>
        </w:rPr>
        <w:t xml:space="preserve">Esox</w:t>
      </w:r>
      <w:r>
        <w:t xml:space="preserve"> </w:t>
      </w:r>
      <w:r>
        <w:t xml:space="preserve">spp. — likely native pickerel (Chain or Redfin); Northern Pike (</w:t>
      </w:r>
      <w:r>
        <w:rPr>
          <w:iCs/>
          <w:i/>
        </w:rPr>
        <w:t xml:space="preserve">Esox lucius</w:t>
      </w:r>
      <w:r>
        <w:t xml:space="preserve">) cannot be confirmed from this barcode alone. Do not report as non-native without electrofishing verification.</w:t>
      </w:r>
    </w:p>
    <w:p>
      <w:r>
        <w:pict>
          <v:rect style="width:0;height:1.5pt" o:hralign="center" o:hrstd="t" o:hr="t"/>
        </w:pict>
      </w:r>
    </w:p>
    <w:bookmarkEnd w:id="72"/>
    <w:bookmarkEnd w:id="73"/>
    <w:bookmarkStart w:id="80"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H(a) = 1.11 · 12 ESVs · 22,394 reads ·</w:t>
      </w:r>
      <w:r>
        <w:t xml:space="preserve"> </w:t>
      </w:r>
      <w:r>
        <w:rPr>
          <w:bCs/>
          <w:b/>
        </w:rPr>
        <w:t xml:space="preserve">Tidal reach — marine/estuarine assemblage</w:t>
      </w:r>
    </w:p>
    <w:bookmarkStart w:id="74" w:name="sentinel-signal-8"/>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H(a) (1.11)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74"/>
    <w:bookmarkStart w:id="75"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75"/>
    <w:bookmarkStart w:id="76" w:name="fish-community-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76"/>
    <w:bookmarkStart w:id="77" w:name="algal-community-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77"/>
    <w:bookmarkStart w:id="78" w:name="narrative-8"/>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78"/>
    <w:bookmarkStart w:id="79" w:name="native-vs.-non-native-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bookmarkEnd w:id="79"/>
    <w:bookmarkEnd w:id="80"/>
    <w:bookmarkStart w:id="87"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H(a) = 2.74 · 28 ESVs · 19,646 reads</w:t>
      </w:r>
    </w:p>
    <w:bookmarkStart w:id="81" w:name="sentinel-signal-9"/>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H(a) =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81"/>
    <w:bookmarkStart w:id="82"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82"/>
    <w:bookmarkStart w:id="83"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83"/>
    <w:bookmarkStart w:id="84"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84"/>
    <w:bookmarkStart w:id="85" w:name="narrative-9"/>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46°F are extremely low. The absence of fish DNA is not an absence of fish.</w:t>
      </w:r>
    </w:p>
    <w:bookmarkEnd w:id="85"/>
    <w:bookmarkStart w:id="86" w:name="native-vs.-non-native-9"/>
    <w:p>
      <w:pPr>
        <w:pStyle w:val="Heading3"/>
      </w:pPr>
      <w:r>
        <w:t xml:space="preserve">Native vs. Non-Native</w:t>
      </w:r>
    </w:p>
    <w:p>
      <w:pPr>
        <w:pStyle w:val="FirstParagraph"/>
      </w:pPr>
      <w:r>
        <w:t xml:space="preserve">All species native.</w:t>
      </w:r>
    </w:p>
    <w:p>
      <w:r>
        <w:pict>
          <v:rect style="width:0;height:1.5pt" o:hralign="center" o:hrstd="t" o:hr="t"/>
        </w:pict>
      </w:r>
    </w:p>
    <w:bookmarkEnd w:id="86"/>
    <w:bookmarkEnd w:id="87"/>
    <w:bookmarkStart w:id="91"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H(f) =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88" w:name="sentinel-signal-10"/>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could represent stocked Brown Trout from adjacent freshwater habitat. Tomcod trace = early spring estuarine movement. No Brook Trout — tidal site.</w:t>
      </w:r>
    </w:p>
    <w:bookmarkEnd w:id="88"/>
    <w:bookmarkStart w:id="89"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 genus-level only; freshwater tributary input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 Brown Trout (</w:t>
            </w:r>
            <w:r>
              <w:rPr>
                <w:iCs/>
                <w:i/>
              </w:rPr>
              <w:t xml:space="preserve">S. trutta</w:t>
            </w:r>
            <w:r>
              <w:t xml:space="preserve">, stocked) or Atlantic Salmon; cannot distinguish</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89"/>
    <w:bookmarkStart w:id="90" w:name="narrative-10"/>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cannot be assigned to species — it represents either stocked Brown Trout (</w:t>
      </w:r>
      <w:r>
        <w:rPr>
          <w:iCs/>
          <w:i/>
        </w:rPr>
        <w:t xml:space="preserve">S. trutta</w:t>
      </w:r>
      <w:r>
        <w:t xml:space="preserve">, non-native) that have moved down from the freshwater Sawmill Brook system, or a low-level Atlantic Salmon detection; without species-level resolution this cannot be parsed ecologically.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bookmarkEnd w:id="90"/>
    <w:bookmarkEnd w:id="91"/>
    <w:bookmarkStart w:id="93"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H(f) =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41.725°N, -70.195°W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 genus-level only</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Corrected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(Smallmouth Bass or Largemouth Bass — cannot distinguish).</w:t>
      </w:r>
    </w:p>
    <w:bookmarkStart w:id="92" w:name="X75a13ee134f5c93695aa83395b5da581588d08b"/>
    <w:p>
      <w:pPr>
        <w:pStyle w:val="Heading3"/>
      </w:pPr>
      <w:r>
        <w:t xml:space="preserve">Field Measurements — Below Lincoln Pool (Vivosun pH meter†)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Jun 5, 2025</w:t>
            </w:r>
          </w:p>
        </w:tc>
        <w:tc>
          <w:tcPr/>
          <w:p>
            <w:pPr>
              <w:pStyle w:val="Compact"/>
              <w:jc w:val="left"/>
            </w:pPr>
            <w:r>
              <w:t xml:space="preserve">6.50</w:t>
            </w:r>
          </w:p>
        </w:tc>
        <w:tc>
          <w:tcPr/>
          <w:p>
            <w:pPr>
              <w:pStyle w:val="Compact"/>
              <w:jc w:val="left"/>
            </w:pPr>
            <w:r>
              <w:t xml:space="preserve">55.4</w:t>
            </w:r>
          </w:p>
        </w:tc>
        <w:tc>
          <w:tcPr/>
          <w:p>
            <w:pPr>
              <w:pStyle w:val="Compact"/>
              <w:jc w:val="left"/>
            </w:pPr>
            <w:r>
              <w:t xml:space="preserve">Co-collected with eDNA sample</w:t>
            </w:r>
          </w:p>
        </w:tc>
      </w:tr>
      <w:tr>
        <w:tc>
          <w:tcPr/>
          <w:p>
            <w:pPr>
              <w:pStyle w:val="Compact"/>
              <w:jc w:val="left"/>
            </w:pPr>
            <w:r>
              <w:t xml:space="preserve">Nov 23, 2025</w:t>
            </w:r>
          </w:p>
        </w:tc>
        <w:tc>
          <w:tcPr/>
          <w:p>
            <w:pPr>
              <w:pStyle w:val="Compact"/>
              <w:jc w:val="left"/>
            </w:pPr>
            <w:r>
              <w:t xml:space="preserve">6.07</w:t>
            </w:r>
          </w:p>
        </w:tc>
        <w:tc>
          <w:tcPr/>
          <w:p>
            <w:pPr>
              <w:pStyle w:val="Compact"/>
              <w:jc w:val="left"/>
            </w:pPr>
            <w:r>
              <w:t xml:space="preserve">37.7</w:t>
            </w:r>
          </w:p>
        </w:tc>
        <w:tc>
          <w:tcPr/>
          <w:p>
            <w:pPr>
              <w:pStyle w:val="Compact"/>
              <w:jc w:val="left"/>
            </w:pPr>
            <w:r>
              <w:t xml:space="preserve">Winter baseline</w:t>
            </w:r>
          </w:p>
        </w:tc>
      </w:tr>
    </w:tbl>
    <w:p>
      <w:pPr>
        <w:pStyle w:val="BodyText"/>
      </w:pPr>
      <w:r>
        <w:t xml:space="preserve">pH 6.50 and 55.4°F on the eDNA sample date are both within acceptable range for Brook Trout (thermal optimum 54–61°F; pH tolerance down to ~5.0 for adults). The Brook Trout detection at 0.6% is consistent with the measured water conditions — June temperatures at this site are suitable for Brook Trout.</w:t>
      </w:r>
    </w:p>
    <w:p>
      <w:pPr>
        <w:pStyle w:val="BodyText"/>
      </w:pPr>
      <w:r>
        <w:t xml:space="preserve">† pH values approximate (±0.5–1.0 pH unit); see</w:t>
      </w:r>
      <w:r>
        <w:t xml:space="preserve"> </w:t>
      </w:r>
      <w:r>
        <w:t xml:space="preserve">“</w:t>
      </w:r>
      <w:r>
        <w:t xml:space="preserve">How to Read</w:t>
      </w:r>
      <w:r>
        <w:t xml:space="preserve">”</w:t>
      </w:r>
      <w:r>
        <w:t xml:space="preserve"> </w:t>
      </w:r>
      <w:r>
        <w:t xml:space="preserve">note.</w:t>
      </w:r>
    </w:p>
    <w:p>
      <w:r>
        <w:pict>
          <v:rect style="width:0;height:1.5pt" o:hralign="center" o:hrstd="t" o:hr="t"/>
        </w:pict>
      </w:r>
    </w:p>
    <w:bookmarkEnd w:id="92"/>
    <w:bookmarkEnd w:id="93"/>
    <w:bookmarkStart w:id="99"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H(f) = 0.90 · 11 taxa · 10,319 reads</w:t>
      </w:r>
      <w:r>
        <w:t xml:space="preserve"> </w:t>
      </w:r>
      <w:r>
        <w:rPr>
          <w:iCs/>
          <w:i/>
        </w:rPr>
        <w:t xml:space="preserve">(corrected — includes all genus-level ESVs; see QC note on cormorant fecal eDNA)</w:t>
      </w:r>
    </w:p>
    <w:bookmarkStart w:id="94" w:name="sentinel-signal-11"/>
    <w:p>
      <w:pPr>
        <w:pStyle w:val="Heading3"/>
      </w:pPr>
      <w:r>
        <w:t xml:space="preserve">Sentinel Signal</w:t>
      </w:r>
    </w:p>
    <w:p>
      <w:pPr>
        <w:pStyle w:val="FirstParagraph"/>
      </w:pPr>
      <w:r>
        <w:t xml:space="preserve">Golden Shiner 78.1% dominant at a low-water freshwater site in June.</w:t>
      </w:r>
      <w:r>
        <w:t xml:space="preserve"> </w:t>
      </w:r>
      <w:r>
        <w:rPr>
          <w:bCs/>
          <w:b/>
        </w:rPr>
        <w:t xml:space="preserve">Sculpin (Cottidae spp.) 2.5% = cold-water benthic species — clean-habitat signal.</w:t>
      </w:r>
      <w:r>
        <w:t xml:space="preserve"> </w:t>
      </w:r>
      <w:r>
        <w:rPr>
          <w:bCs/>
          <w:b/>
        </w:rPr>
        <w:t xml:space="preserve">Brook Trout (</w:t>
      </w:r>
      <w:r>
        <w:rPr>
          <w:iCs/>
          <w:i/>
          <w:bCs/>
          <w:b/>
        </w:rPr>
        <w:t xml:space="preserve">Salvelinus</w:t>
      </w:r>
      <w:r>
        <w:rPr>
          <w:bCs/>
          <w:b/>
        </w:rPr>
        <w:t xml:space="preserve"> </w:t>
      </w:r>
      <w:r>
        <w:rPr>
          <w:bCs/>
          <w:b/>
        </w:rPr>
        <w:t xml:space="preserve">spp.) 1.1% = DETECTED — 114 reads.</w:t>
      </w:r>
      <w:r>
        <w:t xml:space="preserve"> </w:t>
      </w:r>
      <w:r>
        <w:t xml:space="preserve">Three detections (Menhaden, marine prickleback, and Alewife) are attributed to cormorant fecal eDNA, not live fish. See QC note.</w:t>
      </w:r>
    </w:p>
    <w:bookmarkEnd w:id="94"/>
    <w:bookmarkStart w:id="95"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78.1%</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10.2%</w:t>
            </w:r>
          </w:p>
        </w:tc>
        <w:tc>
          <w:tcPr/>
          <w:p>
            <w:pPr>
              <w:pStyle w:val="Compact"/>
              <w:jc w:val="left"/>
            </w:pPr>
            <w:r>
              <w:t xml:space="preserve">Native — genus-level only</w:t>
            </w:r>
          </w:p>
        </w:tc>
      </w:tr>
      <w:tr>
        <w:tc>
          <w:tcPr/>
          <w:p>
            <w:pPr>
              <w:pStyle w:val="Compact"/>
              <w:jc w:val="left"/>
            </w:pPr>
            <w:r>
              <w:t xml:space="preserve">Cottidae spp. — Sculpin</w:t>
            </w:r>
          </w:p>
        </w:tc>
        <w:tc>
          <w:tcPr/>
          <w:p>
            <w:pPr>
              <w:pStyle w:val="Compact"/>
              <w:jc w:val="left"/>
            </w:pPr>
            <w:r>
              <w:t xml:space="preserve">2.5%</w:t>
            </w:r>
          </w:p>
        </w:tc>
        <w:tc>
          <w:tcPr/>
          <w:p>
            <w:pPr>
              <w:pStyle w:val="Compact"/>
              <w:jc w:val="left"/>
            </w:pPr>
            <w:r>
              <w:t xml:space="preserve">Native cold-water benthic — family-level ID; ecologically significant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Brevoortia</w:t>
            </w:r>
            <w:r>
              <w:t xml:space="preserve"> </w:t>
            </w:r>
            <w:r>
              <w:t xml:space="preserve">spp. — Menhaden</w:t>
            </w:r>
          </w:p>
        </w:tc>
        <w:tc>
          <w:tcPr/>
          <w:p>
            <w:pPr>
              <w:pStyle w:val="Compact"/>
              <w:jc w:val="left"/>
            </w:pPr>
            <w:r>
              <w:t xml:space="preserve">1.7%</w:t>
            </w:r>
          </w:p>
        </w:tc>
        <w:tc>
          <w:tcPr/>
          <w:p>
            <w:pPr>
              <w:pStyle w:val="Compact"/>
              <w:jc w:val="left"/>
            </w:pPr>
            <w:r>
              <w:t xml:space="preserve">⚠️</w:t>
            </w:r>
            <w:r>
              <w:t xml:space="preserve"> </w:t>
            </w:r>
            <w:r>
              <w:rPr>
                <w:bCs/>
                <w:b/>
              </w:rPr>
              <w:t xml:space="preserve">Cormorant dietary artifact</w:t>
            </w:r>
            <w:r>
              <w:t xml:space="preserve"> </w:t>
            </w:r>
            <w:r>
              <w:t xml:space="preserve">— coastal marine; physically impossible as live fish at this site</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1.7%</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w:t>
            </w:r>
            <w:r>
              <w:t xml:space="preserve"> </w:t>
            </w:r>
            <w:r>
              <w:rPr>
                <w:bCs/>
                <w:b/>
              </w:rPr>
              <w:t xml:space="preserve">Probable cormorant dietary artifact</w:t>
            </w:r>
            <w:r>
              <w:t xml:space="preserve"> </w:t>
            </w:r>
            <w:r>
              <w:t xml:space="preserve">— de-watered site miles above tidal zone; cormorant input confirmed by Menhaden at same event</w:t>
            </w:r>
          </w:p>
        </w:tc>
      </w:tr>
      <w:tr>
        <w:tc>
          <w:tcPr/>
          <w:p>
            <w:pPr>
              <w:pStyle w:val="Compact"/>
              <w:jc w:val="left"/>
            </w:pPr>
            <w:r>
              <w:rPr>
                <w:iCs/>
                <w:i/>
              </w:rPr>
              <w:t xml:space="preserve">Fundulus parvipinnis</w:t>
            </w:r>
          </w:p>
        </w:tc>
        <w:tc>
          <w:tcPr/>
          <w:p>
            <w:pPr>
              <w:pStyle w:val="Compact"/>
              <w:jc w:val="left"/>
            </w:pPr>
            <w:r>
              <w:t xml:space="preserve">0.8%</w:t>
            </w:r>
          </w:p>
        </w:tc>
        <w:tc>
          <w:tcPr/>
          <w:p>
            <w:pPr>
              <w:pStyle w:val="Compact"/>
              <w:jc w:val="left"/>
            </w:pPr>
            <w:r>
              <w:t xml:space="preserve">California Killifish — Pacific species; database artifact</w:t>
            </w:r>
          </w:p>
        </w:tc>
      </w:tr>
      <w:tr>
        <w:tc>
          <w:tcPr/>
          <w:p>
            <w:pPr>
              <w:pStyle w:val="Compact"/>
              <w:jc w:val="left"/>
            </w:pPr>
            <w:r>
              <w:rPr>
                <w:iCs/>
                <w:i/>
              </w:rPr>
              <w:t xml:space="preserve">Xiphister</w:t>
            </w:r>
            <w:r>
              <w:t xml:space="preserve"> </w:t>
            </w:r>
            <w:r>
              <w:t xml:space="preserve">spp. — Marine Prickleback</w:t>
            </w:r>
          </w:p>
        </w:tc>
        <w:tc>
          <w:tcPr/>
          <w:p>
            <w:pPr>
              <w:pStyle w:val="Compact"/>
              <w:jc w:val="left"/>
            </w:pPr>
            <w:r>
              <w:t xml:space="preserve">0.6%</w:t>
            </w:r>
          </w:p>
        </w:tc>
        <w:tc>
          <w:tcPr/>
          <w:p>
            <w:pPr>
              <w:pStyle w:val="Compact"/>
              <w:jc w:val="left"/>
            </w:pPr>
            <w:r>
              <w:t xml:space="preserve">⚠️</w:t>
            </w:r>
            <w:r>
              <w:t xml:space="preserve"> </w:t>
            </w:r>
            <w:r>
              <w:rPr>
                <w:bCs/>
                <w:b/>
              </w:rPr>
              <w:t xml:space="preserve">Cormorant dietary artifact</w:t>
            </w:r>
            <w:r>
              <w:t xml:space="preserve"> </w:t>
            </w:r>
            <w:r>
              <w:t xml:space="preserve">— intertidal marine species with no freshwater range</w:t>
            </w:r>
          </w:p>
        </w:tc>
      </w:tr>
      <w:tr>
        <w:tc>
          <w:tcPr/>
          <w:p>
            <w:pPr>
              <w:pStyle w:val="Compact"/>
              <w:jc w:val="left"/>
            </w:pPr>
            <w:r>
              <w:t xml:space="preserve">Perciformes (unresolved)</w:t>
            </w:r>
          </w:p>
        </w:tc>
        <w:tc>
          <w:tcPr/>
          <w:p>
            <w:pPr>
              <w:pStyle w:val="Compact"/>
              <w:jc w:val="left"/>
            </w:pPr>
            <w:r>
              <w:t xml:space="preserve">0.1%</w:t>
            </w:r>
          </w:p>
        </w:tc>
        <w:tc>
          <w:tcPr/>
          <w:p>
            <w:pPr>
              <w:pStyle w:val="Compact"/>
              <w:jc w:val="left"/>
            </w:pPr>
            <w:r>
              <w:t xml:space="preserve">Insufficient resolution — excluded from interpretation</w:t>
            </w:r>
          </w:p>
        </w:tc>
      </w:tr>
    </w:tbl>
    <w:p>
      <w:pPr>
        <w:pStyle w:val="BodyText"/>
      </w:pPr>
      <w:r>
        <w:rPr>
          <w:iCs/>
          <w:i/>
        </w:rPr>
        <w:t xml:space="preserve">Non-fish filtered: Chrysemys picta (Painted Turtle) — reptile.</w:t>
      </w:r>
    </w:p>
    <w:bookmarkEnd w:id="95"/>
    <w:bookmarkStart w:id="96" w:name="qc-note-cormorant-fecal-edna"/>
    <w:p>
      <w:pPr>
        <w:pStyle w:val="Heading3"/>
      </w:pPr>
      <w:r>
        <w:t xml:space="preserve">QC Note — Cormorant Fecal eDNA</w:t>
      </w:r>
    </w:p>
    <w:p>
      <w:pPr>
        <w:pStyle w:val="FirstParagraph"/>
      </w:pPr>
      <w:r>
        <w:t xml:space="preserve">The Atwater site is</w:t>
      </w:r>
      <w:r>
        <w:t xml:space="preserve"> </w:t>
      </w:r>
      <w:r>
        <w:rPr>
          <w:bCs/>
          <w:b/>
        </w:rPr>
        <w:t xml:space="preserve">miles above the tidal zone</w:t>
      </w:r>
      <w:r>
        <w:t xml:space="preserve"> </w:t>
      </w:r>
      <w:r>
        <w:t xml:space="preserve">on Sawmill Brook, a small freshwater stream. The June 8, 2025 sample was taken under low-water, potentially de-watered summer conditions. Three detections are physically incompatible with live fish presence:</w:t>
      </w:r>
    </w:p>
    <w:p>
      <w:pPr>
        <w:pStyle w:val="BodyText"/>
      </w:pPr>
      <w:r>
        <w:rPr>
          <w:bCs/>
          <w:b/>
        </w:rPr>
        <w:t xml:space="preserve">Brevoortia spp. (Menhaden, 176 reads / 1.7%):</w:t>
      </w:r>
      <w:r>
        <w:t xml:space="preserve"> </w:t>
      </w:r>
      <w:r>
        <w:t xml:space="preserve">Menhaden are coastal marine/estuarine schooling fish with no freshwater range anywhere in their biology. 176 reads of menhaden DNA in a mid-watershed Sawmill Brook sample is conclusive evidence of</w:t>
      </w:r>
      <w:r>
        <w:t xml:space="preserve"> </w:t>
      </w:r>
      <w:r>
        <w:rPr>
          <w:bCs/>
          <w:b/>
        </w:rPr>
        <w:t xml:space="preserve">Double-crested Cormorant fecal input</w:t>
      </w:r>
      <w:r>
        <w:t xml:space="preserve"> </w:t>
      </w:r>
      <w:r>
        <w:t xml:space="preserve">— cormorants actively feed on menhaden in Manchester Harbor and the adjacent coast and transit inland waterways, depositing dietary fish DNA via feces.</w:t>
      </w:r>
    </w:p>
    <w:p>
      <w:pPr>
        <w:pStyle w:val="BodyText"/>
      </w:pPr>
      <w:r>
        <w:rPr>
          <w:bCs/>
          <w:b/>
        </w:rPr>
        <w:t xml:space="preserve">Xiphister spp. (marine prickleback, 65 reads / 0.6%):</w:t>
      </w:r>
      <w:r>
        <w:t xml:space="preserve"> </w:t>
      </w:r>
      <w:r>
        <w:t xml:space="preserve">An intertidal rocky-shore species with zero freshwater range. Same interpretation — cormorant or other piscivorous seabird dietary artifact.</w:t>
      </w:r>
    </w:p>
    <w:p>
      <w:pPr>
        <w:pStyle w:val="BodyText"/>
      </w:pPr>
      <w:r>
        <w:rPr>
          <w:bCs/>
          <w:b/>
        </w:rPr>
        <w:t xml:space="preserve">Alosa pseudoharengus (Alewife, 85 reads / 0.8%):</w:t>
      </w:r>
      <w:r>
        <w:t xml:space="preserve"> </w:t>
      </w:r>
      <w:r>
        <w:t xml:space="preserve">Alewife do ascend the lower MBTS system in spring and are confirmed at Second Pond / Cat Brook (Forest Landing). However, the Atwater site is miles above the tidal zone with documented summer dewatering — well beyond where Alewife would appear as live fish in June. The Menhaden signal at the same sample event establishes active cormorant input; the Alewife reads are most parsimoniously explained as cormorant dietary eDNA from the spring coastal run.</w:t>
      </w:r>
    </w:p>
    <w:p>
      <w:pPr>
        <w:pStyle w:val="BodyText"/>
      </w:pPr>
      <w:r>
        <w:rPr>
          <w:bCs/>
          <w:b/>
        </w:rPr>
        <w:t xml:space="preserve">Conclusion:</w:t>
      </w:r>
      <w:r>
        <w:t xml:space="preserve"> </w:t>
      </w:r>
      <w:r>
        <w:t xml:space="preserve">The Menhaden detection is proof-by-elimination of cormorant fecal eDNA at this sampling event. The Alewife signal shares the same source.</w:t>
      </w:r>
      <w:r>
        <w:t xml:space="preserve"> </w:t>
      </w:r>
      <w:r>
        <w:rPr>
          <w:bCs/>
          <w:b/>
        </w:rPr>
        <w:t xml:space="preserve">No authenticated live Alewife in Sawmill Brook at the Atwater reach.</w:t>
      </w:r>
      <w:r>
        <w:t xml:space="preserve"> </w:t>
      </w:r>
      <w:r>
        <w:t xml:space="preserve">This is consistent with the known Alewife distribution in the MBTS watershed — confirmed at Second Pond (the Cat Brook headwater pond at Forest Landing), not reported in mid-watershed freshwater reaches above the tidal zone.</w:t>
      </w:r>
    </w:p>
    <w:bookmarkEnd w:id="96"/>
    <w:bookmarkStart w:id="97" w:name="narrative-11"/>
    <w:p>
      <w:pPr>
        <w:pStyle w:val="Heading3"/>
      </w:pPr>
      <w:r>
        <w:t xml:space="preserve">Narrative</w:t>
      </w:r>
    </w:p>
    <w:p>
      <w:pPr>
        <w:pStyle w:val="FirstParagraph"/>
      </w:pPr>
      <w:r>
        <w:t xml:space="preserve">Sawmill Brook at the Atwater monitoring site, June 8, 2025: Golden Shiner dominates at 78.1% in low-water summer conditions.</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low but consistent with the MBTS pattern across sites (School St: 2.5%; Below Lincoln Pool: 0.6%).</w:t>
      </w:r>
    </w:p>
    <w:p>
      <w:pPr>
        <w:pStyle w:val="BodyText"/>
      </w:pPr>
      <w:r>
        <w:rPr>
          <w:bCs/>
          <w:b/>
        </w:rPr>
        <w:t xml:space="preserve">Sculpin (Cottidae spp., 2.5%, 260 reads)</w:t>
      </w:r>
      <w:r>
        <w:t xml:space="preserve"> </w:t>
      </w:r>
      <w:r>
        <w:t xml:space="preserve">is the most ecologically significant finding in this corrected community. Sculpin are cold-water, benthic, intolerant of warming and siltation — the same habitat requirements as Brook Trout. Likely Slimy Sculpin (</w:t>
      </w:r>
      <w:r>
        <w:rPr>
          <w:iCs/>
          <w:i/>
        </w:rPr>
        <w:t xml:space="preserve">Cottus cognatus</w:t>
      </w:r>
      <w:r>
        <w:t xml:space="preserve">) or Mottled Sculpin (</w:t>
      </w:r>
      <w:r>
        <w:rPr>
          <w:iCs/>
          <w:i/>
        </w:rPr>
        <w:t xml:space="preserve">Cottus bairdi</w:t>
      </w:r>
      <w:r>
        <w:t xml:space="preserve">), both native to Massachusetts streams; species-level resolution is not available from this MiFish barcode. A resident sculpin population at the Atwater reach confirms cold, clean, structurally complex stream habitat — a strongly positive indicator.</w:t>
      </w:r>
    </w:p>
    <w:p>
      <w:pPr>
        <w:pStyle w:val="BodyText"/>
      </w:pPr>
      <w:r>
        <w:rPr>
          <w:iCs/>
          <w:i/>
        </w:rPr>
        <w:t xml:space="preserve">Lepomis</w:t>
      </w:r>
      <w:r>
        <w:t xml:space="preserve"> </w:t>
      </w:r>
      <w:r>
        <w:t xml:space="preserve">spp. (10.2%) and</w:t>
      </w:r>
      <w:r>
        <w:t xml:space="preserve"> </w:t>
      </w:r>
      <w:r>
        <w:rPr>
          <w:iCs/>
          <w:i/>
        </w:rPr>
        <w:t xml:space="preserve">Ameiurus</w:t>
      </w:r>
      <w:r>
        <w:t xml:space="preserve"> </w:t>
      </w:r>
      <w:r>
        <w:t xml:space="preserve">spp. (1.7%) reflect the pond-connected and slow-water components of the Sawmill Brook watershed.</w:t>
      </w:r>
    </w:p>
    <w:p>
      <w:pPr>
        <w:pStyle w:val="BodyText"/>
      </w:pPr>
      <w:r>
        <w:t xml:space="preserve">After excluding cormorant dietary artifacts (Menhaden, Alewife, Xiphister) and database artifacts (</w:t>
      </w:r>
      <w:r>
        <w:rPr>
          <w:iCs/>
          <w:i/>
        </w:rPr>
        <w:t xml:space="preserve">Fundulus parvipinnis</w:t>
      </w:r>
      <w:r>
        <w:t xml:space="preserve">, unresolved Perciformes), the authenticated freshwater community is:</w:t>
      </w:r>
      <w:r>
        <w:t xml:space="preserve"> </w:t>
      </w:r>
      <w:r>
        <w:rPr>
          <w:bCs/>
          <w:b/>
        </w:rPr>
        <w:t xml:space="preserve">Golden Shiner 78.1% · Lepomis spp. 10.2% · Sculpin 2.5% · Eel 2.0% · Bullhead 1.7% · Brook Trout 1.1%</w:t>
      </w:r>
      <w:r>
        <w:t xml:space="preserve"> </w:t>
      </w:r>
      <w:r>
        <w:t xml:space="preserve">— a coherent native freshwater community with both cold-water sentinel species (Brook Trout, Sculpin) confirmed.</w:t>
      </w:r>
    </w:p>
    <w:bookmarkEnd w:id="97"/>
    <w:bookmarkStart w:id="98" w:name="Xe34b5ec3b2350679229d485f2244653ebce32f9"/>
    <w:p>
      <w:pPr>
        <w:pStyle w:val="Heading3"/>
      </w:pPr>
      <w:r>
        <w:t xml:space="preserve">Field Measurements — Atwater Site (Vivosun pH meter†)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Jun 8, 2025</w:t>
            </w:r>
          </w:p>
        </w:tc>
        <w:tc>
          <w:tcPr/>
          <w:p>
            <w:pPr>
              <w:pStyle w:val="Compact"/>
              <w:jc w:val="left"/>
            </w:pPr>
            <w:r>
              <w:t xml:space="preserve">5.60</w:t>
            </w:r>
          </w:p>
        </w:tc>
        <w:tc>
          <w:tcPr/>
          <w:p>
            <w:pPr>
              <w:pStyle w:val="Compact"/>
              <w:jc w:val="left"/>
            </w:pPr>
            <w:r>
              <w:t xml:space="preserve">62.7</w:t>
            </w:r>
          </w:p>
        </w:tc>
        <w:tc>
          <w:tcPr/>
          <w:p>
            <w:pPr>
              <w:pStyle w:val="Compact"/>
              <w:jc w:val="left"/>
            </w:pPr>
            <w:r>
              <w:t xml:space="preserve">Co-collected with eDNA sample</w:t>
            </w:r>
          </w:p>
        </w:tc>
      </w:tr>
      <w:tr>
        <w:tc>
          <w:tcPr/>
          <w:p>
            <w:pPr>
              <w:pStyle w:val="Compact"/>
              <w:jc w:val="left"/>
            </w:pPr>
            <w:r>
              <w:t xml:space="preserve">Jul 9, 2025</w:t>
            </w:r>
          </w:p>
        </w:tc>
        <w:tc>
          <w:tcPr/>
          <w:p>
            <w:pPr>
              <w:pStyle w:val="Compact"/>
              <w:jc w:val="left"/>
            </w:pPr>
            <w:r>
              <w:t xml:space="preserve">6.00</w:t>
            </w:r>
          </w:p>
        </w:tc>
        <w:tc>
          <w:tcPr/>
          <w:p>
            <w:pPr>
              <w:pStyle w:val="Compact"/>
              <w:jc w:val="left"/>
            </w:pPr>
            <w:r>
              <w:t xml:space="preserve">75.9</w:t>
            </w:r>
          </w:p>
        </w:tc>
        <w:tc>
          <w:tcPr/>
          <w:p>
            <w:pPr>
              <w:pStyle w:val="Compact"/>
              <w:jc w:val="left"/>
            </w:pPr>
            <w:r>
              <w:t xml:space="preserve">⚠️</w:t>
            </w:r>
            <w:r>
              <w:t xml:space="preserve"> </w:t>
            </w:r>
            <w:r>
              <w:rPr>
                <w:bCs/>
                <w:b/>
              </w:rPr>
              <w:t xml:space="preserve">Acute thermal stress / lethal for Brook Trout</w:t>
            </w:r>
          </w:p>
        </w:tc>
      </w:tr>
      <w:tr>
        <w:tc>
          <w:tcPr/>
          <w:p>
            <w:pPr>
              <w:pStyle w:val="Compact"/>
              <w:jc w:val="left"/>
            </w:pPr>
            <w:r>
              <w:t xml:space="preserve">Nov 23, 2025</w:t>
            </w:r>
          </w:p>
        </w:tc>
        <w:tc>
          <w:tcPr/>
          <w:p>
            <w:pPr>
              <w:pStyle w:val="Compact"/>
              <w:jc w:val="left"/>
            </w:pPr>
            <w:r>
              <w:t xml:space="preserve">6.49</w:t>
            </w:r>
          </w:p>
        </w:tc>
        <w:tc>
          <w:tcPr/>
          <w:p>
            <w:pPr>
              <w:pStyle w:val="Compact"/>
              <w:jc w:val="left"/>
            </w:pPr>
            <w:r>
              <w:t xml:space="preserve">36.8</w:t>
            </w:r>
          </w:p>
        </w:tc>
        <w:tc>
          <w:tcPr/>
          <w:p>
            <w:pPr>
              <w:pStyle w:val="Compact"/>
              <w:jc w:val="left"/>
            </w:pPr>
            <w:r>
              <w:t xml:space="preserve">Winter baseline</w:t>
            </w:r>
          </w:p>
        </w:tc>
      </w:tr>
    </w:tbl>
    <w:p>
      <w:pPr>
        <w:pStyle w:val="BlockText"/>
      </w:pPr>
      <w:r>
        <w:t xml:space="preserve">⚠️</w:t>
      </w:r>
      <w:r>
        <w:t xml:space="preserve"> </w:t>
      </w:r>
      <w:r>
        <w:rPr>
          <w:bCs/>
          <w:b/>
        </w:rPr>
        <w:t xml:space="preserve">Critical thermal finding — July 9, 2025.</w:t>
      </w:r>
      <w:r>
        <w:t xml:space="preserve"> </w:t>
      </w:r>
      <w:r>
        <w:t xml:space="preserve">At 75.9°F, Atwater Ave water temperature is at or beyond the acute lethal threshold for Brook Trout (death commonly reported above 73–75°F). This is the highest temperature recorded in the MBTS dataset. Brook Trout detected here in June 2025 (1.1%, eDNA sample) are almost certainly absent from this reach by July — either dead, displaced to cold groundwater refugia, or retreated to cooler upstream reaches. Sculpin, also detected in June, share the same thermal sensitivity. The summer temperature regime at this site is</w:t>
      </w:r>
      <w:r>
        <w:t xml:space="preserve"> </w:t>
      </w:r>
      <w:r>
        <w:rPr>
          <w:bCs/>
          <w:b/>
        </w:rPr>
        <w:t xml:space="preserve">incompatible with Brook Trout residency</w:t>
      </w:r>
      <w:r>
        <w:t xml:space="preserve"> </w:t>
      </w:r>
      <w:r>
        <w:t xml:space="preserve">without accessible cold-water refugia nearby. The June pH of 5.6 (co-collected with eDNA) is also on the low end for adult Brook Trout comfort, though not lethal.</w:t>
      </w:r>
    </w:p>
    <w:p>
      <w:pPr>
        <w:pStyle w:val="FirstParagraph"/>
      </w:pPr>
      <w:r>
        <w:t xml:space="preserve">† pH values approximate (±0.5–1.0 pH unit); see</w:t>
      </w:r>
      <w:r>
        <w:t xml:space="preserve"> </w:t>
      </w:r>
      <w:r>
        <w:t xml:space="preserve">“</w:t>
      </w:r>
      <w:r>
        <w:t xml:space="preserve">How to Read</w:t>
      </w:r>
      <w:r>
        <w:t xml:space="preserve">”</w:t>
      </w:r>
      <w:r>
        <w:t xml:space="preserve"> </w:t>
      </w:r>
      <w:r>
        <w:t xml:space="preserve">note.</w:t>
      </w:r>
    </w:p>
    <w:p>
      <w:r>
        <w:pict>
          <v:rect style="width:0;height:1.5pt" o:hralign="center" o:hrstd="t" o:hr="t"/>
        </w:pict>
      </w:r>
    </w:p>
    <w:bookmarkEnd w:id="98"/>
    <w:bookmarkEnd w:id="99"/>
    <w:bookmarkStart w:id="104"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H(f) = 1.59 · 16 species · 46,128 reads</w:t>
      </w:r>
    </w:p>
    <w:bookmarkStart w:id="100" w:name="sentinel-signal-12"/>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100"/>
    <w:bookmarkStart w:id="101"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101"/>
    <w:bookmarkStart w:id="102" w:name="narrative-12"/>
    <w:p>
      <w:pPr>
        <w:pStyle w:val="Heading3"/>
      </w:pPr>
      <w:r>
        <w:t xml:space="preserve">Narrative</w:t>
      </w:r>
    </w:p>
    <w:p>
      <w:pPr>
        <w:pStyle w:val="FirstParagraph"/>
      </w:pPr>
      <w:r>
        <w:t xml:space="preserve">Proctor Point Dock in Manchester Harbor in early June is the richest single-site fish community in this entire dataset — 16 species, H(f) =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102"/>
    <w:bookmarkStart w:id="103" w:name="native-vs.-non-native-10"/>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bookmarkEnd w:id="103"/>
    <w:bookmarkEnd w:id="104"/>
    <w:bookmarkEnd w:id="105"/>
    <w:bookmarkStart w:id="106" w:name="X59784cc5e000a43598ed06a62acc0f059afb8f9"/>
    <w:p>
      <w:pPr>
        <w:pStyle w:val="Heading1"/>
      </w:pPr>
      <w:r>
        <w:t xml:space="preserve">Appendix A — Brook Trout Detections: Sawmill / Cat Brook Sites</w:t>
      </w:r>
    </w:p>
    <w:bookmarkEnd w:id="106"/>
    <w:bookmarkStart w:id="129" w:name="Xeb7b060d1e6179fce2f31433d2e5e45ce9c152d"/>
    <w:p>
      <w:pPr>
        <w:pStyle w:val="Heading1"/>
      </w:pPr>
      <w:r>
        <w:t xml:space="preserve">Appendix: Cross-Batch Brook Trout &amp; Atlantic Salmon Summary</w:t>
      </w:r>
    </w:p>
    <w:bookmarkStart w:id="107"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107"/>
    <w:bookmarkStart w:id="108" w:name="Xfbc067fc0f5d7d1f90a62d5ace41a44292e1398"/>
    <w:p>
      <w:pPr>
        <w:pStyle w:val="Heading2"/>
      </w:pPr>
      <w:r>
        <w:t xml:space="preserve">Cross-Batch Summary — Brook Trout and Atlantic Salmon</w:t>
      </w:r>
    </w:p>
    <w:bookmarkEnd w:id="108"/>
    <w:bookmarkStart w:id="109"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109"/>
    <w:bookmarkStart w:id="110" w:name="atlantic-salmon-confirmed-sites"/>
    <w:p>
      <w:pPr>
        <w:pStyle w:val="Heading2"/>
      </w:pPr>
      <w:r>
        <w:t xml:space="preserve">Atlantic Salmon — Confirmed Sites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110"/>
    <w:bookmarkStart w:id="111" w:name="X6977aa75d261b01567b25639e172a8ea29361dc"/>
    <w:p>
      <w:pPr>
        <w:pStyle w:val="Heading2"/>
      </w:pPr>
      <w:r>
        <w:t xml:space="preserve">Seasonal eDNA Calendar — Union River / Ellsworth Dam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bookmarkEnd w:id="111"/>
    <w:bookmarkStart w:id="112" w:name="Xa6da346d69c83f3b5adf3f2211d32725af44499"/>
    <w:p>
      <w:pPr>
        <w:pStyle w:val="Heading2"/>
      </w:pPr>
      <w:r>
        <w:t xml:space="preserve">November 22, 2025 Sampling Batch – MBTS Sawmill Brook System</w:t>
      </w:r>
    </w:p>
    <w:p>
      <w:pPr>
        <w:pStyle w:val="FirstParagraph"/>
      </w:pPr>
      <w:r>
        <w:rPr>
          <w:iCs/>
          <w:i/>
        </w:rPr>
        <w:t xml:space="preserve">Source: MBTS_eDNA_Full_Report chart data (April 2026). Batch IDs to be confirmed against JV Master.</w:t>
      </w:r>
    </w:p>
    <w:p>
      <w:pPr>
        <w:pStyle w:val="BodyText"/>
      </w:pPr>
      <w:r>
        <w:t xml:space="preserve">Three sites sampled on the same date provide a longitudinal snapshot of the full Sawmill Brook gradient in late autumn, which is the peak of Brook Trout spawning season.</w:t>
      </w:r>
    </w:p>
    <w:p>
      <w:r>
        <w:pict>
          <v:rect style="width:0;height:1.5pt" o:hralign="center" o:hrstd="t" o:hr="t"/>
        </w:pict>
      </w:r>
    </w:p>
    <w:bookmarkEnd w:id="112"/>
    <w:bookmarkStart w:id="117" w:name="upper-sawmill-brook-nov-22-2025"/>
    <w:p>
      <w:pPr>
        <w:pStyle w:val="Heading2"/>
      </w:pPr>
      <w:r>
        <w:t xml:space="preserve">Upper Sawmill Brook | Nov 22, 2025</w:t>
      </w:r>
    </w:p>
    <w:p>
      <w:pPr>
        <w:pStyle w:val="FirstParagraph"/>
      </w:pPr>
      <w:r>
        <w:rPr>
          <w:bCs/>
          <w:b/>
        </w:rPr>
        <w:t xml:space="preserve">Fish: 6 species detected, H(f) = 0.91 (low-moderate) | No algae data this event</w:t>
      </w:r>
    </w:p>
    <w:bookmarkStart w:id="113" w:name="sentinel-signal-13"/>
    <w:p>
      <w:pPr>
        <w:pStyle w:val="Heading3"/>
      </w:pPr>
      <w:r>
        <w:t xml:space="preserve">Sentinel Signal</w:t>
      </w:r>
    </w:p>
    <w:p>
      <w:pPr>
        <w:pStyle w:val="FirstParagraph"/>
      </w:pPr>
      <w:r>
        <w:t xml:space="preserve">Golden Shiner dominant (57.9%) + Bluegill Sunfish co-dominant (36.2%) + Largemouth Bass =</w:t>
      </w:r>
      <w:r>
        <w:t xml:space="preserve"> </w:t>
      </w:r>
      <w:r>
        <w:rPr>
          <w:bCs/>
          <w:b/>
        </w:rPr>
        <w:t xml:space="preserve">warm-water lentic assemblage. Brook Trout: not detected.</w:t>
      </w:r>
      <w:r>
        <w:t xml:space="preserve"> </w:t>
      </w:r>
      <w:r>
        <w:t xml:space="preserve">November is peak Brook Trout spawning season. This is the single most ecologically significant finding in the November 2025 batch.</w:t>
      </w:r>
    </w:p>
    <w:bookmarkEnd w:id="113"/>
    <w:bookmarkStart w:id="114" w:name="fish-community-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Golden Shiner</w:t>
            </w:r>
          </w:p>
        </w:tc>
        <w:tc>
          <w:tcPr/>
          <w:p>
            <w:pPr>
              <w:pStyle w:val="Compact"/>
              <w:jc w:val="left"/>
            </w:pPr>
            <w:r>
              <w:t xml:space="preserve">57.9%</w:t>
            </w:r>
          </w:p>
        </w:tc>
        <w:tc>
          <w:tcPr/>
          <w:p>
            <w:pPr>
              <w:pStyle w:val="Compact"/>
              <w:jc w:val="left"/>
            </w:pPr>
            <w:r>
              <w:t xml:space="preserve">Lentic warm-water specialist</w:t>
            </w:r>
          </w:p>
        </w:tc>
      </w:tr>
      <w:tr>
        <w:tc>
          <w:tcPr/>
          <w:p>
            <w:pPr>
              <w:pStyle w:val="Compact"/>
              <w:jc w:val="left"/>
            </w:pPr>
            <w:r>
              <w:t xml:space="preserve">Bluegill Sunfish</w:t>
            </w:r>
          </w:p>
        </w:tc>
        <w:tc>
          <w:tcPr/>
          <w:p>
            <w:pPr>
              <w:pStyle w:val="Compact"/>
              <w:jc w:val="left"/>
            </w:pPr>
            <w:r>
              <w:t xml:space="preserve">36.2%</w:t>
            </w:r>
          </w:p>
        </w:tc>
        <w:tc>
          <w:tcPr/>
          <w:p>
            <w:pPr>
              <w:pStyle w:val="Compact"/>
              <w:jc w:val="left"/>
            </w:pPr>
            <w:r>
              <w:t xml:space="preserve">Pond/slow-water sunfish</w:t>
            </w:r>
          </w:p>
        </w:tc>
      </w:tr>
      <w:tr>
        <w:tc>
          <w:tcPr/>
          <w:p>
            <w:pPr>
              <w:pStyle w:val="Compact"/>
              <w:jc w:val="left"/>
            </w:pPr>
            <w:r>
              <w:t xml:space="preserve">American Eel</w:t>
            </w:r>
          </w:p>
        </w:tc>
        <w:tc>
          <w:tcPr/>
          <w:p>
            <w:pPr>
              <w:pStyle w:val="Compact"/>
              <w:jc w:val="left"/>
            </w:pPr>
            <w:r>
              <w:t xml:space="preserve">2.6%</w:t>
            </w:r>
          </w:p>
        </w:tc>
        <w:tc>
          <w:tcPr/>
          <w:p>
            <w:pPr>
              <w:pStyle w:val="Compact"/>
              <w:jc w:val="left"/>
            </w:pPr>
            <w:r>
              <w:t xml:space="preserve">Catadromous; confirms downstream connectivity</w:t>
            </w:r>
          </w:p>
        </w:tc>
      </w:tr>
      <w:tr>
        <w:tc>
          <w:tcPr/>
          <w:p>
            <w:pPr>
              <w:pStyle w:val="Compact"/>
              <w:jc w:val="left"/>
            </w:pPr>
            <w:r>
              <w:t xml:space="preserve">Largemouth Bass</w:t>
            </w:r>
          </w:p>
        </w:tc>
        <w:tc>
          <w:tcPr/>
          <w:p>
            <w:pPr>
              <w:pStyle w:val="Compact"/>
              <w:jc w:val="left"/>
            </w:pPr>
            <w:r>
              <w:t xml:space="preserve">2.1%</w:t>
            </w:r>
          </w:p>
        </w:tc>
        <w:tc>
          <w:tcPr/>
          <w:p>
            <w:pPr>
              <w:pStyle w:val="Compact"/>
              <w:jc w:val="left"/>
            </w:pPr>
            <w:r>
              <w:t xml:space="preserve">Warm-water predator</w:t>
            </w:r>
          </w:p>
        </w:tc>
      </w:tr>
      <w:tr>
        <w:tc>
          <w:tcPr/>
          <w:p>
            <w:pPr>
              <w:pStyle w:val="Compact"/>
              <w:jc w:val="left"/>
            </w:pPr>
            <w:r>
              <w:t xml:space="preserve">Sucker spp.</w:t>
            </w:r>
          </w:p>
        </w:tc>
        <w:tc>
          <w:tcPr/>
          <w:p>
            <w:pPr>
              <w:pStyle w:val="Compact"/>
              <w:jc w:val="left"/>
            </w:pPr>
            <w:r>
              <w:t xml:space="preserve">0.7%</w:t>
            </w:r>
          </w:p>
        </w:tc>
        <w:tc>
          <w:tcPr/>
          <w:p>
            <w:pPr>
              <w:pStyle w:val="Compact"/>
              <w:jc w:val="left"/>
            </w:pPr>
            <w:r>
              <w:t xml:space="preserve">Native; tolerant generalist</w:t>
            </w:r>
          </w:p>
        </w:tc>
      </w:tr>
      <w:tr>
        <w:tc>
          <w:tcPr/>
          <w:p>
            <w:pPr>
              <w:pStyle w:val="Compact"/>
              <w:jc w:val="left"/>
            </w:pPr>
            <w:r>
              <w:t xml:space="preserve">Brown Bullhead</w:t>
            </w:r>
          </w:p>
        </w:tc>
        <w:tc>
          <w:tcPr/>
          <w:p>
            <w:pPr>
              <w:pStyle w:val="Compact"/>
              <w:jc w:val="left"/>
            </w:pPr>
            <w:r>
              <w:t xml:space="preserve">0.2%</w:t>
            </w:r>
          </w:p>
        </w:tc>
        <w:tc>
          <w:tcPr/>
          <w:p>
            <w:pPr>
              <w:pStyle w:val="Compact"/>
              <w:jc w:val="left"/>
            </w:pPr>
            <w:r>
              <w:t xml:space="preserve">Tolerant warm-water benthic</w:t>
            </w:r>
          </w:p>
        </w:tc>
      </w:tr>
      <w:tr>
        <w:tc>
          <w:tcPr/>
          <w:p>
            <w:pPr>
              <w:pStyle w:val="Compact"/>
              <w:jc w:val="left"/>
            </w:pPr>
            <w:r>
              <w:rPr>
                <w:iCs/>
                <w:i/>
              </w:rPr>
              <w:t xml:space="preserve">Longear Sunfish</w:t>
            </w:r>
          </w:p>
        </w:tc>
        <w:tc>
          <w:tcPr/>
          <w:p>
            <w:pPr>
              <w:pStyle w:val="Compact"/>
              <w:jc w:val="left"/>
            </w:pPr>
            <w:r>
              <w:rPr>
                <w:iCs/>
                <w:i/>
              </w:rPr>
              <w:t xml:space="preserve">0.3%</w:t>
            </w:r>
          </w:p>
        </w:tc>
        <w:tc>
          <w:tcPr/>
          <w:p>
            <w:pPr>
              <w:pStyle w:val="Compact"/>
              <w:jc w:val="left"/>
            </w:pPr>
            <w:r>
              <w:rPr>
                <w:iCs/>
                <w:i/>
              </w:rPr>
              <w:t xml:space="preserve">Database artifact – not native to New England; treat as misassigned Lepomis spp.</w:t>
            </w:r>
          </w:p>
        </w:tc>
      </w:tr>
      <w:tr>
        <w:tc>
          <w:tcPr/>
          <w:p>
            <w:pPr>
              <w:pStyle w:val="Compact"/>
              <w:jc w:val="left"/>
            </w:pPr>
            <w:r>
              <w:rPr>
                <w:bCs/>
                <w:b/>
              </w:rPr>
              <w:t xml:space="preserve">Brook Trout</w:t>
            </w:r>
          </w:p>
        </w:tc>
        <w:tc>
          <w:tcPr/>
          <w:p>
            <w:pPr>
              <w:pStyle w:val="Compact"/>
              <w:jc w:val="left"/>
            </w:pPr>
            <w:r>
              <w:rPr>
                <w:bCs/>
                <w:b/>
              </w:rPr>
              <w:t xml:space="preserve">NF</w:t>
            </w:r>
          </w:p>
        </w:tc>
        <w:tc>
          <w:tcPr/>
          <w:p>
            <w:pPr>
              <w:pStyle w:val="Compact"/>
              <w:jc w:val="left"/>
            </w:pPr>
            <w:r>
              <w:rPr>
                <w:bCs/>
                <w:b/>
              </w:rPr>
              <w:t xml:space="preserve">Not detected</w:t>
            </w:r>
          </w:p>
        </w:tc>
      </w:tr>
      <w:tr>
        <w:tc>
          <w:tcPr/>
          <w:p>
            <w:pPr>
              <w:pStyle w:val="Compact"/>
              <w:jc w:val="left"/>
            </w:pPr>
            <w:r>
              <w:t xml:space="preserve">Fourspine Stickleback</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Mummichog</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Rainbow Smelt</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Smallmouth Bass</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Creek Chub</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Yellow Perch</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Atlantic Menhaden</w:t>
            </w:r>
          </w:p>
        </w:tc>
        <w:tc>
          <w:tcPr/>
          <w:p>
            <w:pPr>
              <w:pStyle w:val="Compact"/>
              <w:jc w:val="left"/>
            </w:pPr>
            <w:r>
              <w:t xml:space="preserve">NF</w:t>
            </w:r>
          </w:p>
        </w:tc>
        <w:tc>
          <w:tcPr/>
          <w:p>
            <w:pPr>
              <w:pStyle w:val="Compact"/>
              <w:jc w:val="left"/>
            </w:pPr>
            <w:r>
              <w:t xml:space="preserve">–</w:t>
            </w:r>
          </w:p>
        </w:tc>
      </w:tr>
    </w:tbl>
    <w:bookmarkEnd w:id="114"/>
    <w:bookmarkStart w:id="115" w:name="narrative-13"/>
    <w:p>
      <w:pPr>
        <w:pStyle w:val="Heading3"/>
      </w:pPr>
      <w:r>
        <w:t xml:space="preserve">Narrative</w:t>
      </w:r>
    </w:p>
    <w:p>
      <w:pPr>
        <w:pStyle w:val="FirstParagraph"/>
      </w:pPr>
      <w:r>
        <w:t xml:space="preserve">Brook Trout were not detected at Upper Sawmill Brook on November 22, 2025. This is the spawning season – Brook Trout are at peak behavioral activity in November, moving to gravel redds in cool, well-oxygenated reaches. The absence of a detectable signal at this site, in this month, is the most significant negative result in the November batch.</w:t>
      </w:r>
    </w:p>
    <w:p>
      <w:pPr>
        <w:pStyle w:val="BodyText"/>
      </w:pPr>
      <w:r>
        <w:t xml:space="preserve">The fish community that was detected – Golden Shiner (57.9%) and Bluegill Sunfish (36.2%) together accounting for 94% of reads – is a warm-water, lentic assemblage. This is the community of a pond, impoundment, or slow backwater, not a flowing cold-water stream. H(f) = 0.91 reflects a two-species-dominated system with limited diversity.</w:t>
      </w:r>
    </w:p>
    <w:p>
      <w:pPr>
        <w:pStyle w:val="BodyText"/>
      </w:pPr>
      <w:r>
        <w:t xml:space="preserve">American Eel (2.6%) confirms that some downstream connectivity to tidal water is maintained. Largemouth Bass (2.1%) and Brown Bullhead (0.2%) are warm-water tolerant species consistent with the lentic signal.</w:t>
      </w:r>
    </w:p>
    <w:p>
      <w:pPr>
        <w:pStyle w:val="BodyText"/>
      </w:pPr>
      <w:r>
        <w:rPr>
          <w:iCs/>
          <w:i/>
        </w:rPr>
        <w:t xml:space="preserve">Longear Sunfish</w:t>
      </w:r>
      <w:r>
        <w:t xml:space="preserve"> </w:t>
      </w:r>
      <w:r>
        <w:t xml:space="preserve">(</w:t>
      </w:r>
      <w:r>
        <w:rPr>
          <w:iCs/>
          <w:i/>
        </w:rPr>
        <w:t xml:space="preserve">Lepomis megalotis</w:t>
      </w:r>
      <w:r>
        <w:t xml:space="preserve">, 0.3%) is not native to New England. This detection is a database artifact – the same category as the</w:t>
      </w:r>
      <w:r>
        <w:t xml:space="preserve"> </w:t>
      </w:r>
      <w:r>
        <w:rPr>
          <w:iCs/>
          <w:i/>
        </w:rPr>
        <w:t xml:space="preserve">Esox lucius</w:t>
      </w:r>
      <w:r>
        <w:t xml:space="preserve"> </w:t>
      </w:r>
      <w:r>
        <w:t xml:space="preserve">misassignment documented at Second Pond. It is treated as misassigned</w:t>
      </w:r>
      <w:r>
        <w:t xml:space="preserve"> </w:t>
      </w:r>
      <w:r>
        <w:rPr>
          <w:iCs/>
          <w:i/>
        </w:rPr>
        <w:t xml:space="preserve">Lepomis</w:t>
      </w:r>
      <w:r>
        <w:t xml:space="preserve"> </w:t>
      </w:r>
      <w:r>
        <w:t xml:space="preserve">spp. and excluded from ecological interpretation.</w:t>
      </w:r>
    </w:p>
    <w:bookmarkEnd w:id="115"/>
    <w:bookmarkStart w:id="116" w:name="native-vs.-non-native-11"/>
    <w:p>
      <w:pPr>
        <w:pStyle w:val="Heading3"/>
      </w:pPr>
      <w:r>
        <w:t xml:space="preserve">Native vs. Non-Native</w:t>
      </w:r>
    </w:p>
    <w:p>
      <w:pPr>
        <w:pStyle w:val="FirstParagraph"/>
      </w:pPr>
      <w:r>
        <w:t xml:space="preserve">All detected fish are native to eastern North America. No confirmed non-native species. The</w:t>
      </w:r>
      <w:r>
        <w:t xml:space="preserve"> </w:t>
      </w:r>
      <w:r>
        <w:rPr>
          <w:iCs/>
          <w:i/>
        </w:rPr>
        <w:t xml:space="preserve">Longear Sunfish</w:t>
      </w:r>
      <w:r>
        <w:t xml:space="preserve"> </w:t>
      </w:r>
      <w:r>
        <w:t xml:space="preserve">assignment is a database artifact (see above).</w:t>
      </w:r>
    </w:p>
    <w:p>
      <w:r>
        <w:pict>
          <v:rect style="width:0;height:1.5pt" o:hralign="center" o:hrstd="t" o:hr="t"/>
        </w:pict>
      </w:r>
    </w:p>
    <w:bookmarkEnd w:id="116"/>
    <w:bookmarkEnd w:id="117"/>
    <w:bookmarkStart w:id="122" w:name="below-school-st-nov-22-2025"/>
    <w:p>
      <w:pPr>
        <w:pStyle w:val="Heading2"/>
      </w:pPr>
      <w:r>
        <w:t xml:space="preserve">Below School St | Nov 22, 2025</w:t>
      </w:r>
    </w:p>
    <w:p>
      <w:pPr>
        <w:pStyle w:val="FirstParagraph"/>
      </w:pPr>
      <w:r>
        <w:rPr>
          <w:bCs/>
          <w:b/>
        </w:rPr>
        <w:t xml:space="preserve">Fish: 9 species detected, H(f) = 1.40 (good diversity) | No algae data this event</w:t>
      </w:r>
    </w:p>
    <w:bookmarkStart w:id="118" w:name="sentinel-signal-14"/>
    <w:p>
      <w:pPr>
        <w:pStyle w:val="Heading3"/>
      </w:pPr>
      <w:r>
        <w:t xml:space="preserve">Sentinel Signal</w:t>
      </w:r>
    </w:p>
    <w:p>
      <w:pPr>
        <w:pStyle w:val="FirstParagraph"/>
      </w:pPr>
      <w:r>
        <w:t xml:space="preserve">Mummichog (42.2%) + Fourspine Stickleback (31.6%) + American Eel (15.6%) =</w:t>
      </w:r>
      <w:r>
        <w:t xml:space="preserve"> </w:t>
      </w:r>
      <w:r>
        <w:rPr>
          <w:bCs/>
          <w:b/>
        </w:rPr>
        <w:t xml:space="preserve">tidal freshwater-to-oligohaline transition, fully functional</w:t>
      </w:r>
      <w:r>
        <w:t xml:space="preserve">. Brook Trout confirmed at</w:t>
      </w:r>
      <w:r>
        <w:t xml:space="preserve"> </w:t>
      </w:r>
      <w:r>
        <w:rPr>
          <w:bCs/>
          <w:b/>
        </w:rPr>
        <w:t xml:space="preserve">4.8%</w:t>
      </w:r>
      <w:r>
        <w:t xml:space="preserve"> </w:t>
      </w:r>
      <w:r>
        <w:t xml:space="preserve">– detected in November during spawning season at the tidal reach.</w:t>
      </w:r>
    </w:p>
    <w:bookmarkEnd w:id="118"/>
    <w:bookmarkStart w:id="119"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Mummichog</w:t>
            </w:r>
          </w:p>
        </w:tc>
        <w:tc>
          <w:tcPr/>
          <w:p>
            <w:pPr>
              <w:pStyle w:val="Compact"/>
              <w:jc w:val="left"/>
            </w:pPr>
            <w:r>
              <w:t xml:space="preserve">42.2%</w:t>
            </w:r>
          </w:p>
        </w:tc>
        <w:tc>
          <w:tcPr/>
          <w:p>
            <w:pPr>
              <w:pStyle w:val="Compact"/>
              <w:jc w:val="left"/>
            </w:pPr>
            <w:r>
              <w:t xml:space="preserve">Tidal/estuarine indicator</w:t>
            </w:r>
          </w:p>
        </w:tc>
      </w:tr>
      <w:tr>
        <w:tc>
          <w:tcPr/>
          <w:p>
            <w:pPr>
              <w:pStyle w:val="Compact"/>
              <w:jc w:val="left"/>
            </w:pPr>
            <w:r>
              <w:t xml:space="preserve">Fourspine Stickleback</w:t>
            </w:r>
          </w:p>
        </w:tc>
        <w:tc>
          <w:tcPr/>
          <w:p>
            <w:pPr>
              <w:pStyle w:val="Compact"/>
              <w:jc w:val="left"/>
            </w:pPr>
            <w:r>
              <w:t xml:space="preserve">31.6%</w:t>
            </w:r>
          </w:p>
        </w:tc>
        <w:tc>
          <w:tcPr/>
          <w:p>
            <w:pPr>
              <w:pStyle w:val="Compact"/>
              <w:jc w:val="left"/>
            </w:pPr>
            <w:r>
              <w:t xml:space="preserve">Brackish-water specialist</w:t>
            </w:r>
          </w:p>
        </w:tc>
      </w:tr>
      <w:tr>
        <w:tc>
          <w:tcPr/>
          <w:p>
            <w:pPr>
              <w:pStyle w:val="Compact"/>
              <w:jc w:val="left"/>
            </w:pPr>
            <w:r>
              <w:t xml:space="preserve">American Eel</w:t>
            </w:r>
          </w:p>
        </w:tc>
        <w:tc>
          <w:tcPr/>
          <w:p>
            <w:pPr>
              <w:pStyle w:val="Compact"/>
              <w:jc w:val="left"/>
            </w:pPr>
            <w:r>
              <w:t xml:space="preserve">15.6%</w:t>
            </w:r>
          </w:p>
        </w:tc>
        <w:tc>
          <w:tcPr/>
          <w:p>
            <w:pPr>
              <w:pStyle w:val="Compact"/>
              <w:jc w:val="left"/>
            </w:pPr>
            <w:r>
              <w:t xml:space="preserve">Catadromous; ocean connectivity confirmed</w:t>
            </w:r>
          </w:p>
        </w:tc>
      </w:tr>
      <w:tr>
        <w:tc>
          <w:tcPr/>
          <w:p>
            <w:pPr>
              <w:pStyle w:val="Compact"/>
              <w:jc w:val="left"/>
            </w:pPr>
            <w:r>
              <w:rPr>
                <w:bCs/>
                <w:b/>
              </w:rPr>
              <w:t xml:space="preserve">Brook Trout</w:t>
            </w:r>
          </w:p>
        </w:tc>
        <w:tc>
          <w:tcPr/>
          <w:p>
            <w:pPr>
              <w:pStyle w:val="Compact"/>
              <w:jc w:val="left"/>
            </w:pPr>
            <w:r>
              <w:rPr>
                <w:bCs/>
                <w:b/>
              </w:rPr>
              <w:t xml:space="preserve">4.8%</w:t>
            </w:r>
          </w:p>
        </w:tc>
        <w:tc>
          <w:tcPr/>
          <w:p>
            <w:pPr>
              <w:pStyle w:val="Compact"/>
              <w:jc w:val="left"/>
            </w:pPr>
            <w:r>
              <w:rPr>
                <w:bCs/>
                <w:b/>
              </w:rPr>
              <w:t xml:space="preserve">Confirmed – spawning season detection</w:t>
            </w:r>
          </w:p>
        </w:tc>
      </w:tr>
      <w:tr>
        <w:tc>
          <w:tcPr/>
          <w:p>
            <w:pPr>
              <w:pStyle w:val="Compact"/>
              <w:jc w:val="left"/>
            </w:pPr>
            <w:r>
              <w:t xml:space="preserve">Golden Shiner</w:t>
            </w:r>
          </w:p>
        </w:tc>
        <w:tc>
          <w:tcPr/>
          <w:p>
            <w:pPr>
              <w:pStyle w:val="Compact"/>
              <w:jc w:val="left"/>
            </w:pPr>
            <w:r>
              <w:t xml:space="preserve">2.9%</w:t>
            </w:r>
          </w:p>
        </w:tc>
        <w:tc>
          <w:tcPr/>
          <w:p>
            <w:pPr>
              <w:pStyle w:val="Compact"/>
              <w:jc w:val="left"/>
            </w:pPr>
            <w:r>
              <w:t xml:space="preserve">Freshwater component</w:t>
            </w:r>
          </w:p>
        </w:tc>
      </w:tr>
      <w:tr>
        <w:tc>
          <w:tcPr/>
          <w:p>
            <w:pPr>
              <w:pStyle w:val="Compact"/>
              <w:jc w:val="left"/>
            </w:pPr>
            <w:r>
              <w:t xml:space="preserve">Bluegill Sunfish</w:t>
            </w:r>
          </w:p>
        </w:tc>
        <w:tc>
          <w:tcPr/>
          <w:p>
            <w:pPr>
              <w:pStyle w:val="Compact"/>
              <w:jc w:val="left"/>
            </w:pPr>
            <w:r>
              <w:t xml:space="preserve">1.5%</w:t>
            </w:r>
          </w:p>
        </w:tc>
        <w:tc>
          <w:tcPr/>
          <w:p>
            <w:pPr>
              <w:pStyle w:val="Compact"/>
              <w:jc w:val="left"/>
            </w:pPr>
            <w:r>
              <w:t xml:space="preserve">Warm-water sunfish</w:t>
            </w:r>
          </w:p>
        </w:tc>
      </w:tr>
      <w:tr>
        <w:tc>
          <w:tcPr/>
          <w:p>
            <w:pPr>
              <w:pStyle w:val="Compact"/>
              <w:jc w:val="left"/>
            </w:pPr>
            <w:r>
              <w:t xml:space="preserve">Largemouth Bass</w:t>
            </w:r>
          </w:p>
        </w:tc>
        <w:tc>
          <w:tcPr/>
          <w:p>
            <w:pPr>
              <w:pStyle w:val="Compact"/>
              <w:jc w:val="left"/>
            </w:pPr>
            <w:r>
              <w:t xml:space="preserve">1.4%</w:t>
            </w:r>
          </w:p>
        </w:tc>
        <w:tc>
          <w:tcPr/>
          <w:p>
            <w:pPr>
              <w:pStyle w:val="Compact"/>
              <w:jc w:val="left"/>
            </w:pPr>
            <w:r>
              <w:t xml:space="preserve">Warm-water predator</w:t>
            </w:r>
          </w:p>
        </w:tc>
      </w:tr>
      <w:tr>
        <w:tc>
          <w:tcPr/>
          <w:p>
            <w:pPr>
              <w:pStyle w:val="Compact"/>
              <w:jc w:val="left"/>
            </w:pPr>
            <w:r>
              <w:t xml:space="preserve">Brown Bullhead</w:t>
            </w:r>
          </w:p>
        </w:tc>
        <w:tc>
          <w:tcPr/>
          <w:p>
            <w:pPr>
              <w:pStyle w:val="Compact"/>
              <w:jc w:val="left"/>
            </w:pPr>
            <w:r>
              <w:t xml:space="preserve">0.1%</w:t>
            </w:r>
          </w:p>
        </w:tc>
        <w:tc>
          <w:tcPr/>
          <w:p>
            <w:pPr>
              <w:pStyle w:val="Compact"/>
              <w:jc w:val="left"/>
            </w:pPr>
            <w:r>
              <w:t xml:space="preserve">Tolerant benthic</w:t>
            </w:r>
          </w:p>
        </w:tc>
      </w:tr>
      <w:tr>
        <w:tc>
          <w:tcPr/>
          <w:p>
            <w:pPr>
              <w:pStyle w:val="Compact"/>
              <w:jc w:val="left"/>
            </w:pPr>
            <w:r>
              <w:t xml:space="preserve">Smallmouth Bass</w:t>
            </w:r>
          </w:p>
        </w:tc>
        <w:tc>
          <w:tcPr/>
          <w:p>
            <w:pPr>
              <w:pStyle w:val="Compact"/>
              <w:jc w:val="left"/>
            </w:pPr>
            <w:r>
              <w:t xml:space="preserve">0.1%</w:t>
            </w:r>
          </w:p>
        </w:tc>
        <w:tc>
          <w:tcPr/>
          <w:p>
            <w:pPr>
              <w:pStyle w:val="Compact"/>
              <w:jc w:val="left"/>
            </w:pPr>
            <w:r>
              <w:t xml:space="preserve">Clean-water indicator</w:t>
            </w:r>
          </w:p>
        </w:tc>
      </w:tr>
    </w:tbl>
    <w:bookmarkEnd w:id="119"/>
    <w:bookmarkStart w:id="120" w:name="narrative-14"/>
    <w:p>
      <w:pPr>
        <w:pStyle w:val="Heading3"/>
      </w:pPr>
      <w:r>
        <w:t xml:space="preserve">Narrative</w:t>
      </w:r>
    </w:p>
    <w:p>
      <w:pPr>
        <w:pStyle w:val="FirstParagraph"/>
      </w:pPr>
      <w:r>
        <w:t xml:space="preserve">The tidal character of Below School St is unchanged: Mummichog and Fourspine Stickleback together account for 73.8% of reads, defining this site’s identity as unambiguously as any chemical measurement could. American Eel at 15.6% confirms open ocean connectivity.</w:t>
      </w:r>
    </w:p>
    <w:p>
      <w:pPr>
        <w:pStyle w:val="BodyText"/>
      </w:pPr>
      <w:r>
        <w:t xml:space="preserve">Brook Trout at 4.8% is confirmed – detected at the tidal reach of Sawmill Brook during spawning season. H(f) = 1.40 matches the November 2023 sampling at this site, indicating a stable diverse estuarine assemblage.</w:t>
      </w:r>
    </w:p>
    <w:p>
      <w:pPr>
        <w:pStyle w:val="BodyText"/>
      </w:pPr>
      <w:r>
        <w:t xml:space="preserve">The freshwater component (Golden Shiner 2.9%, Bluegill Sunfish 1.5%, Largemouth Bass 1.4%) reflects upstream mixing – pond-origin fish eDNA carried downstream or present in the tidal backwater. Smallmouth Bass (0.1%) at this site is notable; their low-level detection is consistent with occasional dispersal from upstream reaches.</w:t>
      </w:r>
    </w:p>
    <w:bookmarkEnd w:id="120"/>
    <w:bookmarkStart w:id="121" w:name="native-vs.-non-native-12"/>
    <w:p>
      <w:pPr>
        <w:pStyle w:val="Heading3"/>
      </w:pPr>
      <w:r>
        <w:t xml:space="preserve">Native vs. Non-Native</w:t>
      </w:r>
    </w:p>
    <w:p>
      <w:pPr>
        <w:pStyle w:val="FirstParagraph"/>
      </w:pPr>
      <w:r>
        <w:t xml:space="preserve">All detected fish are native to the coastal New England estuarine environment. No non-native fish signal.</w:t>
      </w:r>
    </w:p>
    <w:p>
      <w:r>
        <w:pict>
          <v:rect style="width:0;height:1.5pt" o:hralign="center" o:hrstd="t" o:hr="t"/>
        </w:pict>
      </w:r>
    </w:p>
    <w:bookmarkEnd w:id="121"/>
    <w:bookmarkEnd w:id="122"/>
    <w:bookmarkStart w:id="127" w:name="southern-boundary-essex-club-nov-22-2025"/>
    <w:p>
      <w:pPr>
        <w:pStyle w:val="Heading2"/>
      </w:pPr>
      <w:r>
        <w:t xml:space="preserve">Southern Boundary / Essex Club | Nov 22, 2025</w:t>
      </w:r>
    </w:p>
    <w:p>
      <w:pPr>
        <w:pStyle w:val="FirstParagraph"/>
      </w:pPr>
      <w:r>
        <w:rPr>
          <w:bCs/>
          <w:b/>
        </w:rPr>
        <w:t xml:space="preserve">Fish: 8 species detected, H(f) = 1.63 (good diversity) | No algae data this event</w:t>
      </w:r>
    </w:p>
    <w:bookmarkStart w:id="123" w:name="sentinel-signal-15"/>
    <w:p>
      <w:pPr>
        <w:pStyle w:val="Heading3"/>
      </w:pPr>
      <w:r>
        <w:t xml:space="preserve">Sentinel Signal</w:t>
      </w:r>
    </w:p>
    <w:p>
      <w:pPr>
        <w:pStyle w:val="FirstParagraph"/>
      </w:pPr>
      <w:r>
        <w:t xml:space="preserve">Fourspine Stickleback (32%) + Mummichog (8%) = tidal/estuarine influence present. Bluegill Sunfish (24%) + Golden Shiner (15%) = freshwater warm-water input.</w:t>
      </w:r>
      <w:r>
        <w:t xml:space="preserve"> </w:t>
      </w:r>
      <w:r>
        <w:rPr>
          <w:bCs/>
          <w:b/>
        </w:rPr>
        <w:t xml:space="preserve">Brook Trout: not detected.</w:t>
      </w:r>
      <w:r>
        <w:t xml:space="preserve"> </w:t>
      </w:r>
      <w:r>
        <w:t xml:space="preserve">Atlantic Menhaden (1%) – flag for cormorant dietary artifact.</w:t>
      </w:r>
    </w:p>
    <w:bookmarkEnd w:id="123"/>
    <w:bookmarkStart w:id="124"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Fourspine Stickleback</w:t>
            </w:r>
          </w:p>
        </w:tc>
        <w:tc>
          <w:tcPr/>
          <w:p>
            <w:pPr>
              <w:pStyle w:val="Compact"/>
              <w:jc w:val="left"/>
            </w:pPr>
            <w:r>
              <w:t xml:space="preserve">32%</w:t>
            </w:r>
          </w:p>
        </w:tc>
        <w:tc>
          <w:tcPr/>
          <w:p>
            <w:pPr>
              <w:pStyle w:val="Compact"/>
              <w:jc w:val="left"/>
            </w:pPr>
            <w:r>
              <w:t xml:space="preserve">Brackish-water specialist; tidal marker</w:t>
            </w:r>
          </w:p>
        </w:tc>
      </w:tr>
      <w:tr>
        <w:tc>
          <w:tcPr/>
          <w:p>
            <w:pPr>
              <w:pStyle w:val="Compact"/>
              <w:jc w:val="left"/>
            </w:pPr>
            <w:r>
              <w:t xml:space="preserve">Bluegill Sunfish</w:t>
            </w:r>
          </w:p>
        </w:tc>
        <w:tc>
          <w:tcPr/>
          <w:p>
            <w:pPr>
              <w:pStyle w:val="Compact"/>
              <w:jc w:val="left"/>
            </w:pPr>
            <w:r>
              <w:t xml:space="preserve">24%</w:t>
            </w:r>
          </w:p>
        </w:tc>
        <w:tc>
          <w:tcPr/>
          <w:p>
            <w:pPr>
              <w:pStyle w:val="Compact"/>
              <w:jc w:val="left"/>
            </w:pPr>
            <w:r>
              <w:t xml:space="preserve">Warm-water freshwater sunfish</w:t>
            </w:r>
          </w:p>
        </w:tc>
      </w:tr>
      <w:tr>
        <w:tc>
          <w:tcPr/>
          <w:p>
            <w:pPr>
              <w:pStyle w:val="Compact"/>
              <w:jc w:val="left"/>
            </w:pPr>
            <w:r>
              <w:t xml:space="preserve">American Eel</w:t>
            </w:r>
          </w:p>
        </w:tc>
        <w:tc>
          <w:tcPr/>
          <w:p>
            <w:pPr>
              <w:pStyle w:val="Compact"/>
              <w:jc w:val="left"/>
            </w:pPr>
            <w:r>
              <w:t xml:space="preserve">17%</w:t>
            </w:r>
          </w:p>
        </w:tc>
        <w:tc>
          <w:tcPr/>
          <w:p>
            <w:pPr>
              <w:pStyle w:val="Compact"/>
              <w:jc w:val="left"/>
            </w:pPr>
            <w:r>
              <w:t xml:space="preserve">Catadromous; ocean connectivity</w:t>
            </w:r>
          </w:p>
        </w:tc>
      </w:tr>
      <w:tr>
        <w:tc>
          <w:tcPr/>
          <w:p>
            <w:pPr>
              <w:pStyle w:val="Compact"/>
              <w:jc w:val="left"/>
            </w:pPr>
            <w:r>
              <w:t xml:space="preserve">Golden Shiner</w:t>
            </w:r>
          </w:p>
        </w:tc>
        <w:tc>
          <w:tcPr/>
          <w:p>
            <w:pPr>
              <w:pStyle w:val="Compact"/>
              <w:jc w:val="left"/>
            </w:pPr>
            <w:r>
              <w:t xml:space="preserve">15%</w:t>
            </w:r>
          </w:p>
        </w:tc>
        <w:tc>
          <w:tcPr/>
          <w:p>
            <w:pPr>
              <w:pStyle w:val="Compact"/>
              <w:jc w:val="left"/>
            </w:pPr>
            <w:r>
              <w:t xml:space="preserve">Freshwater lentic species</w:t>
            </w:r>
          </w:p>
        </w:tc>
      </w:tr>
      <w:tr>
        <w:tc>
          <w:tcPr/>
          <w:p>
            <w:pPr>
              <w:pStyle w:val="Compact"/>
              <w:jc w:val="left"/>
            </w:pPr>
            <w:r>
              <w:t xml:space="preserve">Mummichog</w:t>
            </w:r>
          </w:p>
        </w:tc>
        <w:tc>
          <w:tcPr/>
          <w:p>
            <w:pPr>
              <w:pStyle w:val="Compact"/>
              <w:jc w:val="left"/>
            </w:pPr>
            <w:r>
              <w:t xml:space="preserve">8%</w:t>
            </w:r>
          </w:p>
        </w:tc>
        <w:tc>
          <w:tcPr/>
          <w:p>
            <w:pPr>
              <w:pStyle w:val="Compact"/>
              <w:jc w:val="left"/>
            </w:pPr>
            <w:r>
              <w:t xml:space="preserve">Tidal/estuarine indicator</w:t>
            </w:r>
          </w:p>
        </w:tc>
      </w:tr>
      <w:tr>
        <w:tc>
          <w:tcPr/>
          <w:p>
            <w:pPr>
              <w:pStyle w:val="Compact"/>
              <w:jc w:val="left"/>
            </w:pPr>
            <w:r>
              <w:t xml:space="preserve">Atlantic Menhaden</w:t>
            </w:r>
          </w:p>
        </w:tc>
        <w:tc>
          <w:tcPr/>
          <w:p>
            <w:pPr>
              <w:pStyle w:val="Compact"/>
              <w:jc w:val="left"/>
            </w:pPr>
            <w:r>
              <w:t xml:space="preserve">1%</w:t>
            </w:r>
          </w:p>
        </w:tc>
        <w:tc>
          <w:tcPr/>
          <w:p>
            <w:pPr>
              <w:pStyle w:val="Compact"/>
              <w:jc w:val="left"/>
            </w:pPr>
            <w:r>
              <w:t xml:space="preserve">Marine schooling fish – cormorant dietary artifact (see QC note)</w:t>
            </w:r>
          </w:p>
        </w:tc>
      </w:tr>
      <w:tr>
        <w:tc>
          <w:tcPr/>
          <w:p>
            <w:pPr>
              <w:pStyle w:val="Compact"/>
              <w:jc w:val="left"/>
            </w:pPr>
            <w:r>
              <w:t xml:space="preserve">Creek Chub</w:t>
            </w:r>
          </w:p>
        </w:tc>
        <w:tc>
          <w:tcPr/>
          <w:p>
            <w:pPr>
              <w:pStyle w:val="Compact"/>
              <w:jc w:val="left"/>
            </w:pPr>
            <w:r>
              <w:t xml:space="preserve">1%</w:t>
            </w:r>
          </w:p>
        </w:tc>
        <w:tc>
          <w:tcPr/>
          <w:p>
            <w:pPr>
              <w:pStyle w:val="Compact"/>
              <w:jc w:val="left"/>
            </w:pPr>
            <w:r>
              <w:t xml:space="preserve">Native freshwater stream fish</w:t>
            </w:r>
          </w:p>
        </w:tc>
      </w:tr>
      <w:tr>
        <w:tc>
          <w:tcPr/>
          <w:p>
            <w:pPr>
              <w:pStyle w:val="Compact"/>
              <w:jc w:val="left"/>
            </w:pPr>
            <w:r>
              <w:t xml:space="preserve">Yellow Perch</w:t>
            </w:r>
          </w:p>
        </w:tc>
        <w:tc>
          <w:tcPr/>
          <w:p>
            <w:pPr>
              <w:pStyle w:val="Compact"/>
              <w:jc w:val="left"/>
            </w:pPr>
            <w:r>
              <w:t xml:space="preserve">1%</w:t>
            </w:r>
          </w:p>
        </w:tc>
        <w:tc>
          <w:tcPr/>
          <w:p>
            <w:pPr>
              <w:pStyle w:val="Compact"/>
              <w:jc w:val="left"/>
            </w:pPr>
            <w:r>
              <w:t xml:space="preserve">Native freshwater tolerant generalist</w:t>
            </w:r>
          </w:p>
        </w:tc>
      </w:tr>
      <w:tr>
        <w:tc>
          <w:tcPr/>
          <w:p>
            <w:pPr>
              <w:pStyle w:val="Compact"/>
              <w:jc w:val="left"/>
            </w:pPr>
            <w:r>
              <w:rPr>
                <w:bCs/>
                <w:b/>
              </w:rPr>
              <w:t xml:space="preserve">Brook Trout</w:t>
            </w:r>
          </w:p>
        </w:tc>
        <w:tc>
          <w:tcPr/>
          <w:p>
            <w:pPr>
              <w:pStyle w:val="Compact"/>
              <w:jc w:val="left"/>
            </w:pPr>
            <w:r>
              <w:rPr>
                <w:bCs/>
                <w:b/>
              </w:rPr>
              <w:t xml:space="preserve">NF</w:t>
            </w:r>
          </w:p>
        </w:tc>
        <w:tc>
          <w:tcPr/>
          <w:p>
            <w:pPr>
              <w:pStyle w:val="Compact"/>
              <w:jc w:val="left"/>
            </w:pPr>
            <w:r>
              <w:rPr>
                <w:bCs/>
                <w:b/>
              </w:rPr>
              <w:t xml:space="preserve">Not detected</w:t>
            </w:r>
          </w:p>
        </w:tc>
      </w:tr>
    </w:tbl>
    <w:bookmarkEnd w:id="124"/>
    <w:bookmarkStart w:id="125" w:name="narrative-15"/>
    <w:p>
      <w:pPr>
        <w:pStyle w:val="Heading3"/>
      </w:pPr>
      <w:r>
        <w:t xml:space="preserve">Narrative</w:t>
      </w:r>
    </w:p>
    <w:p>
      <w:pPr>
        <w:pStyle w:val="FirstParagraph"/>
      </w:pPr>
      <w:r>
        <w:t xml:space="preserve">Southern Boundary / Essex Club occupies an ecotone between the freshwater Sawmill Brook system and the tidal-influenced lower reach. The fish community reflects this mixed character: Fourspine Stickleback and Mummichog confirm tidal influence; Golden Shiner and Bluegill Sunfish indicate freshwater lentic input. H(f) = 1.63 is the highest in the November 2025 batch, consistent with ecotone sites receiving species from both adjacent systems.</w:t>
      </w:r>
    </w:p>
    <w:p>
      <w:pPr>
        <w:pStyle w:val="BodyText"/>
      </w:pPr>
      <w:r>
        <w:t xml:space="preserve">Brook Trout were not detected. In November – spawning season – this absence is ecologically meaningful.</w:t>
      </w:r>
    </w:p>
    <w:p>
      <w:pPr>
        <w:pStyle w:val="BodyText"/>
      </w:pPr>
      <w:r>
        <w:t xml:space="preserve">Creek Chub (1%) is a native stream fish preferring flowing water with gravel substrate – more compatible with Brook Trout habitat than the lentic signal dominant at Upper Sawmill.</w:t>
      </w:r>
    </w:p>
    <w:p>
      <w:pPr>
        <w:pStyle w:val="BodyText"/>
      </w:pPr>
      <w:r>
        <w:rPr>
          <w:bCs/>
          <w:b/>
        </w:rPr>
        <w:t xml:space="preserve">Atlantic Menhaden QC note:</w:t>
      </w:r>
      <w:r>
        <w:t xml:space="preserve"> </w:t>
      </w:r>
      <w:r>
        <w:t xml:space="preserve">Atlantic Menhaden (</w:t>
      </w:r>
      <w:r>
        <w:rPr>
          <w:iCs/>
          <w:i/>
        </w:rPr>
        <w:t xml:space="preserve">Brevoortia tyrannus</w:t>
      </w:r>
      <w:r>
        <w:t xml:space="preserve">) are coastal marine schooling fish that do not enter small tidal creeks. Their presence at 1% is consistent with cormorant dietary artifact, documented at the Atwater Site (JVB4981, June 2025) where Menhaden and marine prickleback (</w:t>
      </w:r>
      <w:r>
        <w:rPr>
          <w:iCs/>
          <w:i/>
        </w:rPr>
        <w:t xml:space="preserve">Xiphister</w:t>
      </w:r>
      <w:r>
        <w:t xml:space="preserve"> </w:t>
      </w:r>
      <w:r>
        <w:t xml:space="preserve">spp.) were attributed to Double-crested Cormorant fecal input. The 1% Menhaden reading at Essex Club is not interpreted as live fish.</w:t>
      </w:r>
    </w:p>
    <w:bookmarkEnd w:id="125"/>
    <w:bookmarkStart w:id="126" w:name="native-vs.-non-native-13"/>
    <w:p>
      <w:pPr>
        <w:pStyle w:val="Heading3"/>
      </w:pPr>
      <w:r>
        <w:t xml:space="preserve">Native vs. Non-Native</w:t>
      </w:r>
    </w:p>
    <w:p>
      <w:pPr>
        <w:pStyle w:val="FirstParagraph"/>
      </w:pPr>
      <w:r>
        <w:t xml:space="preserve">All detected fish are native to coastal New England. No confirmed non-native species. Atlantic Menhaden detection treated as cormorant dietary artifact.</w:t>
      </w:r>
    </w:p>
    <w:p>
      <w:r>
        <w:pict>
          <v:rect style="width:0;height:1.5pt" o:hralign="center" o:hrstd="t" o:hr="t"/>
        </w:pict>
      </w:r>
    </w:p>
    <w:bookmarkEnd w:id="126"/>
    <w:bookmarkEnd w:id="127"/>
    <w:bookmarkStart w:id="128" w:name="Xf5341428c39fc8adde34ff518b35b786279bbec"/>
    <w:p>
      <w:pPr>
        <w:pStyle w:val="Heading2"/>
      </w:pPr>
      <w:r>
        <w:t xml:space="preserve">November 2025 – Longitudinal Brook Trout Summary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Site</w:t>
            </w:r>
          </w:p>
        </w:tc>
        <w:tc>
          <w:tcPr/>
          <w:p>
            <w:pPr>
              <w:pStyle w:val="Compact"/>
              <w:jc w:val="left"/>
            </w:pPr>
            <w:r>
              <w:t xml:space="preserve">Nov 22, 2025</w:t>
            </w:r>
          </w:p>
        </w:tc>
        <w:tc>
          <w:tcPr/>
          <w:p>
            <w:pPr>
              <w:pStyle w:val="Compact"/>
              <w:jc w:val="left"/>
            </w:pPr>
            <w:r>
              <w:t xml:space="preserve">Prior detection</w:t>
            </w:r>
          </w:p>
        </w:tc>
      </w:tr>
      <w:tr>
        <w:tc>
          <w:tcPr/>
          <w:p>
            <w:pPr>
              <w:pStyle w:val="Compact"/>
              <w:jc w:val="left"/>
            </w:pPr>
            <w:r>
              <w:t xml:space="preserve">Upper Sawmill Brook</w:t>
            </w:r>
          </w:p>
        </w:tc>
        <w:tc>
          <w:tcPr/>
          <w:p>
            <w:pPr>
              <w:pStyle w:val="Compact"/>
              <w:jc w:val="left"/>
            </w:pPr>
            <w:r>
              <w:rPr>
                <w:bCs/>
                <w:b/>
              </w:rPr>
              <w:t xml:space="preserve">NF</w:t>
            </w:r>
          </w:p>
        </w:tc>
        <w:tc>
          <w:tcPr/>
          <w:p>
            <w:pPr>
              <w:pStyle w:val="Compact"/>
              <w:jc w:val="left"/>
            </w:pPr>
            <w:r>
              <w:t xml:space="preserve">Present historically (Golf Course reach Nov 2023)</w:t>
            </w:r>
          </w:p>
        </w:tc>
      </w:tr>
      <w:tr>
        <w:tc>
          <w:tcPr/>
          <w:p>
            <w:pPr>
              <w:pStyle w:val="Compact"/>
              <w:jc w:val="left"/>
            </w:pPr>
            <w:r>
              <w:t xml:space="preserve">Below School St</w:t>
            </w:r>
          </w:p>
        </w:tc>
        <w:tc>
          <w:tcPr/>
          <w:p>
            <w:pPr>
              <w:pStyle w:val="Compact"/>
              <w:jc w:val="left"/>
            </w:pPr>
            <w:r>
              <w:rPr>
                <w:bCs/>
                <w:b/>
              </w:rPr>
              <w:t xml:space="preserve">4.8%</w:t>
            </w:r>
          </w:p>
        </w:tc>
        <w:tc>
          <w:tcPr/>
          <w:p>
            <w:pPr>
              <w:pStyle w:val="Compact"/>
              <w:jc w:val="left"/>
            </w:pPr>
            <w:r>
              <w:t xml:space="preserve">2.5% (Nov 2023); consistent presence confirmed</w:t>
            </w:r>
          </w:p>
        </w:tc>
      </w:tr>
      <w:tr>
        <w:tc>
          <w:tcPr/>
          <w:p>
            <w:pPr>
              <w:pStyle w:val="Compact"/>
              <w:jc w:val="left"/>
            </w:pPr>
            <w:r>
              <w:t xml:space="preserve">Southern Boundary / Essex Club</w:t>
            </w:r>
          </w:p>
        </w:tc>
        <w:tc>
          <w:tcPr/>
          <w:p>
            <w:pPr>
              <w:pStyle w:val="Compact"/>
              <w:jc w:val="left"/>
            </w:pPr>
            <w:r>
              <w:rPr>
                <w:bCs/>
                <w:b/>
              </w:rPr>
              <w:t xml:space="preserve">NF</w:t>
            </w:r>
          </w:p>
        </w:tc>
        <w:tc>
          <w:tcPr/>
          <w:p>
            <w:pPr>
              <w:pStyle w:val="Compact"/>
              <w:jc w:val="left"/>
            </w:pPr>
            <w:r>
              <w:t xml:space="preserve">No prior data at this site</w:t>
            </w:r>
          </w:p>
        </w:tc>
      </w:tr>
    </w:tbl>
    <w:p>
      <w:pPr>
        <w:pStyle w:val="BodyText"/>
      </w:pPr>
      <w:r>
        <w:t xml:space="preserve">Brook Trout are confirmed present in the Sawmill watershed as of November 2025 – detected at Below School St during spawning season. Their absence at Upper Sawmill Brook in the same month, with a warm-water lentic assemblage dominant at that site, is the primary finding of this batch.</w:t>
      </w:r>
    </w:p>
    <w:bookmarkEnd w:id="128"/>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2026-04-25T12:15:59Z</dcterms:created>
  <dcterms:modified xsi:type="dcterms:W3CDTF">2026-04-25T12:15:59Z</dcterms:modified>
</cp:coreProperties>
</file>

<file path=docProps/custom.xml><?xml version="1.0" encoding="utf-8"?>
<Properties xmlns="http://schemas.openxmlformats.org/officeDocument/2006/custom-properties" xmlns:vt="http://schemas.openxmlformats.org/officeDocument/2006/docPropsVTypes"/>
</file>