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If a species is not detected, that is what is written.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which provides ecological context for the watershed’s coastal outlet.</w:t>
      </w:r>
    </w:p>
    <w:p>
      <w:pPr>
        <w:pStyle w:val="BodyText"/>
      </w:pPr>
      <w:r>
        <w:t xml:space="preserve">The Manchester-by-the-Sea Brook Trout Monitoring Program (MBTS) tracks the health and status of Sawmill Brook — a small suburban coastal stream that drains southwest into Manchester Harbor. The sampling network covers the full longitudinal gradient: from Second Pond and Cat Brook headwaters through the main stem, past the tidal limit at Fire Station, to the estuarine School Street reach.</w:t>
      </w:r>
    </w:p>
    <w:p>
      <w:pPr>
        <w:pStyle w:val="BodyText"/>
      </w:pPr>
      <w:r>
        <w:t xml:space="preserve">Brook Trout (</w:t>
      </w:r>
      <w:r>
        <w:rPr>
          <w:iCs/>
          <w:i/>
        </w:rPr>
        <w:t xml:space="preserve">Salvelinus fontinalis</w:t>
      </w:r>
      <w:r>
        <w:t xml:space="preserve">) are the primary monitoring target. Their presence or absence at each site tells a story about water quality, thermal conditions, and habitat connectivity. All other species detected — from Golden Shiner to Mummichog — are interpreted in relation to that central question: is this watershed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Algal reports can also shed light when fish DNA is not found — either due to sample failure or low winter fish movements.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[T8].</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Field pH and temperature readings in this dataset were made with a</w:t>
      </w:r>
      <w:r>
        <w:t xml:space="preserve"> </w:t>
      </w:r>
      <w:r>
        <w:rPr>
          <w:bCs/>
          <w:b/>
        </w:rPr>
        <w:t xml:space="preserve">Vivosun handheld pH meter (uncalibrated)</w:t>
      </w:r>
      <w:r>
        <w:t xml:space="preserve"> </w:t>
      </w:r>
      <w:r>
        <w:t xml:space="preserve">and should be treated as approximate (±0.5–1.0 pH unit). Measurements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field-sterile procedures. All samples were mailed to JV for processing. Most samples were analyzed using the MiFish 12S rRNA barcode (fish); several were also analyzed for algae using the 23S rRNA barcode. Results were processed in MS Excel and later using Artificial Intelligence (Claude / OpenAI).</w:t>
      </w:r>
    </w:p>
    <w:p>
      <w:r>
        <w:pict>
          <v:rect style="width:0;height:1.5pt" o:hralign="center" o:hrstd="t" o:hr="t"/>
        </w:pict>
      </w:r>
    </w:p>
    <w:bookmarkEnd w:id="24"/>
    <w:bookmarkStart w:id="25" w:name="X93fa744b53763da1c41fa67af8350b5f4cdbfd0"/>
    <w:p>
      <w:pPr>
        <w:pStyle w:val="Heading2"/>
      </w:pPr>
      <w:r>
        <w:t xml:space="preserve">Field pH &amp; Temperature — All MBTS Vivosun Measurements</w:t>
      </w:r>
    </w:p>
    <w:p>
      <w:pPr>
        <w:pStyle w:val="FirstParagraph"/>
      </w:pPr>
      <w:r>
        <w:rPr>
          <w:bCs/>
          <w:b/>
        </w:rPr>
        <w:t xml:space="preserve">Average pH across all 8 field readings: 6.23</w:t>
      </w:r>
      <w:r>
        <w:t xml:space="preserve"> </w:t>
      </w:r>
      <w:r>
        <w:t xml:space="preserve">(range 5.60–6.72) — every measurement falls within the Brook Trout adult pH tolerance range (5.0–7.5). The full MBTS watershed, at every site and season measured, presents chemically viable habitat for Brook Trout. No site has been found to be pH-excluded.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Brook Trout context</w:t>
            </w:r>
          </w:p>
        </w:tc>
      </w:tr>
      <w:tr>
        <w:tc>
          <w:tcPr/>
          <w:p>
            <w:pPr>
              <w:pStyle w:val="Compact"/>
              <w:jc w:val="left"/>
            </w:pPr>
            <w:r>
              <w:t xml:space="preserve">Jun 5, 2025</w:t>
            </w:r>
          </w:p>
        </w:tc>
        <w:tc>
          <w:tcPr/>
          <w:p>
            <w:pPr>
              <w:pStyle w:val="Compact"/>
              <w:jc w:val="left"/>
            </w:pPr>
            <w:r>
              <w:t xml:space="preserve">Lincoln St (Below Lincoln Pool)</w:t>
            </w:r>
          </w:p>
        </w:tc>
        <w:tc>
          <w:tcPr/>
          <w:p>
            <w:pPr>
              <w:pStyle w:val="Compact"/>
              <w:jc w:val="left"/>
            </w:pPr>
            <w:r>
              <w:t xml:space="preserve">6.50</w:t>
            </w:r>
          </w:p>
        </w:tc>
        <w:tc>
          <w:tcPr/>
          <w:p>
            <w:pPr>
              <w:pStyle w:val="Compact"/>
              <w:jc w:val="left"/>
            </w:pPr>
            <w:r>
              <w:t xml:space="preserve">55.4</w:t>
            </w:r>
          </w:p>
        </w:tc>
        <w:tc>
          <w:tcPr/>
          <w:p>
            <w:pPr>
              <w:pStyle w:val="Compact"/>
              <w:jc w:val="left"/>
            </w:pPr>
            <w:r>
              <w:t xml:space="preserve">Optimal — co-collected with eDNA; BT detected (0.6%)</w:t>
            </w:r>
          </w:p>
        </w:tc>
      </w:tr>
      <w:tr>
        <w:tc>
          <w:tcPr/>
          <w:p>
            <w:pPr>
              <w:pStyle w:val="Compact"/>
              <w:jc w:val="left"/>
            </w:pPr>
            <w:r>
              <w:t xml:space="preserve">Jun 8, 2025</w:t>
            </w:r>
          </w:p>
        </w:tc>
        <w:tc>
          <w:tcPr/>
          <w:p>
            <w:pPr>
              <w:pStyle w:val="Compact"/>
              <w:jc w:val="left"/>
            </w:pPr>
            <w:r>
              <w:t xml:space="preserve">Atwater Ave</w:t>
            </w:r>
          </w:p>
        </w:tc>
        <w:tc>
          <w:tcPr/>
          <w:p>
            <w:pPr>
              <w:pStyle w:val="Compact"/>
              <w:jc w:val="left"/>
            </w:pPr>
            <w:r>
              <w:t xml:space="preserve">5.60</w:t>
            </w:r>
          </w:p>
        </w:tc>
        <w:tc>
          <w:tcPr/>
          <w:p>
            <w:pPr>
              <w:pStyle w:val="Compact"/>
              <w:jc w:val="left"/>
            </w:pPr>
            <w:r>
              <w:t xml:space="preserve">62.7</w:t>
            </w:r>
          </w:p>
        </w:tc>
        <w:tc>
          <w:tcPr/>
          <w:p>
            <w:pPr>
              <w:pStyle w:val="Compact"/>
              <w:jc w:val="left"/>
            </w:pPr>
            <w:r>
              <w:t xml:space="preserve">Low end — tolerable for adults; co-collected with eDNA; BT detected (1.1%)</w:t>
            </w:r>
          </w:p>
        </w:tc>
      </w:tr>
      <w:tr>
        <w:tc>
          <w:tcPr/>
          <w:p>
            <w:pPr>
              <w:pStyle w:val="Compact"/>
              <w:jc w:val="left"/>
            </w:pPr>
            <w:r>
              <w:t xml:space="preserve">Jul 9, 2025</w:t>
            </w:r>
          </w:p>
        </w:tc>
        <w:tc>
          <w:tcPr/>
          <w:p>
            <w:pPr>
              <w:pStyle w:val="Compact"/>
              <w:jc w:val="left"/>
            </w:pPr>
            <w:r>
              <w:t xml:space="preserve">Atwater Ave</w:t>
            </w:r>
          </w:p>
        </w:tc>
        <w:tc>
          <w:tcPr/>
          <w:p>
            <w:pPr>
              <w:pStyle w:val="Compact"/>
              <w:jc w:val="left"/>
            </w:pPr>
            <w:r>
              <w:t xml:space="preserve">6.00</w:t>
            </w:r>
          </w:p>
        </w:tc>
        <w:tc>
          <w:tcPr/>
          <w:p>
            <w:pPr>
              <w:pStyle w:val="Compact"/>
              <w:jc w:val="left"/>
            </w:pPr>
            <w:r>
              <w:t xml:space="preserve">75.9</w:t>
            </w:r>
          </w:p>
        </w:tc>
        <w:tc>
          <w:tcPr/>
          <w:p>
            <w:pPr>
              <w:pStyle w:val="Compact"/>
              <w:jc w:val="left"/>
            </w:pPr>
            <w:r>
              <w:t xml:space="preserve">⚠️ Thermally lethal — above acute BT threshold (~75°F)</w:t>
            </w:r>
          </w:p>
        </w:tc>
      </w:tr>
      <w:tr>
        <w:tc>
          <w:tcPr/>
          <w:p>
            <w:pPr>
              <w:pStyle w:val="Compact"/>
              <w:jc w:val="left"/>
            </w:pPr>
            <w:r>
              <w:t xml:space="preserve">Jul 31, 2025</w:t>
            </w:r>
          </w:p>
        </w:tc>
        <w:tc>
          <w:tcPr/>
          <w:p>
            <w:pPr>
              <w:pStyle w:val="Compact"/>
              <w:jc w:val="left"/>
            </w:pPr>
            <w:r>
              <w:t xml:space="preserve">School St</w:t>
            </w:r>
          </w:p>
        </w:tc>
        <w:tc>
          <w:tcPr/>
          <w:p>
            <w:pPr>
              <w:pStyle w:val="Compact"/>
              <w:jc w:val="left"/>
            </w:pPr>
            <w:r>
              <w:t xml:space="preserve">6.72</w:t>
            </w:r>
          </w:p>
        </w:tc>
        <w:tc>
          <w:tcPr/>
          <w:p>
            <w:pPr>
              <w:pStyle w:val="Compact"/>
              <w:jc w:val="left"/>
            </w:pPr>
            <w:r>
              <w:t xml:space="preserve">71.6</w:t>
            </w:r>
          </w:p>
        </w:tc>
        <w:tc>
          <w:tcPr/>
          <w:p>
            <w:pPr>
              <w:pStyle w:val="Compact"/>
              <w:jc w:val="left"/>
            </w:pPr>
            <w:r>
              <w:t xml:space="preserve">pH optimal; temp at upper stress threshold</w:t>
            </w:r>
          </w:p>
        </w:tc>
      </w:tr>
      <w:tr>
        <w:tc>
          <w:tcPr/>
          <w:p>
            <w:pPr>
              <w:pStyle w:val="Compact"/>
              <w:jc w:val="left"/>
            </w:pPr>
            <w:r>
              <w:t xml:space="preserve">Nov 23, 2025</w:t>
            </w:r>
          </w:p>
        </w:tc>
        <w:tc>
          <w:tcPr/>
          <w:p>
            <w:pPr>
              <w:pStyle w:val="Compact"/>
              <w:jc w:val="left"/>
            </w:pPr>
            <w:r>
              <w:t xml:space="preserve">Atwater Ave</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Lincoln St (Below Lincoln Pool)</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6.23</w:t>
            </w:r>
          </w:p>
        </w:tc>
        <w:tc>
          <w:tcPr/>
          <w:p>
            <w:pPr>
              <w:pStyle w:val="Compact"/>
              <w:jc w:val="left"/>
            </w:pPr>
            <w:r>
              <w:t xml:space="preserve">38.4</w:t>
            </w:r>
          </w:p>
        </w:tc>
        <w:tc>
          <w:tcPr/>
          <w:p>
            <w:pPr>
              <w:pStyle w:val="Compact"/>
              <w:jc w:val="left"/>
            </w:pPr>
            <w:r>
              <w:t xml:space="preserve">Winter baseline — co-dated with Nov 22 eDNA; BT detected (4.8%)</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6.23</w:t>
            </w:r>
          </w:p>
        </w:tc>
        <w:tc>
          <w:tcPr/>
          <w:p>
            <w:pPr>
              <w:pStyle w:val="Compact"/>
              <w:jc w:val="left"/>
            </w:pPr>
            <w:r>
              <w:t xml:space="preserve">38.4</w:t>
            </w:r>
          </w:p>
        </w:tc>
        <w:tc>
          <w:tcPr/>
          <w:p>
            <w:pPr>
              <w:pStyle w:val="Compact"/>
              <w:jc w:val="left"/>
            </w:pPr>
            <w:r>
              <w:t xml:space="preserve">Duplicate GPS point — confirms reading</w:t>
            </w:r>
          </w:p>
        </w:tc>
      </w:tr>
    </w:tbl>
    <w:p>
      <w:pPr>
        <w:pStyle w:val="BodyText"/>
      </w:pPr>
      <w:r>
        <w:rPr>
          <w:bCs/>
          <w:b/>
        </w:rPr>
        <w:t xml:space="preserve">Average pH: 6.23 | Minimum: 5.60 (Atwater, Jun 2025) | Maximum: 6.72 (School St, Jul 2025)</w:t>
      </w:r>
    </w:p>
    <w:p>
      <w:pPr>
        <w:pStyle w:val="BodyText"/>
      </w:pPr>
      <w:r>
        <w:rPr>
          <w:iCs/>
          <w:i/>
        </w:rPr>
        <w:t xml:space="preserve">pH measured with Vivosun handheld meter (uncalibrated); values approximate ±0.5–1.0 pH unit. Temperature in °F.</w:t>
      </w:r>
    </w:p>
    <w:p>
      <w:pPr>
        <w:pStyle w:val="BodyText"/>
      </w:pPr>
      <w:r>
        <w:rPr>
          <w:bCs/>
          <w:b/>
        </w:rPr>
        <w:t xml:space="preserve">Key finding:</w:t>
      </w:r>
      <w:r>
        <w:t xml:space="preserve"> </w:t>
      </w:r>
      <w:r>
        <w:t xml:space="preserve">The single pH reading below 6.0 (Atwater, 5.60 in June) co-occurred with a Brook Trout eDNA detection at the same site on the same date — confirming that Brook Trout are present and active at the lowest measured pH in the dataset. The primary summer stressor in this watershed is</w:t>
      </w:r>
      <w:r>
        <w:t xml:space="preserve"> </w:t>
      </w:r>
      <w:r>
        <w:rPr>
          <w:bCs/>
          <w:b/>
        </w:rPr>
        <w:t xml:space="preserve">thermal</w:t>
      </w:r>
      <w:r>
        <w:t xml:space="preserve">, not chemical. The July 9 Atwater reading of 75.9°F is the only measurement approaching the acute lethal threshold.</w:t>
      </w:r>
    </w:p>
    <w:bookmarkEnd w:id="25"/>
    <w:bookmarkStart w:id="26"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5 events, 4 sites</w:t>
            </w:r>
          </w:p>
        </w:tc>
        <w:tc>
          <w:tcPr/>
          <w:p>
            <w:pPr>
              <w:pStyle w:val="Compact"/>
              <w:jc w:val="left"/>
            </w:pPr>
            <w:r>
              <w:t xml:space="preserve">Golf Course (Nov 2023), Below School St (Nov 2023, Aug 2024, Nov 2025), Atwater (Jun 2025), Below Lincoln Pool (Jun 2025)</w:t>
            </w:r>
          </w:p>
        </w:tc>
        <w:tc>
          <w:tcPr/>
          <w:p>
            <w:pPr>
              <w:pStyle w:val="Compact"/>
              <w:jc w:val="left"/>
            </w:pPr>
            <w:r>
              <w:t xml:space="preserve">Persistent multi-site presence across two years including spawning season</w:t>
            </w:r>
          </w:p>
        </w:tc>
      </w:tr>
      <w:tr>
        <w:tc>
          <w:tcPr/>
          <w:p>
            <w:pPr>
              <w:pStyle w:val="Compact"/>
              <w:jc w:val="left"/>
            </w:pPr>
            <w:r>
              <w:rPr>
                <w:bCs/>
                <w:b/>
              </w:rPr>
              <w:t xml:space="preserve">Alewife at 63% — Second Pond only</w:t>
            </w:r>
          </w:p>
        </w:tc>
        <w:tc>
          <w:tcPr/>
          <w:p>
            <w:pPr>
              <w:pStyle w:val="Compact"/>
              <w:jc w:val="left"/>
            </w:pPr>
            <w:r>
              <w:t xml:space="preserve">Second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6"/>
    <w:bookmarkStart w:id="27"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 100% ESV match</w:t>
            </w:r>
          </w:p>
        </w:tc>
        <w:tc>
          <w:tcPr/>
          <w:p>
            <w:pPr>
              <w:pStyle w:val="Compact"/>
              <w:jc w:val="left"/>
            </w:pPr>
            <w:r>
              <w:rPr>
                <w:iCs/>
                <w:i/>
              </w:rPr>
              <w:t xml:space="preserve">E. niger</w:t>
            </w:r>
            <w:r>
              <w:t xml:space="preserve"> </w:t>
            </w:r>
            <w:r>
              <w:t xml:space="preserve">or</w:t>
            </w:r>
            <w:r>
              <w:t xml:space="preserve"> </w:t>
            </w:r>
            <w:r>
              <w:rPr>
                <w:iCs/>
                <w:i/>
              </w:rPr>
              <w:t xml:space="preserve">E. americanus</w:t>
            </w:r>
            <w:r>
              <w:t xml:space="preserve">; species-level unresolvable from this barcode [T2]</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 xml:space="preserve">Only at Second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Field ID required — invasive</w:t>
            </w:r>
            <w:r>
              <w:t xml:space="preserve"> </w:t>
            </w:r>
            <w:r>
              <w:rPr>
                <w:iCs/>
                <w:i/>
              </w:rPr>
              <w:t xml:space="preserve">Nitellopsis obtusa</w:t>
            </w:r>
            <w:r>
              <w:t xml:space="preserve"> </w:t>
            </w:r>
            <w:r>
              <w:t xml:space="preserve">cannot be ruled out [T6]</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7"/>
    <w:bookmarkEnd w:id="28"/>
    <w:bookmarkStart w:id="107"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the health and status of a suburban coastal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detected at Second Pond (October 2024) — native pickerel;</w:t>
      </w:r>
      <w:r>
        <w:rPr>
          <w:bCs/>
          <w:b/>
        </w:rPr>
        <w:t xml:space="preserve"> </w:t>
      </w:r>
      <w:r>
        <w:rPr>
          <w:iCs/>
          <w:i/>
          <w:bCs/>
          <w:b/>
        </w:rPr>
        <w:t xml:space="preserve">Esox lucius</w:t>
      </w:r>
      <w:r>
        <w:rPr>
          <w:bCs/>
          <w:b/>
        </w:rPr>
        <w:t xml:space="preserve"> </w:t>
      </w:r>
      <w:r>
        <w:rPr>
          <w:bCs/>
          <w:b/>
        </w:rPr>
        <w:t xml:space="preserve">database assignment is an artifact [T2].</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3"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9"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9"/>
    <w:bookmarkStart w:id="30"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30"/>
    <w:bookmarkStart w:id="31" w:name="narrative"/>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1"/>
    <w:bookmarkStart w:id="32"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2"/>
    <w:bookmarkEnd w:id="33"/>
    <w:bookmarkStart w:id="38"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4"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4"/>
    <w:bookmarkStart w:id="35"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5"/>
    <w:bookmarkStart w:id="36"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6"/>
    <w:bookmarkStart w:id="37"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Brook Trout consistently detected at this site indicate upstream refugia in the watershed. eDNA degrades faster in saline water than in freshwater [T7]; the true Brook Trout signal from upstream reaches may be understated at this tidal sampling point. Moving the sampling location further upstream is worth considering.</w:t>
      </w:r>
    </w:p>
    <w:p>
      <w:r>
        <w:pict>
          <v:rect style="width:0;height:1.5pt" o:hralign="center" o:hrstd="t" o:hr="t"/>
        </w:pict>
      </w:r>
    </w:p>
    <w:bookmarkEnd w:id="37"/>
    <w:bookmarkEnd w:id="38"/>
    <w:bookmarkStart w:id="43" w:name="X055f5458b6a71e4fc612ad09de4d1b4dce39fce"/>
    <w:p>
      <w:pPr>
        <w:pStyle w:val="Heading2"/>
      </w:pPr>
      <w:r>
        <w:t xml:space="preserve">Lower Golf Course / Sawmill Brook | JVB5776 / C4SUMTFY.1</w:t>
      </w:r>
    </w:p>
    <w:p>
      <w:pPr>
        <w:pStyle w:val="FirstParagraph"/>
      </w:pPr>
      <w:r>
        <w:rPr>
          <w:iCs/>
          <w:i/>
        </w:rPr>
        <w:t xml:space="preserve">This site was selected to determine whether Brook Trout were accessing the Golf Course reach during fall spawning season (November 2023).</w:t>
      </w:r>
    </w:p>
    <w:p>
      <w:pPr>
        <w:pStyle w:val="BodyText"/>
      </w:pPr>
      <w:r>
        <w:rPr>
          <w:bCs/>
          <w:b/>
        </w:rPr>
        <w:t xml:space="preserve">Fish: 9 species, H(f) = 1.62 | Algae: 140 ESVs, H(a) = 3.57</w:t>
      </w:r>
    </w:p>
    <w:bookmarkStart w:id="39"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9"/>
    <w:bookmarkStart w:id="40"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40"/>
    <w:bookmarkStart w:id="41"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Yellow Perch (1.4%) adds tolerant generalist presence. Rainbow Smelt (0.2%) is an anomalous detection — not documented in this system; unconfirmed pending ESV review [T9].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Invasive species flag [T6].</w:t>
      </w:r>
      <w:r>
        <w:t xml:space="preserve"> </w:t>
      </w:r>
      <w:r>
        <w:t xml:space="preserve">The 23S rRNA resolves this signal to class (Charophyceae) only — native</w:t>
      </w:r>
      <w:r>
        <w:t xml:space="preserve"> </w:t>
      </w:r>
      <w:r>
        <w:rPr>
          <w:iCs/>
          <w:i/>
        </w:rPr>
        <w:t xml:space="preserve">Chara</w:t>
      </w:r>
      <w:r>
        <w:t xml:space="preserve">/</w:t>
      </w:r>
      <w:r>
        <w:rPr>
          <w:iCs/>
          <w:i/>
        </w:rPr>
        <w:t xml:space="preserve">Nitella</w:t>
      </w:r>
      <w:r>
        <w:t xml:space="preserve"> </w:t>
      </w:r>
      <w:r>
        <w:t xml:space="preserve">and invasive</w:t>
      </w:r>
      <w:r>
        <w:t xml:space="preserve"> </w:t>
      </w:r>
      <w:r>
        <w:rPr>
          <w:iCs/>
          <w:i/>
        </w:rPr>
        <w:t xml:space="preserve">Nitellopsis obtusa</w:t>
      </w:r>
      <w:r>
        <w:t xml:space="preserve"> </w:t>
      </w:r>
      <w:r>
        <w:t xml:space="preserve">(Starry Stonewort) cannot be distinguished from this data. Field morphological identification or species-specific PCR is required before this signal can be interpreted as native or invasive. Do not treat as a confirmed positive indicator until field-verified.</w:t>
      </w:r>
    </w:p>
    <w:bookmarkEnd w:id="41"/>
    <w:bookmarkStart w:id="42"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2"/>
    <w:bookmarkEnd w:id="43"/>
    <w:bookmarkStart w:id="44"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4"/>
    <w:bookmarkStart w:id="62" w:name="X5b8f638f8cf74c8533972122a274082540184d9"/>
    <w:p>
      <w:pPr>
        <w:pStyle w:val="Heading2"/>
      </w:pPr>
      <w:r>
        <w:t xml:space="preserve">Sawmill Brook — Three Sites (Manchester-by-the-Sea, MA)</w:t>
      </w:r>
    </w:p>
    <w:bookmarkStart w:id="45" w:name="X154b2650e2b2d38ffa6d8c3a28b28270ed6c1da"/>
    <w:p>
      <w:pPr>
        <w:pStyle w:val="Heading3"/>
      </w:pPr>
      <w:r>
        <w:t xml:space="preserve">August 28, 2024 · Below School St · Fire Station · Sawmill Swamp</w:t>
      </w:r>
    </w:p>
    <w:p>
      <w:r>
        <w:pict>
          <v:rect style="width:0;height:1.5pt" o:hralign="center" o:hrstd="t" o:hr="t"/>
        </w:pict>
      </w:r>
    </w:p>
    <w:bookmarkEnd w:id="45"/>
    <w:bookmarkStart w:id="51"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6"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6"/>
    <w:bookmarkStart w:id="47"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7"/>
    <w:bookmarkStart w:id="48"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8"/>
    <w:bookmarkStart w:id="49"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9"/>
    <w:bookmarkStart w:id="50"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50"/>
    <w:bookmarkEnd w:id="51"/>
    <w:bookmarkStart w:id="56"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2"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2"/>
    <w:bookmarkStart w:id="53"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3"/>
    <w:bookmarkStart w:id="54"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4"/>
    <w:bookmarkStart w:id="55"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5"/>
    <w:bookmarkEnd w:id="56"/>
    <w:bookmarkStart w:id="57" w:name="X6c4793d42ea8104a20772b343134eb3b2cb6813"/>
    <w:p>
      <w:pPr>
        <w:pStyle w:val="Heading3"/>
      </w:pPr>
      <w:r>
        <w:t xml:space="preserve">Field Measurements — Below School St / School St Reach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Jul 31, 2025</w:t>
            </w:r>
          </w:p>
        </w:tc>
        <w:tc>
          <w:tcPr/>
          <w:p>
            <w:pPr>
              <w:pStyle w:val="Compact"/>
              <w:jc w:val="left"/>
            </w:pPr>
            <w:r>
              <w:t xml:space="preserve">6.72</w:t>
            </w:r>
          </w:p>
        </w:tc>
        <w:tc>
          <w:tcPr/>
          <w:p>
            <w:pPr>
              <w:pStyle w:val="Compact"/>
              <w:jc w:val="left"/>
            </w:pPr>
            <w:r>
              <w:t xml:space="preserve">71.6</w:t>
            </w:r>
          </w:p>
        </w:tc>
        <w:tc>
          <w:tcPr/>
          <w:p>
            <w:pPr>
              <w:pStyle w:val="Compact"/>
              <w:jc w:val="left"/>
            </w:pPr>
            <w:r>
              <w:t xml:space="preserve">Summer — pH circumneutral; temp at upper Brook Trout stress threshold</w:t>
            </w:r>
          </w:p>
        </w:tc>
      </w:tr>
      <w:tr>
        <w:tc>
          <w:tcPr/>
          <w:p>
            <w:pPr>
              <w:pStyle w:val="Compact"/>
              <w:jc w:val="left"/>
            </w:pPr>
            <w:r>
              <w:t xml:space="preserve">Nov 23, 2025</w:t>
            </w:r>
          </w:p>
        </w:tc>
        <w:tc>
          <w:tcPr/>
          <w:p>
            <w:pPr>
              <w:pStyle w:val="Compact"/>
              <w:jc w:val="left"/>
            </w:pPr>
            <w:r>
              <w:t xml:space="preserve">6.23</w:t>
            </w:r>
          </w:p>
        </w:tc>
        <w:tc>
          <w:tcPr/>
          <w:p>
            <w:pPr>
              <w:pStyle w:val="Compact"/>
              <w:jc w:val="left"/>
            </w:pPr>
            <w:r>
              <w:t xml:space="preserve">38.4</w:t>
            </w:r>
          </w:p>
        </w:tc>
        <w:tc>
          <w:tcPr/>
          <w:p>
            <w:pPr>
              <w:pStyle w:val="Compact"/>
              <w:jc w:val="left"/>
            </w:pPr>
            <w:r>
              <w:t xml:space="preserve">Winter baseline — co-dated with Nov 22, 2025 eDNA event</w:t>
            </w:r>
          </w:p>
        </w:tc>
      </w:tr>
    </w:tbl>
    <w:p>
      <w:pPr>
        <w:pStyle w:val="BodyText"/>
      </w:pPr>
      <w:r>
        <w:t xml:space="preserve">pH 6.72 and 71.6°F on July 31 place this site at the edge of Brook Trout thermal comfort: 71.6°F exceeds the sustained-stress threshold (~68°F) and approaches the short-term lethal range (~75°F). Brook Trout detected at this site in November but not confirmed in summer eDNA sampling — the July temperature reading is consistent with seasonal exclusion during peak summer. November pH of 6.23 at 38.4°F is within full Brook Trout tolerance; the November eDNA detection of Brook Trout at 4.8% is consistent with these conditions.</w:t>
      </w:r>
    </w:p>
    <w:p>
      <w:pPr>
        <w:pStyle w:val="BodyText"/>
      </w:pPr>
      <w:r>
        <w:t xml:space="preserve">† pH values approximate (±0.5–1.0 pH unit); temperature in °F.</w:t>
      </w:r>
    </w:p>
    <w:bookmarkEnd w:id="57"/>
    <w:bookmarkStart w:id="61"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8"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8"/>
    <w:bookmarkStart w:id="59"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9"/>
    <w:bookmarkStart w:id="60"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60"/>
    <w:bookmarkEnd w:id="61"/>
    <w:bookmarkEnd w:id="62"/>
    <w:bookmarkStart w:id="68"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3"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3"/>
    <w:bookmarkStart w:id="64"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4"/>
    <w:bookmarkStart w:id="65"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5"/>
    <w:bookmarkStart w:id="66"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6"/>
    <w:bookmarkStart w:id="67"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7"/>
    <w:bookmarkEnd w:id="68"/>
    <w:bookmarkStart w:id="7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[T2]</w:t>
      </w:r>
      <w:r>
        <w:t xml:space="preserve"> </w:t>
      </w:r>
      <w:r>
        <w:rPr>
          <w:bCs/>
          <w:b/>
        </w:rPr>
        <w:t xml:space="preserve">Algae:</w:t>
      </w:r>
      <w:r>
        <w:t xml:space="preserve"> </w:t>
      </w:r>
      <w:r>
        <w:t xml:space="preserve">H(a) = 1.72 · 11 ESVs · 19,939 reads</w:t>
      </w:r>
    </w:p>
    <w:bookmarkStart w:id="69" w:name="sentinel-signal-7"/>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detected at 1.5% — native pickerel [T2].</w:t>
      </w:r>
    </w:p>
    <w:bookmarkEnd w:id="69"/>
    <w:bookmarkStart w:id="70"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Database assignment uncertain — freshwater taxon identification pending ESV review</w:t>
            </w:r>
          </w:p>
        </w:tc>
      </w:tr>
    </w:tbl>
    <w:bookmarkEnd w:id="70"/>
    <w:bookmarkStart w:id="71"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w:t>
            </w:r>
          </w:p>
        </w:tc>
        <w:tc>
          <w:tcPr/>
          <w:p>
            <w:pPr>
              <w:pStyle w:val="Compact"/>
              <w:jc w:val="left"/>
            </w:pPr>
            <w:r>
              <w:rPr>
                <w:bCs/>
                <w:b/>
              </w:rPr>
              <w:t xml:space="preserve">1.5%</w:t>
            </w:r>
          </w:p>
        </w:tc>
        <w:tc>
          <w:tcPr/>
          <w:p>
            <w:pPr>
              <w:pStyle w:val="Compact"/>
              <w:jc w:val="left"/>
            </w:pPr>
            <w:r>
              <w:rPr>
                <w:bCs/>
                <w:b/>
              </w:rPr>
              <w:t xml:space="preserve">Native pickerel [T2]</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71"/>
    <w:bookmarkStart w:id="72"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2"/>
    <w:bookmarkStart w:id="73" w:name="narrative-7"/>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iCs/>
          <w:i/>
        </w:rPr>
        <w:t xml:space="preserve">Esox</w:t>
      </w:r>
      <w:r>
        <w:t xml:space="preserve"> </w:t>
      </w:r>
      <w:r>
        <w:t xml:space="preserve">spp. at 1.5% is native pickerel [T2].</w:t>
      </w:r>
    </w:p>
    <w:bookmarkEnd w:id="73"/>
    <w:bookmarkStart w:id="74"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native pickerel [T2].</w:t>
      </w:r>
    </w:p>
    <w:p>
      <w:r>
        <w:pict>
          <v:rect style="width:0;height:1.5pt" o:hralign="center" o:hrstd="t" o:hr="t"/>
        </w:pict>
      </w:r>
    </w:p>
    <w:bookmarkEnd w:id="74"/>
    <w:bookmarkEnd w:id="75"/>
    <w:bookmarkStart w:id="82"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6"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6"/>
    <w:bookmarkStart w:id="77"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7"/>
    <w:bookmarkStart w:id="78"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8"/>
    <w:bookmarkStart w:id="79"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9"/>
    <w:bookmarkStart w:id="80"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80"/>
    <w:bookmarkStart w:id="81"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81"/>
    <w:bookmarkEnd w:id="82"/>
    <w:bookmarkStart w:id="89"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3"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3"/>
    <w:bookmarkStart w:id="84"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4"/>
    <w:bookmarkStart w:id="85"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5"/>
    <w:bookmarkStart w:id="86"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6"/>
    <w:bookmarkStart w:id="87"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7"/>
    <w:bookmarkStart w:id="88"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8"/>
    <w:bookmarkEnd w:id="89"/>
    <w:bookmarkStart w:id="93"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90"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[T1]. Tomcod trace = early spring estuarine movement. No Brook Trout — tidal site.</w:t>
      </w:r>
    </w:p>
    <w:bookmarkEnd w:id="90"/>
    <w:bookmarkStart w:id="91"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[T1] — freshwater tributary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[T1]</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91"/>
    <w:bookmarkStart w:id="92"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is genus-level only — Brown Trout or Atlantic Salmon cannot be distinguished from this barcode [T1].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2"/>
    <w:bookmarkEnd w:id="93"/>
    <w:bookmarkStart w:id="95"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[T1]</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Fish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[T1].</w:t>
      </w:r>
    </w:p>
    <w:bookmarkStart w:id="94"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6.50</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w:t>
            </w:r>
          </w:p>
        </w:tc>
      </w:tr>
    </w:tbl>
    <w:p>
      <w:pPr>
        <w:pStyle w:val="BodyText"/>
      </w:pPr>
      <w:r>
        <w:t xml:space="preserve">pH 6.50 and 55.4°F on the eDNA sample date are both within acceptable range for Brook Trout (thermal optimum 54–61°F; pH tolerance down to ~5.0 for adults). The Brook Trout detection at 0.6% is consistent with the measured water conditions — June temperatures at this site are suitable for Brook Trout.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4"/>
    <w:bookmarkEnd w:id="95"/>
    <w:bookmarkStart w:id="10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(includes all genus-level ESVs; see cormorant QC note)</w:t>
      </w:r>
    </w:p>
    <w:bookmarkStart w:id="96"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6"/>
    <w:bookmarkStart w:id="97"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[T1]</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Database artifact [T4] — excluded</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7"/>
    <w:bookmarkStart w:id="98" w:name="qc-note-cormorant-fecal-edna-t5"/>
    <w:p>
      <w:pPr>
        <w:pStyle w:val="Heading3"/>
      </w:pPr>
      <w:r>
        <w:t xml:space="preserve">QC Note — Cormorant Fecal eDNA [T5]</w:t>
      </w:r>
    </w:p>
    <w:p>
      <w:pPr>
        <w:pStyle w:val="FirstParagraph"/>
      </w:pPr>
      <w:r>
        <w:t xml:space="preserve">Three detections at this inland freshwater site are cormorant dietary artifacts:</w:t>
      </w:r>
      <w:r>
        <w:t xml:space="preserve"> </w:t>
      </w:r>
      <w:r>
        <w:rPr>
          <w:bCs/>
          <w:b/>
        </w:rPr>
        <w:t xml:space="preserve">Menhaden (1.7%, 176 reads)</w:t>
      </w:r>
      <w:r>
        <w:t xml:space="preserve"> </w:t>
      </w:r>
      <w:r>
        <w:t xml:space="preserve">— coastal marine species, no freshwater range;</w:t>
      </w:r>
      <w:r>
        <w:t xml:space="preserve"> </w:t>
      </w:r>
      <w:r>
        <w:rPr>
          <w:bCs/>
          <w:b/>
        </w:rPr>
        <w:t xml:space="preserve">Xiphister spp. (0.6%, 65 reads)</w:t>
      </w:r>
      <w:r>
        <w:t xml:space="preserve"> </w:t>
      </w:r>
      <w:r>
        <w:t xml:space="preserve">— intertidal marine species;</w:t>
      </w:r>
      <w:r>
        <w:t xml:space="preserve"> </w:t>
      </w:r>
      <w:r>
        <w:rPr>
          <w:bCs/>
          <w:b/>
        </w:rPr>
        <w:t xml:space="preserve">Alewife (0.8%, 85 reads)</w:t>
      </w:r>
      <w:r>
        <w:t xml:space="preserve"> </w:t>
      </w:r>
      <w:r>
        <w:t xml:space="preserve">— above confirmed anadromous limit in June. Menhaden is the diagnostic indicator of Double-crested Cormorant fecal input at inland sites [T5].</w:t>
      </w:r>
      <w:r>
        <w:t xml:space="preserve"> </w:t>
      </w:r>
      <w:r>
        <w:rPr>
          <w:bCs/>
          <w:b/>
        </w:rPr>
        <w:t xml:space="preserve">No authenticated live Alewife at the Atwater reach.</w:t>
      </w:r>
      <w:r>
        <w:t xml:space="preserve"> </w:t>
      </w:r>
      <w:r>
        <w:t xml:space="preserve">Alewife is confirmed at Second Pond (Cat Brook headwater) — not at mid-watershed reaches above the tidal zone.</w:t>
      </w:r>
    </w:p>
    <w:bookmarkEnd w:id="98"/>
    <w:bookmarkStart w:id="99"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99"/>
    <w:bookmarkStart w:id="100"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5.60</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6.00</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June pH of 5.6 (co-collected with eDNA) is also on the low end for adult Brook Trout comfort, though not lethal.</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100"/>
    <w:bookmarkEnd w:id="101"/>
    <w:bookmarkStart w:id="10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2"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2"/>
    <w:bookmarkStart w:id="103"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3"/>
    <w:bookmarkStart w:id="104"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4"/>
    <w:bookmarkStart w:id="105"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5"/>
    <w:bookmarkEnd w:id="106"/>
    <w:bookmarkEnd w:id="107"/>
    <w:bookmarkStart w:id="108" w:name="X59784cc5e000a43598ed06a62acc0f059afb8f9"/>
    <w:p>
      <w:pPr>
        <w:pStyle w:val="Heading1"/>
      </w:pPr>
      <w:r>
        <w:t xml:space="preserve">Appendix A — Brook Trout Detections: Sawmill / Cat Brook Sites</w:t>
      </w:r>
    </w:p>
    <w:bookmarkEnd w:id="108"/>
    <w:bookmarkStart w:id="131" w:name="Xeb7b060d1e6179fce2f31433d2e5e45ce9c152d"/>
    <w:p>
      <w:pPr>
        <w:pStyle w:val="Heading1"/>
      </w:pPr>
      <w:r>
        <w:t xml:space="preserve">Appendix: Cross-Batch Brook Trout &amp; Atlantic Salmon Summary</w:t>
      </w:r>
    </w:p>
    <w:bookmarkStart w:id="109"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9"/>
    <w:bookmarkStart w:id="110" w:name="Xfbc067fc0f5d7d1f90a62d5ace41a44292e1398"/>
    <w:p>
      <w:pPr>
        <w:pStyle w:val="Heading2"/>
      </w:pPr>
      <w:r>
        <w:t xml:space="preserve">Cross-Batch Summary — Brook Trout and Atlantic Salmon</w:t>
      </w:r>
    </w:p>
    <w:bookmarkEnd w:id="110"/>
    <w:bookmarkStart w:id="111"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11"/>
    <w:bookmarkStart w:id="112"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2"/>
    <w:bookmarkStart w:id="113"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3"/>
    <w:bookmarkStart w:id="114"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(April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4"/>
    <w:bookmarkStart w:id="119"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5"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5"/>
    <w:bookmarkStart w:id="116" w:name="fish-community-6"/>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[T3] — excluded</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6"/>
    <w:bookmarkStart w:id="117"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(0.3%) is a database artifact — excluded from ecological interpretation [T3].</w:t>
      </w:r>
    </w:p>
    <w:bookmarkEnd w:id="117"/>
    <w:bookmarkStart w:id="118" w:name="native-vs.-non-native-11"/>
    <w:p>
      <w:pPr>
        <w:pStyle w:val="Heading3"/>
      </w:pPr>
      <w:r>
        <w:t xml:space="preserve">Native vs. Non-Native</w:t>
      </w:r>
    </w:p>
    <w:p>
      <w:pPr>
        <w:pStyle w:val="FirstParagraph"/>
      </w:pPr>
      <w:r>
        <w:t xml:space="preserve">All detected fish are native to eastern North America. No confirmed non-native species.</w:t>
      </w:r>
      <w:r>
        <w:t xml:space="preserve"> </w:t>
      </w:r>
      <w:r>
        <w:rPr>
          <w:iCs/>
          <w:i/>
        </w:rPr>
        <w:t xml:space="preserve">Longear Sunfish</w:t>
      </w:r>
      <w:r>
        <w:t xml:space="preserve"> </w:t>
      </w:r>
      <w:r>
        <w:t xml:space="preserve">is a database artifact [T3].</w:t>
      </w:r>
    </w:p>
    <w:p>
      <w:r>
        <w:pict>
          <v:rect style="width:0;height:1.5pt" o:hralign="center" o:hrstd="t" o:hr="t"/>
        </w:pict>
      </w:r>
    </w:p>
    <w:bookmarkEnd w:id="118"/>
    <w:bookmarkEnd w:id="119"/>
    <w:bookmarkStart w:id="124"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20"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20"/>
    <w:bookmarkStart w:id="121"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21"/>
    <w:bookmarkStart w:id="122"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2"/>
    <w:bookmarkStart w:id="123"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3"/>
    <w:bookmarkEnd w:id="124"/>
    <w:bookmarkStart w:id="129"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5"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5"/>
    <w:bookmarkStart w:id="126"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6"/>
    <w:bookmarkStart w:id="127"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7"/>
    <w:bookmarkStart w:id="128"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8"/>
    <w:bookmarkEnd w:id="129"/>
    <w:bookmarkStart w:id="130"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p>
      <w:r>
        <w:pict>
          <v:rect style="width:0;height:1.5pt" o:hralign="center" o:hrstd="t" o:hr="t"/>
        </w:pict>
      </w:r>
    </w:p>
    <w:bookmarkEnd w:id="130"/>
    <w:bookmarkEnd w:id="131"/>
    <w:bookmarkStart w:id="132" w:name="taxonomic-qc-notes"/>
    <w:p>
      <w:pPr>
        <w:pStyle w:val="Heading1"/>
      </w:pPr>
      <w:r>
        <w:t xml:space="preserve">Taxonomic &amp; QC Notes</w:t>
      </w:r>
    </w:p>
    <w:p>
      <w:pPr>
        <w:pStyle w:val="FirstParagraph"/>
      </w:pPr>
      <w:r>
        <w:rPr>
          <w:bCs/>
          <w:b/>
        </w:rPr>
        <w:t xml:space="preserve">[T1] — MiFish 12S barcode resolution limits.</w:t>
      </w:r>
      <w:r>
        <w:t xml:space="preserve"> </w:t>
      </w:r>
      <w:r>
        <w:t xml:space="preserve">The MiFish 12S rRNA barcode resolves most teleost fish to species level, but certain genera cannot be distinguished below genus.</w:t>
      </w:r>
      <w:r>
        <w:t xml:space="preserve"> </w:t>
      </w:r>
      <w:r>
        <w:rPr>
          <w:iCs/>
          <w:i/>
        </w:rPr>
        <w:t xml:space="preserve">Lepomis</w:t>
      </w:r>
      <w:r>
        <w:t xml:space="preserve"> </w:t>
      </w:r>
      <w:r>
        <w:t xml:space="preserve">spp. (sunfish) includes Bluegill, Pumpkinseed, Redear Sunfish, and Longear Sunfish (</w:t>
      </w:r>
      <w:r>
        <w:rPr>
          <w:iCs/>
          <w:i/>
        </w:rPr>
        <w:t xml:space="preserve">L. megalotis</w:t>
      </w:r>
      <w:r>
        <w:t xml:space="preserve">), among others.</w:t>
      </w:r>
      <w:r>
        <w:t xml:space="preserve"> </w:t>
      </w:r>
      <w:r>
        <w:rPr>
          <w:iCs/>
          <w:i/>
        </w:rPr>
        <w:t xml:space="preserve">Micropterus</w:t>
      </w:r>
      <w:r>
        <w:t xml:space="preserve"> </w:t>
      </w:r>
      <w:r>
        <w:t xml:space="preserve">spp. includes Largemouth Bass and Smallmouth Bass.</w:t>
      </w:r>
      <w:r>
        <w:t xml:space="preserve"> </w:t>
      </w:r>
      <w:r>
        <w:rPr>
          <w:iCs/>
          <w:i/>
        </w:rPr>
        <w:t xml:space="preserve">Ameiurus</w:t>
      </w:r>
      <w:r>
        <w:t xml:space="preserve"> </w:t>
      </w:r>
      <w:r>
        <w:t xml:space="preserve">spp. includes Brown Bullhead, Yellow Bullhead, and Black Bullhead. Cottidae spp. (sculpin) includes Slimy Sculpin and Mottled Sculpin. In all cases the genus-level assignment is reliable; species-level is not.</w:t>
      </w:r>
      <w:r>
        <w:t xml:space="preserve"> </w:t>
      </w:r>
      <w:r>
        <w:rPr>
          <w:iCs/>
          <w:i/>
        </w:rPr>
        <w:t xml:space="preserve">Salmo</w:t>
      </w:r>
      <w:r>
        <w:t xml:space="preserve"> </w:t>
      </w:r>
      <w:r>
        <w:t xml:space="preserve">spp. may be Brown Trout (</w:t>
      </w:r>
      <w:r>
        <w:rPr>
          <w:iCs/>
          <w:i/>
        </w:rPr>
        <w:t xml:space="preserve">S. trutta</w:t>
      </w:r>
      <w:r>
        <w:t xml:space="preserve">, non-native, stocked throughout New England) or Atlantic Salmon (</w:t>
      </w:r>
      <w:r>
        <w:rPr>
          <w:iCs/>
          <w:i/>
        </w:rPr>
        <w:t xml:space="preserve">S. salar</w:t>
      </w:r>
      <w:r>
        <w:t xml:space="preserve">, native anadromous) — these two species cannot be distinguished by the MiFish barcode. Life history forms (sea-run vs. stream-resident) cannot be determined by eDNA for any species.</w:t>
      </w:r>
    </w:p>
    <w:p>
      <w:pPr>
        <w:pStyle w:val="BodyText"/>
      </w:pPr>
      <w:r>
        <w:rPr>
          <w:bCs/>
          <w:b/>
        </w:rPr>
        <w:t xml:space="preserve">[T2] —</w:t>
      </w:r>
      <w:r>
        <w:rPr>
          <w:bCs/>
          <w:b/>
        </w:rPr>
        <w:t xml:space="preserve"> </w:t>
      </w:r>
      <w:r>
        <w:rPr>
          <w:iCs/>
          <w:i/>
          <w:bCs/>
          <w:b/>
        </w:rPr>
        <w:t xml:space="preserve">Esox</w:t>
      </w:r>
      <w:r>
        <w:rPr>
          <w:bCs/>
          <w:b/>
        </w:rPr>
        <w:t xml:space="preserve"> </w:t>
      </w:r>
      <w:r>
        <w:rPr>
          <w:bCs/>
          <w:b/>
        </w:rPr>
        <w:t xml:space="preserve">spp. /</w:t>
      </w:r>
      <w:r>
        <w:rPr>
          <w:bCs/>
          <w:b/>
        </w:rPr>
        <w:t xml:space="preserve"> </w:t>
      </w:r>
      <w:r>
        <w:rPr>
          <w:iCs/>
          <w:i/>
          <w:bCs/>
          <w:b/>
        </w:rPr>
        <w:t xml:space="preserve">Esox lucius</w:t>
      </w:r>
      <w:r>
        <w:rPr>
          <w:bCs/>
          <w:b/>
        </w:rPr>
        <w:t xml:space="preserve"> </w:t>
      </w:r>
      <w:r>
        <w:rPr>
          <w:bCs/>
          <w:b/>
        </w:rPr>
        <w:t xml:space="preserve">database artifact.</w:t>
      </w:r>
      <w:r>
        <w:t xml:space="preserve"> </w:t>
      </w:r>
      <w:r>
        <w:t xml:space="preserve">The MiFish 12S barcode cannot reliably distinguish</w:t>
      </w:r>
      <w:r>
        <w:t xml:space="preserve"> </w:t>
      </w:r>
      <w:r>
        <w:rPr>
          <w:iCs/>
          <w:i/>
        </w:rPr>
        <w:t xml:space="preserve">Esox lucius</w:t>
      </w:r>
      <w:r>
        <w:t xml:space="preserve"> </w:t>
      </w:r>
      <w:r>
        <w:t xml:space="preserve">(Northern Pike, native to northern Maine, non-native in most of Massachusetts) from</w:t>
      </w:r>
      <w:r>
        <w:t xml:space="preserve"> </w:t>
      </w:r>
      <w:r>
        <w:rPr>
          <w:iCs/>
          <w:i/>
        </w:rPr>
        <w:t xml:space="preserve">Esox niger</w:t>
      </w:r>
      <w:r>
        <w:t xml:space="preserve"> </w:t>
      </w:r>
      <w:r>
        <w:t xml:space="preserve">(Chain Pickerel, native throughout coastal New England) or</w:t>
      </w:r>
      <w:r>
        <w:t xml:space="preserve"> </w:t>
      </w:r>
      <w:r>
        <w:rPr>
          <w:iCs/>
          <w:i/>
        </w:rPr>
        <w:t xml:space="preserve">Esox americanus</w:t>
      </w:r>
      <w:r>
        <w:t xml:space="preserve"> </w:t>
      </w:r>
      <w:r>
        <w:t xml:space="preserve">(Redfin Pickerel, native). In this dataset, ESV_010000 — the</w:t>
      </w:r>
      <w:r>
        <w:t xml:space="preserve"> </w:t>
      </w:r>
      <w:r>
        <w:rPr>
          <w:iCs/>
          <w:i/>
        </w:rPr>
        <w:t xml:space="preserve">Esox</w:t>
      </w:r>
      <w:r>
        <w:t xml:space="preserve"> </w:t>
      </w:r>
      <w:r>
        <w:t xml:space="preserve">sequence recovered across all batches — returns a 100% match to native pickerel. The</w:t>
      </w:r>
      <w:r>
        <w:t xml:space="preserve"> </w:t>
      </w:r>
      <w:r>
        <w:rPr>
          <w:iCs/>
          <w:i/>
        </w:rPr>
        <w:t xml:space="preserve">Esox lucius</w:t>
      </w:r>
      <w:r>
        <w:t xml:space="preserve"> </w:t>
      </w:r>
      <w:r>
        <w:t xml:space="preserve">species-level database assignment is a reference database artifact, not a confirmed Northern Pike detection. Do not report as Northern Pike or illegal stocking without electrofishing or species-specific PCR confirmation.</w:t>
      </w:r>
    </w:p>
    <w:p>
      <w:pPr>
        <w:pStyle w:val="BodyText"/>
      </w:pPr>
      <w:r>
        <w:rPr>
          <w:bCs/>
          <w:b/>
        </w:rPr>
        <w:t xml:space="preserve">[T3] —</w:t>
      </w:r>
      <w:r>
        <w:rPr>
          <w:bCs/>
          <w:b/>
        </w:rPr>
        <w:t xml:space="preserve"> </w:t>
      </w:r>
      <w:r>
        <w:rPr>
          <w:iCs/>
          <w:i/>
          <w:bCs/>
          <w:b/>
        </w:rPr>
        <w:t xml:space="preserve">Longear Sunfish</w:t>
      </w:r>
      <w:r>
        <w:rPr>
          <w:bCs/>
          <w:b/>
        </w:rPr>
        <w:t xml:space="preserve"> </w:t>
      </w:r>
      <w:r>
        <w:rPr>
          <w:bCs/>
          <w:b/>
        </w:rPr>
        <w:t xml:space="preserve">(</w:t>
      </w:r>
      <w:r>
        <w:rPr>
          <w:iCs/>
          <w:i/>
          <w:bCs/>
          <w:b/>
        </w:rPr>
        <w:t xml:space="preserve">Lepomis megalotis</w:t>
      </w:r>
      <w:r>
        <w:rPr>
          <w:bCs/>
          <w:b/>
        </w:rPr>
        <w:t xml:space="preserve">) database artifact.</w:t>
      </w:r>
      <w:r>
        <w:t xml:space="preserve"> </w:t>
      </w:r>
      <w:r>
        <w:rPr>
          <w:iCs/>
          <w:i/>
        </w:rPr>
        <w:t xml:space="preserve">Lepomis megalotis</w:t>
      </w:r>
      <w:r>
        <w:t xml:space="preserve"> </w:t>
      </w:r>
      <w:r>
        <w:t xml:space="preserve">is native to the Great Lakes and Mississippi drainage — not to New England. Any detection in a Massachusetts or Maine eDNA sample is a database artifact: the MiFish barcode assigns the read to the closest reference database entry, which for certain</w:t>
      </w:r>
      <w:r>
        <w:t xml:space="preserve"> </w:t>
      </w:r>
      <w:r>
        <w:rPr>
          <w:iCs/>
          <w:i/>
        </w:rPr>
        <w:t xml:space="preserve">Lepomis</w:t>
      </w:r>
      <w:r>
        <w:t xml:space="preserve"> </w:t>
      </w:r>
      <w:r>
        <w:t xml:space="preserve">ESVs is</w:t>
      </w:r>
      <w:r>
        <w:t xml:space="preserve"> </w:t>
      </w:r>
      <w:r>
        <w:rPr>
          <w:iCs/>
          <w:i/>
        </w:rPr>
        <w:t xml:space="preserve">L. megalotis</w:t>
      </w:r>
      <w:r>
        <w:t xml:space="preserve"> </w:t>
      </w:r>
      <w:r>
        <w:t xml:space="preserve">rather than the true species (most likely Pumpkinseed</w:t>
      </w:r>
      <w:r>
        <w:t xml:space="preserve"> </w:t>
      </w:r>
      <w:r>
        <w:rPr>
          <w:iCs/>
          <w:i/>
        </w:rPr>
        <w:t xml:space="preserve">L. gibbosus</w:t>
      </w:r>
      <w:r>
        <w:t xml:space="preserve"> </w:t>
      </w:r>
      <w:r>
        <w:t xml:space="preserve">or Bluegill</w:t>
      </w:r>
      <w:r>
        <w:t xml:space="preserve"> </w:t>
      </w:r>
      <w:r>
        <w:rPr>
          <w:iCs/>
          <w:i/>
        </w:rPr>
        <w:t xml:space="preserve">L. macrochirus</w:t>
      </w:r>
      <w:r>
        <w:t xml:space="preserve">). All</w:t>
      </w:r>
      <w:r>
        <w:t xml:space="preserve"> </w:t>
      </w:r>
      <w:r>
        <w:rPr>
          <w:iCs/>
          <w:i/>
        </w:rPr>
        <w:t xml:space="preserve">Longear Sunfish</w:t>
      </w:r>
      <w:r>
        <w:t xml:space="preserve"> </w:t>
      </w:r>
      <w:r>
        <w:t xml:space="preserve">detections in this dataset are treated as misassigned</w:t>
      </w:r>
      <w:r>
        <w:t xml:space="preserve"> </w:t>
      </w:r>
      <w:r>
        <w:rPr>
          <w:iCs/>
          <w:i/>
        </w:rPr>
        <w:t xml:space="preserve">Lepomis</w:t>
      </w:r>
      <w:r>
        <w:t xml:space="preserve"> </w:t>
      </w:r>
      <w:r>
        <w:t xml:space="preserve">spp. and excluded from ecological interpretation.</w:t>
      </w:r>
    </w:p>
    <w:p>
      <w:pPr>
        <w:pStyle w:val="BodyText"/>
      </w:pPr>
      <w:r>
        <w:rPr>
          <w:bCs/>
          <w:b/>
        </w:rPr>
        <w:t xml:space="preserve">[T4] —</w:t>
      </w:r>
      <w:r>
        <w:rPr>
          <w:bCs/>
          <w:b/>
        </w:rPr>
        <w:t xml:space="preserve"> </w:t>
      </w:r>
      <w:r>
        <w:rPr>
          <w:iCs/>
          <w:i/>
          <w:bCs/>
          <w:b/>
        </w:rPr>
        <w:t xml:space="preserve">Fundulus parvipinnis</w:t>
      </w:r>
      <w:r>
        <w:rPr>
          <w:bCs/>
          <w:b/>
        </w:rPr>
        <w:t xml:space="preserve"> </w:t>
      </w:r>
      <w:r>
        <w:rPr>
          <w:bCs/>
          <w:b/>
        </w:rPr>
        <w:t xml:space="preserve">database artifact.</w:t>
      </w:r>
      <w:r>
        <w:t xml:space="preserve"> </w:t>
      </w:r>
      <w:r>
        <w:rPr>
          <w:iCs/>
          <w:i/>
        </w:rPr>
        <w:t xml:space="preserve">Fundulus parvipinnis</w:t>
      </w:r>
      <w:r>
        <w:t xml:space="preserve"> </w:t>
      </w:r>
      <w:r>
        <w:t xml:space="preserve">(California Killifish) is a Pacific coast species with no range east of the Rockies. Any detection in a New England eDNA sample is a database artifact — the barcode assigns these reads to</w:t>
      </w:r>
      <w:r>
        <w:t xml:space="preserve"> </w:t>
      </w:r>
      <w:r>
        <w:rPr>
          <w:iCs/>
          <w:i/>
        </w:rPr>
        <w:t xml:space="preserve">F. parvipinnis</w:t>
      </w:r>
      <w:r>
        <w:t xml:space="preserve"> </w:t>
      </w:r>
      <w:r>
        <w:t xml:space="preserve">as the closest available reference match for an eastern</w:t>
      </w:r>
      <w:r>
        <w:t xml:space="preserve"> </w:t>
      </w:r>
      <w:r>
        <w:rPr>
          <w:iCs/>
          <w:i/>
        </w:rPr>
        <w:t xml:space="preserve">Fundulus</w:t>
      </w:r>
      <w:r>
        <w:t xml:space="preserve"> </w:t>
      </w:r>
      <w:r>
        <w:t xml:space="preserve">ESV (most likely</w:t>
      </w:r>
      <w:r>
        <w:t xml:space="preserve"> </w:t>
      </w:r>
      <w:r>
        <w:rPr>
          <w:iCs/>
          <w:i/>
        </w:rPr>
        <w:t xml:space="preserve">Fundulus heteroclitus</w:t>
      </w:r>
      <w:r>
        <w:t xml:space="preserve">, Mummichog). Exclude from ecological interpretation.</w:t>
      </w:r>
    </w:p>
    <w:p>
      <w:pPr>
        <w:pStyle w:val="BodyText"/>
      </w:pPr>
      <w:r>
        <w:rPr>
          <w:bCs/>
          <w:b/>
        </w:rPr>
        <w:t xml:space="preserve">[T5] — Cormorant fecal eDNA.</w:t>
      </w:r>
      <w:r>
        <w:t xml:space="preserve"> </w:t>
      </w:r>
      <w:r>
        <w:t xml:space="preserve">Double-crested Cormorants (</w:t>
      </w:r>
      <w:r>
        <w:rPr>
          <w:iCs/>
          <w:i/>
        </w:rPr>
        <w:t xml:space="preserve">Phalacrocorax auritus</w:t>
      </w:r>
      <w:r>
        <w:t xml:space="preserve">) forage actively in Manchester Harbor and adjacent coastal waters on Atlantic Menhaden (</w:t>
      </w:r>
      <w:r>
        <w:rPr>
          <w:iCs/>
          <w:i/>
        </w:rPr>
        <w:t xml:space="preserve">Brevoortia</w:t>
      </w:r>
      <w:r>
        <w:t xml:space="preserve"> </w:t>
      </w:r>
      <w:r>
        <w:t xml:space="preserve">spp.), Alewife, and other marine/estuarine fish. Cormorants transit inland waterways and deposit dietary fish DNA via feces. The diagnostic indicator is</w:t>
      </w:r>
      <w:r>
        <w:t xml:space="preserve"> </w:t>
      </w:r>
      <w:r>
        <w:rPr>
          <w:bCs/>
          <w:b/>
        </w:rPr>
        <w:t xml:space="preserve">Atlantic Menhaden</w:t>
      </w:r>
      <w:r>
        <w:t xml:space="preserve"> </w:t>
      </w:r>
      <w:r>
        <w:t xml:space="preserve">— a coastal marine schooling fish with no freshwater range. Any Menhaden detection at an inland freshwater site is evidence of cormorant fecal eDNA input.</w:t>
      </w:r>
      <w:r>
        <w:t xml:space="preserve"> </w:t>
      </w:r>
      <w:r>
        <w:rPr>
          <w:iCs/>
          <w:i/>
        </w:rPr>
        <w:t xml:space="preserve">Xiphister</w:t>
      </w:r>
      <w:r>
        <w:t xml:space="preserve"> </w:t>
      </w:r>
      <w:r>
        <w:t xml:space="preserve">spp. (marine prickleback, intertidal rocky shore) is a secondary corroborating indicator. Alewife detections at sites above the confirmed anadromous limit should be evaluated in light of co-occurring Menhaden signal; if Menhaden is present, Alewife is parsimoniously explained by the same fecal source rather than live fish presence.</w:t>
      </w:r>
    </w:p>
    <w:p>
      <w:pPr>
        <w:pStyle w:val="BodyText"/>
      </w:pPr>
      <w:r>
        <w:rPr>
          <w:bCs/>
          <w:b/>
        </w:rPr>
        <w:t xml:space="preserve">[T6] — Charophyte genus /</w:t>
      </w:r>
      <w:r>
        <w:rPr>
          <w:bCs/>
          <w:b/>
        </w:rPr>
        <w:t xml:space="preserve"> </w:t>
      </w:r>
      <w:r>
        <w:rPr>
          <w:iCs/>
          <w:i/>
          <w:bCs/>
          <w:b/>
        </w:rPr>
        <w:t xml:space="preserve">Nitellopsis obtusa</w:t>
      </w:r>
      <w:r>
        <w:rPr>
          <w:bCs/>
          <w:b/>
        </w:rPr>
        <w:t xml:space="preserve"> </w:t>
      </w:r>
      <w:r>
        <w:rPr>
          <w:bCs/>
          <w:b/>
        </w:rPr>
        <w:t xml:space="preserve">invasive species uncertainty.</w:t>
      </w:r>
      <w:r>
        <w:t xml:space="preserve"> </w:t>
      </w:r>
      <w:r>
        <w:t xml:space="preserve">The 23S rRNA barcode in this dataset resolves the Charophyte (Stonewort) signal to class (Charophyceae) but not to genus. Native</w:t>
      </w:r>
      <w:r>
        <w:t xml:space="preserve"> </w:t>
      </w:r>
      <w:r>
        <w:rPr>
          <w:iCs/>
          <w:i/>
        </w:rPr>
        <w:t xml:space="preserve">Chara</w:t>
      </w:r>
      <w:r>
        <w:t xml:space="preserve"> </w:t>
      </w:r>
      <w:r>
        <w:t xml:space="preserve">spp. and</w:t>
      </w:r>
      <w:r>
        <w:t xml:space="preserve"> </w:t>
      </w:r>
      <w:r>
        <w:rPr>
          <w:iCs/>
          <w:i/>
        </w:rPr>
        <w:t xml:space="preserve">Nitella</w:t>
      </w:r>
      <w:r>
        <w:t xml:space="preserve"> </w:t>
      </w:r>
      <w:r>
        <w:t xml:space="preserve">spp. — clean-water ecological indicators — and invasive</w:t>
      </w:r>
      <w:r>
        <w:t xml:space="preserve"> </w:t>
      </w:r>
      <w:r>
        <w:rPr>
          <w:iCs/>
          <w:i/>
        </w:rPr>
        <w:t xml:space="preserve">Nitellopsis obtusa</w:t>
      </w:r>
      <w:r>
        <w:t xml:space="preserve"> </w:t>
      </w:r>
      <w:r>
        <w:t xml:space="preserve">(Starry Stonewort, regulated invasive in multiple northeastern states, expanding rapidly from Great Lakes origin) are both Charophyceae and cannot be distinguished from this data alone. The top database hit at Golf Course/Sawmill Brook is</w:t>
      </w:r>
      <w:r>
        <w:t xml:space="preserve"> </w:t>
      </w:r>
      <w:r>
        <w:rPr>
          <w:iCs/>
          <w:i/>
        </w:rPr>
        <w:t xml:space="preserve">Nitellopsis obtusa</w:t>
      </w:r>
      <w:r>
        <w:t xml:space="preserve"> </w:t>
      </w:r>
      <w:r>
        <w:t xml:space="preserve">at 95.8% identity — below the species-level threshold of 97%, with only a 0.3% margin over native</w:t>
      </w:r>
      <w:r>
        <w:t xml:space="preserve"> </w:t>
      </w:r>
      <w:r>
        <w:rPr>
          <w:iCs/>
          <w:i/>
        </w:rPr>
        <w:t xml:space="preserve">Chara</w:t>
      </w:r>
      <w:r>
        <w:t xml:space="preserve">/</w:t>
      </w:r>
      <w:r>
        <w:rPr>
          <w:iCs/>
          <w:i/>
        </w:rPr>
        <w:t xml:space="preserve">Nitella</w:t>
      </w:r>
      <w:r>
        <w:t xml:space="preserve">. Anecdotal reports from local ecologists and phycologists indicate that</w:t>
      </w:r>
      <w:r>
        <w:t xml:space="preserve"> </w:t>
      </w:r>
      <w:r>
        <w:rPr>
          <w:iCs/>
          <w:i/>
        </w:rPr>
        <w:t xml:space="preserve">Nitellopsis obtusa</w:t>
      </w:r>
      <w:r>
        <w:t xml:space="preserve"> </w:t>
      </w:r>
      <w:r>
        <w:t xml:space="preserve">has not been documented in Massachusetts. Field morphological identification or species-specific PCR is required before invasive status can be confirmed or ruled out. The Charophyte signal at this site is ecologically significant regardless of species identity — but its management implications depend entirely on the field determination.</w:t>
      </w:r>
    </w:p>
    <w:p>
      <w:pPr>
        <w:pStyle w:val="BodyText"/>
      </w:pPr>
      <w:r>
        <w:rPr>
          <w:bCs/>
          <w:b/>
        </w:rPr>
        <w:t xml:space="preserve">[T7] — eDNA degradation in tidal/saline water.</w:t>
      </w:r>
      <w:r>
        <w:t xml:space="preserve"> </w:t>
      </w:r>
      <w:r>
        <w:t xml:space="preserve">eDNA degrades more rapidly in saline and brackish water than in freshwater, due to elevated enzymatic activity and UV exposure in open tidal reaches. Fish eDNA signals from upstream freshwater sources collected at tidal sampling points may therefore be attenuated relative to the true upstream population signal. Brook Trout detections at Below School St (a tidal sampling point) likely understate upstream Brook Trout abundance. Where possible, sampling locations should be sited upstream of the tidal limit to maximize detection sensitivity for freshwater species.</w:t>
      </w:r>
    </w:p>
    <w:p>
      <w:pPr>
        <w:pStyle w:val="BodyText"/>
      </w:pPr>
      <w:r>
        <w:rPr>
          <w:bCs/>
          <w:b/>
        </w:rPr>
        <w:t xml:space="preserve">[T8] — Read count reliability.</w:t>
      </w:r>
      <w:r>
        <w:t xml:space="preserve"> </w:t>
      </w:r>
      <w:r>
        <w:t xml:space="preserve">eDNA read counts are proportional, not absolute — they represent the fraction of total DNA molecules in a sample matching each species, not fish abundance. Detection reliability scales with both read percentage and total read count. A species at 1% with 50,000 total reads (500 reads) is a reliable detection; the same 1% from only 500 total reads (5 reads) is marginal. In this dataset, total read counts per sample range from ~3,700 (Sawmill Swamp algae) to ~47,870 (Below Lincoln Pool fish). Detections below ~10 reads should be treated with caution regardless of percentage.</w:t>
      </w:r>
    </w:p>
    <w:p>
      <w:pPr>
        <w:pStyle w:val="BodyText"/>
      </w:pPr>
      <w:r>
        <w:rPr>
          <w:bCs/>
          <w:b/>
        </w:rPr>
        <w:t xml:space="preserve">[T9] — Rainbow Smelt anomalous detection (Golf Course/Sawmill Brook, Nov 2023).</w:t>
      </w:r>
      <w:r>
        <w:t xml:space="preserve"> </w:t>
      </w:r>
      <w:r>
        <w:t xml:space="preserve">Rainbow Smelt (</w:t>
      </w:r>
      <w:r>
        <w:rPr>
          <w:iCs/>
          <w:i/>
        </w:rPr>
        <w:t xml:space="preserve">Osmerus mordax</w:t>
      </w:r>
      <w:r>
        <w:t xml:space="preserve">) are anadromous and do enter some Massachusetts coastal streams for late-winter/spring spawning runs, but are not documented in Sawmill Brook or Cat Brook. The 0.2% detection at Golf Course/Sawmill Brook in November is anomalous for this site and season. ESV-level review is needed to confirm whether this represents a genuine smelt detection or a barcode cross-match. Treat as unconfirmed pending ESV verification.</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2026-04-25T13:06:21Z</dcterms:created>
  <dcterms:modified xsi:type="dcterms:W3CDTF">2026-04-25T13:06:21Z</dcterms:modified>
</cp:coreProperties>
</file>

<file path=docProps/custom.xml><?xml version="1.0" encoding="utf-8"?>
<Properties xmlns="http://schemas.openxmlformats.org/officeDocument/2006/custom-properties" xmlns:vt="http://schemas.openxmlformats.org/officeDocument/2006/docPropsVTypes"/>
</file>