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3289e9015b23c4de795bcc01b6612b3f0c28b6"/>
    <w:p>
      <w:pPr>
        <w:pStyle w:val="Heading1"/>
      </w:pPr>
      <w:r>
        <w:t xml:space="preserve">eDNA Ecological Report — Sawmill Brook / Cat Brook Watershed</w:t>
      </w:r>
    </w:p>
    <w:bookmarkStart w:id="21" w:name="X9d658fc938b6d924a93f6690ed900e719728b5c"/>
    <w:p>
      <w:pPr>
        <w:pStyle w:val="Heading2"/>
      </w:pPr>
      <w:r>
        <w:t xml:space="preserve">Manchester-by-the-Sea Brook Trout Monitoring Program (MBTS)</w:t>
      </w:r>
    </w:p>
    <w:bookmarkStart w:id="20" w:name="Xa32eeb888876ed4b3501ff3b05763bd9f6f8a7a"/>
    <w:p>
      <w:pPr>
        <w:pStyle w:val="Heading3"/>
      </w:pPr>
      <w:r>
        <w:t xml:space="preserve">Manchester-by-the-Sea, MA · November 2023 – June 2025</w:t>
      </w:r>
    </w:p>
    <w:p>
      <w:r>
        <w:pict>
          <v:rect style="width:0;height:1.5pt" o:hralign="center" o:hrstd="t" o:hr="t"/>
        </w:pict>
      </w:r>
    </w:p>
    <w:bookmarkEnd w:id="20"/>
    <w:bookmarkEnd w:id="21"/>
    <w:bookmarkStart w:id="22" w:name="a-note-on-interpretation"/>
    <w:p>
      <w:pPr>
        <w:pStyle w:val="Heading2"/>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eDNA is an emerging science and while this is a best-effort analysis there may be mistakes; this preliminary report is shared for feedback more than as established fact. If a species is detected (no matter how unexpected), or not detected, that is what is written. The core of eDNA science is statistical likelihood drawn from billions of complete and fragmented DNA strands — results represent a percentage of detection probability more than a census of individuals, though relative abundance is a natural inference. If a reading is ambiguous, the ambiguity is named and the most likely interpretation is stated directly. Unsupported qualifications are not a substitute for data.</w:t>
      </w:r>
    </w:p>
    <w:p>
      <w:r>
        <w:pict>
          <v:rect style="width:0;height:1.5pt" o:hralign="center" o:hrstd="t" o:hr="t"/>
        </w:pict>
      </w:r>
    </w:p>
    <w:bookmarkEnd w:id="22"/>
    <w:bookmarkStart w:id="23" w:name="about-this-report"/>
    <w:p>
      <w:pPr>
        <w:pStyle w:val="Heading2"/>
      </w:pPr>
      <w:r>
        <w:t xml:space="preserve">About This Report</w:t>
      </w:r>
    </w:p>
    <w:p>
      <w:pPr>
        <w:pStyle w:val="FirstParagraph"/>
      </w:pPr>
      <w:r>
        <w:t xml:space="preserve">This report covers water samples from 12 distinct sites in and around the Sawmill Brook / Cat Brook watershed in Manchester-by-the-Sea, MA, spanning November 2023 through November 2025. It also includes one marine sample at Proctor Point Dock (Manchester Harbor, June 2025), into which Sawmill Brook empties — providing ecological context for the watershed’s coastal outlet.</w:t>
      </w:r>
    </w:p>
    <w:p>
      <w:pPr>
        <w:pStyle w:val="BodyText"/>
      </w:pPr>
      <w:r>
        <w:t xml:space="preserve">The Manchester-by-the-Sea Brook Trout Monitoring Program (MBTS) tracks the health and status of Sawmill Brook — a small suburban coastal stream that drains southwest into Manchester Harbor. The sampling network covers the full longitudinal gradient: from Second Pond and Cat Brook headwaters through the main stem, from the estuarine School Street reach to the tidal limit at Fire Station.</w:t>
      </w:r>
    </w:p>
    <w:p>
      <w:pPr>
        <w:pStyle w:val="BodyText"/>
      </w:pPr>
      <w:r>
        <w:t xml:space="preserve">Brook Trout (</w:t>
      </w:r>
      <w:r>
        <w:rPr>
          <w:iCs/>
          <w:i/>
        </w:rPr>
        <w:t xml:space="preserve">Salvelinus fontinalis</w:t>
      </w:r>
      <w:r>
        <w:t xml:space="preserve">) are the primary monitoring target. Their presence or absence at each site tells a story about possible anadromy, water quality, thermal conditions, and habitat connectivity. All other species detected — from Golden Shiner to Mummichog — are interpreted in relation to that central question: is this fresh-to-salt water continuum livable for Brook Trout, and what is limiting or sustaining their population?</w:t>
      </w:r>
    </w:p>
    <w:p>
      <w:r>
        <w:pict>
          <v:rect style="width:0;height:1.5pt" o:hralign="center" o:hrstd="t" o:hr="t"/>
        </w:pict>
      </w:r>
    </w:p>
    <w:bookmarkEnd w:id="23"/>
    <w:bookmarkStart w:id="24" w:name="how-to-read-this-report"/>
    <w:p>
      <w:pPr>
        <w:pStyle w:val="Heading2"/>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Algal reports can also shed light when fish DNA is not found — either due to sample failure or low winter fish movements.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(formula: −Σ p·ln p). A higher value means more even distribution of reads across species — a proxy for ecological complexity and environmental quality.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value</w:t>
            </w:r>
          </w:p>
        </w:tc>
        <w:tc>
          <w:tcPr/>
          <w:p>
            <w:pPr>
              <w:pStyle w:val="Compact"/>
              <w:jc w:val="left"/>
            </w:pPr>
            <w:r>
              <w:t xml:space="preserve">Interpretation</w:t>
            </w:r>
          </w:p>
        </w:tc>
      </w:tr>
      <w:tr>
        <w:tc>
          <w:tcPr/>
          <w:p>
            <w:pPr>
              <w:pStyle w:val="Compact"/>
              <w:jc w:val="left"/>
            </w:pPr>
            <w:r>
              <w:t xml:space="preserve">0.00</w:t>
            </w:r>
          </w:p>
        </w:tc>
        <w:tc>
          <w:tcPr/>
          <w:p>
            <w:pPr>
              <w:pStyle w:val="Compact"/>
              <w:jc w:val="left"/>
            </w:pPr>
            <w:r>
              <w:t xml:space="preserve">Single species / monoculture</w:t>
            </w:r>
          </w:p>
        </w:tc>
      </w:tr>
      <w:tr>
        <w:tc>
          <w:tcPr/>
          <w:p>
            <w:pPr>
              <w:pStyle w:val="Compact"/>
              <w:jc w:val="left"/>
            </w:pPr>
            <w:r>
              <w:t xml:space="preserve">0.01 – 0.30</w:t>
            </w:r>
          </w:p>
        </w:tc>
        <w:tc>
          <w:tcPr/>
          <w:p>
            <w:pPr>
              <w:pStyle w:val="Compact"/>
              <w:jc w:val="left"/>
            </w:pPr>
            <w:r>
              <w:t xml:space="preserve">Near-monoculture (&gt;90% one species)</w:t>
            </w:r>
          </w:p>
        </w:tc>
      </w:tr>
      <w:tr>
        <w:tc>
          <w:tcPr/>
          <w:p>
            <w:pPr>
              <w:pStyle w:val="Compact"/>
              <w:jc w:val="left"/>
            </w:pPr>
            <w:r>
              <w:t xml:space="preserve">0.30 – 0.80</w:t>
            </w:r>
          </w:p>
        </w:tc>
        <w:tc>
          <w:tcPr/>
          <w:p>
            <w:pPr>
              <w:pStyle w:val="Compact"/>
              <w:jc w:val="left"/>
            </w:pPr>
            <w:r>
              <w:t xml:space="preserve">Low diversity (2–3 species dominant)</w:t>
            </w:r>
          </w:p>
        </w:tc>
      </w:tr>
      <w:tr>
        <w:tc>
          <w:tcPr/>
          <w:p>
            <w:pPr>
              <w:pStyle w:val="Compact"/>
              <w:jc w:val="left"/>
            </w:pPr>
            <w:r>
              <w:t xml:space="preserve">0.80 – 1.40</w:t>
            </w:r>
          </w:p>
        </w:tc>
        <w:tc>
          <w:tcPr/>
          <w:p>
            <w:pPr>
              <w:pStyle w:val="Compact"/>
              <w:jc w:val="left"/>
            </w:pPr>
            <w:r>
              <w:t xml:space="preserve">Moderate diversity (4–6 species)</w:t>
            </w:r>
          </w:p>
        </w:tc>
      </w:tr>
      <w:tr>
        <w:tc>
          <w:tcPr/>
          <w:p>
            <w:pPr>
              <w:pStyle w:val="Compact"/>
              <w:jc w:val="left"/>
            </w:pPr>
            <w:r>
              <w:t xml:space="preserve">1.40 – 2.00</w:t>
            </w:r>
          </w:p>
        </w:tc>
        <w:tc>
          <w:tcPr/>
          <w:p>
            <w:pPr>
              <w:pStyle w:val="Compact"/>
              <w:jc w:val="left"/>
            </w:pPr>
            <w:r>
              <w:t xml:space="preserve">Good diversity (6–10 species)</w:t>
            </w:r>
          </w:p>
        </w:tc>
      </w:tr>
      <w:tr>
        <w:tc>
          <w:tcPr/>
          <w:p>
            <w:pPr>
              <w:pStyle w:val="Compact"/>
              <w:jc w:val="left"/>
            </w:pPr>
            <w:r>
              <w:t xml:space="preserve">2.00 – 2.50</w:t>
            </w:r>
          </w:p>
        </w:tc>
        <w:tc>
          <w:tcPr/>
          <w:p>
            <w:pPr>
              <w:pStyle w:val="Compact"/>
              <w:jc w:val="left"/>
            </w:pPr>
            <w:r>
              <w:t xml:space="preserve">High diversity (10–15+ species)</w:t>
            </w:r>
          </w:p>
        </w:tc>
      </w:tr>
      <w:tr>
        <w:tc>
          <w:tcPr/>
          <w:p>
            <w:pPr>
              <w:pStyle w:val="Compact"/>
              <w:jc w:val="left"/>
            </w:pPr>
            <w:r>
              <w:t xml:space="preserve">2.50+</w:t>
            </w:r>
          </w:p>
        </w:tc>
        <w:tc>
          <w:tcPr/>
          <w:p>
            <w:pPr>
              <w:pStyle w:val="Compact"/>
              <w:jc w:val="left"/>
            </w:pPr>
            <w:r>
              <w:t xml:space="preserve">Very high diversity (richest communities)</w:t>
            </w:r>
          </w:p>
        </w:tc>
      </w:tr>
    </w:tbl>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 and rich sources of food at all trophic levels. Shannon Diversity (H) captures this: higher values mean more species contributing meaningfully to the community — not one dominant species and noise.</w:t>
      </w:r>
    </w:p>
    <w:p>
      <w:pPr>
        <w:pStyle w:val="BodyText"/>
      </w:pPr>
      <w:r>
        <w:rPr>
          <w:bCs/>
          <w:b/>
        </w:rPr>
        <w:t xml:space="preserve">Read counts</w:t>
      </w:r>
      <w:r>
        <w:t xml:space="preserve"> </w:t>
      </w:r>
      <w:r>
        <w:t xml:space="preserve">are proportional, not absolute [T8].</w:t>
      </w:r>
    </w:p>
    <w:p>
      <w:pPr>
        <w:pStyle w:val="BodyText"/>
      </w:pPr>
      <w:r>
        <w:t xml:space="preserve">Water chemistry values are</w:t>
      </w:r>
      <w:r>
        <w:t xml:space="preserve"> </w:t>
      </w:r>
      <w:r>
        <w:rPr>
          <w:bCs/>
          <w:b/>
        </w:rPr>
        <w:t xml:space="preserve">inferred</w:t>
      </w:r>
      <w:r>
        <w:t xml:space="preserve"> </w:t>
      </w:r>
      <w:r>
        <w:t xml:space="preserve">from biological indicator species unless otherwise stated — directionally reliable but not a substitute for direct measurement. pH values are calibrated; residual uncertainty ±0.2 pH unit. Temperature readings are reported in °F. Field data are presented site-by-site where available.</w:t>
      </w:r>
    </w:p>
    <w:p>
      <w:pPr>
        <w:pStyle w:val="BodyText"/>
      </w:pPr>
      <w:r>
        <w:rPr>
          <w:bCs/>
          <w:b/>
        </w:rPr>
        <w:t xml:space="preserve">Site order:</w:t>
      </w:r>
      <w:r>
        <w:t xml:space="preserve"> </w:t>
      </w:r>
      <w:r>
        <w:t xml:space="preserve">Sites are presented upstream-to-downstream where possible, followed by Proctor Point marine reference.</w:t>
      </w:r>
    </w:p>
    <w:p>
      <w:pPr>
        <w:pStyle w:val="BodyText"/>
      </w:pPr>
      <w:r>
        <w:rPr>
          <w:bCs/>
          <w:b/>
        </w:rPr>
        <w:t xml:space="preserve">Methods:</w:t>
      </w:r>
      <w:r>
        <w:t xml:space="preserve"> </w:t>
      </w:r>
      <w:r>
        <w:t xml:space="preserve">All samples were collected using Jonah Ventures (JV) eDNA field kits following recommended field-sterile procedures. All samples were mailed to JV for processing. Fish samples were analyzed using the MiFish 12S rRNA barcode; several samples were also analyzed for algae using the 23S rRNA barcode. Results were processed in MS Excel and later using Artificial Intelligence (Claude / OpenAI) for analysis.</w:t>
      </w:r>
    </w:p>
    <w:p>
      <w:r>
        <w:pict>
          <v:rect style="width:0;height:1.5pt" o:hralign="center" o:hrstd="t" o:hr="t"/>
        </w:pict>
      </w:r>
    </w:p>
    <w:bookmarkEnd w:id="24"/>
    <w:bookmarkStart w:id="25" w:name="X93fa744b53763da1c41fa67af8350b5f4cdbfd0"/>
    <w:p>
      <w:pPr>
        <w:pStyle w:val="Heading2"/>
      </w:pPr>
      <w:r>
        <w:t xml:space="preserve">Field pH &amp; Temperature — All MBTS Vivosun Measurements</w:t>
      </w:r>
    </w:p>
    <w:p>
      <w:pPr>
        <w:pStyle w:val="FirstParagraph"/>
      </w:pPr>
      <w:r>
        <w:rPr>
          <w:bCs/>
          <w:b/>
        </w:rPr>
        <w:t xml:space="preserve">Average pH across all 8 field readings: 6.66</w:t>
      </w:r>
      <w:r>
        <w:t xml:space="preserve"> </w:t>
      </w:r>
      <w:r>
        <w:t xml:space="preserve">(range 6.15–7.05) — every measurement falls within the Brook Trout adult pH tolerance range (5.0–7.5). The full MBTS watershed, at every site and season measured, presents chemically viable habitat for Brook Trout. No site has been found to be pH-excluded.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Site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Brook Trout context</w:t>
            </w:r>
          </w:p>
        </w:tc>
      </w:tr>
      <w:tr>
        <w:tc>
          <w:tcPr/>
          <w:p>
            <w:pPr>
              <w:pStyle w:val="Compact"/>
              <w:jc w:val="left"/>
            </w:pPr>
            <w:r>
              <w:t xml:space="preserve">Jun 5, 2025</w:t>
            </w:r>
          </w:p>
        </w:tc>
        <w:tc>
          <w:tcPr/>
          <w:p>
            <w:pPr>
              <w:pStyle w:val="Compact"/>
              <w:jc w:val="left"/>
            </w:pPr>
            <w:r>
              <w:t xml:space="preserve">Lincoln St (Below Lincoln Pool)</w:t>
            </w:r>
          </w:p>
        </w:tc>
        <w:tc>
          <w:tcPr/>
          <w:p>
            <w:pPr>
              <w:pStyle w:val="Compact"/>
              <w:jc w:val="left"/>
            </w:pPr>
            <w:r>
              <w:t xml:space="preserve">6.88</w:t>
            </w:r>
          </w:p>
        </w:tc>
        <w:tc>
          <w:tcPr/>
          <w:p>
            <w:pPr>
              <w:pStyle w:val="Compact"/>
              <w:jc w:val="left"/>
            </w:pPr>
            <w:r>
              <w:t xml:space="preserve">55.4</w:t>
            </w:r>
          </w:p>
        </w:tc>
        <w:tc>
          <w:tcPr/>
          <w:p>
            <w:pPr>
              <w:pStyle w:val="Compact"/>
              <w:jc w:val="left"/>
            </w:pPr>
            <w:r>
              <w:t xml:space="preserve">Optimal — co-collected with eDNA; BT detected (0.6%)</w:t>
            </w:r>
          </w:p>
        </w:tc>
      </w:tr>
      <w:tr>
        <w:tc>
          <w:tcPr/>
          <w:p>
            <w:pPr>
              <w:pStyle w:val="Compact"/>
              <w:jc w:val="left"/>
            </w:pPr>
            <w:r>
              <w:t xml:space="preserve">Jun 8, 2025</w:t>
            </w:r>
          </w:p>
        </w:tc>
        <w:tc>
          <w:tcPr/>
          <w:p>
            <w:pPr>
              <w:pStyle w:val="Compact"/>
              <w:jc w:val="left"/>
            </w:pPr>
            <w:r>
              <w:t xml:space="preserve">Atwater Ave</w:t>
            </w:r>
          </w:p>
        </w:tc>
        <w:tc>
          <w:tcPr/>
          <w:p>
            <w:pPr>
              <w:pStyle w:val="Compact"/>
              <w:jc w:val="left"/>
            </w:pPr>
            <w:r>
              <w:t xml:space="preserve">6.15</w:t>
            </w:r>
          </w:p>
        </w:tc>
        <w:tc>
          <w:tcPr/>
          <w:p>
            <w:pPr>
              <w:pStyle w:val="Compact"/>
              <w:jc w:val="left"/>
            </w:pPr>
            <w:r>
              <w:t xml:space="preserve">62.7</w:t>
            </w:r>
          </w:p>
        </w:tc>
        <w:tc>
          <w:tcPr/>
          <w:p>
            <w:pPr>
              <w:pStyle w:val="Compact"/>
              <w:jc w:val="left"/>
            </w:pPr>
            <w:r>
              <w:t xml:space="preserve">Optimal for adults; co-collected with eDNA; BT detected (1.1%)</w:t>
            </w:r>
          </w:p>
        </w:tc>
      </w:tr>
      <w:tr>
        <w:tc>
          <w:tcPr/>
          <w:p>
            <w:pPr>
              <w:pStyle w:val="Compact"/>
              <w:jc w:val="left"/>
            </w:pPr>
            <w:r>
              <w:t xml:space="preserve">Jul 9, 2025</w:t>
            </w:r>
          </w:p>
        </w:tc>
        <w:tc>
          <w:tcPr/>
          <w:p>
            <w:pPr>
              <w:pStyle w:val="Compact"/>
              <w:jc w:val="left"/>
            </w:pPr>
            <w:r>
              <w:t xml:space="preserve">Atwater Ave</w:t>
            </w:r>
          </w:p>
        </w:tc>
        <w:tc>
          <w:tcPr/>
          <w:p>
            <w:pPr>
              <w:pStyle w:val="Compact"/>
              <w:jc w:val="left"/>
            </w:pPr>
            <w:r>
              <w:t xml:space="preserve">6.47</w:t>
            </w:r>
          </w:p>
        </w:tc>
        <w:tc>
          <w:tcPr/>
          <w:p>
            <w:pPr>
              <w:pStyle w:val="Compact"/>
              <w:jc w:val="left"/>
            </w:pPr>
            <w:r>
              <w:t xml:space="preserve">75.9</w:t>
            </w:r>
          </w:p>
        </w:tc>
        <w:tc>
          <w:tcPr/>
          <w:p>
            <w:pPr>
              <w:pStyle w:val="Compact"/>
              <w:jc w:val="left"/>
            </w:pPr>
            <w:r>
              <w:t xml:space="preserve">⚠️ Thermally lethal — above acute BT threshold (~75°F)</w:t>
            </w:r>
          </w:p>
        </w:tc>
      </w:tr>
      <w:tr>
        <w:tc>
          <w:tcPr/>
          <w:p>
            <w:pPr>
              <w:pStyle w:val="Compact"/>
              <w:jc w:val="left"/>
            </w:pPr>
            <w:r>
              <w:t xml:space="preserve">Jul 31, 2025</w:t>
            </w:r>
          </w:p>
        </w:tc>
        <w:tc>
          <w:tcPr/>
          <w:p>
            <w:pPr>
              <w:pStyle w:val="Compact"/>
              <w:jc w:val="left"/>
            </w:pPr>
            <w:r>
              <w:t xml:space="preserve">School St</w:t>
            </w:r>
          </w:p>
        </w:tc>
        <w:tc>
          <w:tcPr/>
          <w:p>
            <w:pPr>
              <w:pStyle w:val="Compact"/>
              <w:jc w:val="left"/>
            </w:pPr>
            <w:r>
              <w:t xml:space="preserve">7.05</w:t>
            </w:r>
          </w:p>
        </w:tc>
        <w:tc>
          <w:tcPr/>
          <w:p>
            <w:pPr>
              <w:pStyle w:val="Compact"/>
              <w:jc w:val="left"/>
            </w:pPr>
            <w:r>
              <w:t xml:space="preserve">71.6</w:t>
            </w:r>
          </w:p>
        </w:tc>
        <w:tc>
          <w:tcPr/>
          <w:p>
            <w:pPr>
              <w:pStyle w:val="Compact"/>
              <w:jc w:val="left"/>
            </w:pPr>
            <w:r>
              <w:t xml:space="preserve">pH optimal; temp at upper stress threshold</w:t>
            </w:r>
          </w:p>
        </w:tc>
      </w:tr>
      <w:tr>
        <w:tc>
          <w:tcPr/>
          <w:p>
            <w:pPr>
              <w:pStyle w:val="Compact"/>
              <w:jc w:val="left"/>
            </w:pPr>
            <w:r>
              <w:t xml:space="preserve">Nov 23, 2025</w:t>
            </w:r>
          </w:p>
        </w:tc>
        <w:tc>
          <w:tcPr/>
          <w:p>
            <w:pPr>
              <w:pStyle w:val="Compact"/>
              <w:jc w:val="left"/>
            </w:pPr>
            <w:r>
              <w:t xml:space="preserve">Atwater Ave</w:t>
            </w:r>
          </w:p>
        </w:tc>
        <w:tc>
          <w:tcPr/>
          <w:p>
            <w:pPr>
              <w:pStyle w:val="Compact"/>
              <w:jc w:val="left"/>
            </w:pPr>
            <w:r>
              <w:t xml:space="preserve">6.87</w:t>
            </w:r>
          </w:p>
        </w:tc>
        <w:tc>
          <w:tcPr/>
          <w:p>
            <w:pPr>
              <w:pStyle w:val="Compact"/>
              <w:jc w:val="left"/>
            </w:pPr>
            <w:r>
              <w:t xml:space="preserve">36.8</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Lincoln St (Below Lincoln Pool)</w:t>
            </w:r>
          </w:p>
        </w:tc>
        <w:tc>
          <w:tcPr/>
          <w:p>
            <w:pPr>
              <w:pStyle w:val="Compact"/>
              <w:jc w:val="left"/>
            </w:pPr>
            <w:r>
              <w:t xml:space="preserve">6.53</w:t>
            </w:r>
          </w:p>
        </w:tc>
        <w:tc>
          <w:tcPr/>
          <w:p>
            <w:pPr>
              <w:pStyle w:val="Compact"/>
              <w:jc w:val="left"/>
            </w:pPr>
            <w:r>
              <w:t xml:space="preserve">37.7</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6.66</w:t>
            </w:r>
          </w:p>
        </w:tc>
        <w:tc>
          <w:tcPr/>
          <w:p>
            <w:pPr>
              <w:pStyle w:val="Compact"/>
              <w:jc w:val="left"/>
            </w:pPr>
            <w:r>
              <w:t xml:space="preserve">38.4</w:t>
            </w:r>
          </w:p>
        </w:tc>
        <w:tc>
          <w:tcPr/>
          <w:p>
            <w:pPr>
              <w:pStyle w:val="Compact"/>
              <w:jc w:val="left"/>
            </w:pPr>
            <w:r>
              <w:t xml:space="preserve">Winter baseline — co-dated with Nov 22 eDNA; BT detected (4.8%)</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6.66</w:t>
            </w:r>
          </w:p>
        </w:tc>
        <w:tc>
          <w:tcPr/>
          <w:p>
            <w:pPr>
              <w:pStyle w:val="Compact"/>
              <w:jc w:val="left"/>
            </w:pPr>
            <w:r>
              <w:t xml:space="preserve">38.4</w:t>
            </w:r>
          </w:p>
        </w:tc>
        <w:tc>
          <w:tcPr/>
          <w:p>
            <w:pPr>
              <w:pStyle w:val="Compact"/>
              <w:jc w:val="left"/>
            </w:pPr>
            <w:r>
              <w:t xml:space="preserve">Duplicate GPS point — confirms reading</w:t>
            </w:r>
          </w:p>
        </w:tc>
      </w:tr>
    </w:tbl>
    <w:p>
      <w:pPr>
        <w:pStyle w:val="BodyText"/>
      </w:pPr>
      <w:r>
        <w:rPr>
          <w:bCs/>
          <w:b/>
        </w:rPr>
        <w:t xml:space="preserve">Average pH: 6.66 | Minimum: 6.15 (Atwater, Jun 2025) | Maximum: 7.05 (School St, Jul 2025)</w:t>
      </w:r>
    </w:p>
    <w:p>
      <w:pPr>
        <w:pStyle w:val="BodyText"/>
      </w:pPr>
      <w:r>
        <w:rPr>
          <w:iCs/>
          <w:i/>
        </w:rPr>
        <w:t xml:space="preserve">pH values calibrated; residual uncertainty ±0.2 pH unit. Temperature in °F.</w:t>
      </w:r>
    </w:p>
    <w:p>
      <w:pPr>
        <w:pStyle w:val="BodyText"/>
      </w:pPr>
      <w:r>
        <w:rPr>
          <w:bCs/>
          <w:b/>
        </w:rPr>
        <w:t xml:space="preserve">Key finding:</w:t>
      </w:r>
      <w:r>
        <w:t xml:space="preserve"> </w:t>
      </w:r>
      <w:r>
        <w:t xml:space="preserve">The lowest corrected pH in the dataset (6.15, Atwater June) co-occurred with a Brook Trout eDNA detection at the same site on the same date — confirming that Brook Trout are present and active across the full corrected pH range. No corrected value falls below 6.0. The primary summer stressor in this watershed is</w:t>
      </w:r>
      <w:r>
        <w:t xml:space="preserve"> </w:t>
      </w:r>
      <w:r>
        <w:rPr>
          <w:bCs/>
          <w:b/>
        </w:rPr>
        <w:t xml:space="preserve">thermal</w:t>
      </w:r>
      <w:r>
        <w:t xml:space="preserve">, not chemical. The July 9 Atwater reading of 75.9°F is the only measurement approaching the acute lethal threshold.</w:t>
      </w:r>
    </w:p>
    <w:bookmarkEnd w:id="25"/>
    <w:bookmarkStart w:id="26" w:name="key-findings-sawmill-cat-brook-system"/>
    <w:p>
      <w:pPr>
        <w:pStyle w:val="Heading2"/>
      </w:pPr>
      <w:r>
        <w:t xml:space="preserve">Key Findings — Sawmill / Cat Brook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Site</w:t>
            </w:r>
          </w:p>
        </w:tc>
        <w:tc>
          <w:tcPr/>
          <w:p>
            <w:pPr>
              <w:pStyle w:val="Compact"/>
              <w:jc w:val="left"/>
            </w:pPr>
            <w:r>
              <w:t xml:space="preserve">Significance</w:t>
            </w:r>
          </w:p>
        </w:tc>
      </w:tr>
      <w:tr>
        <w:tc>
          <w:tcPr/>
          <w:p>
            <w:pPr>
              <w:pStyle w:val="Compact"/>
              <w:jc w:val="left"/>
            </w:pPr>
            <w:r>
              <w:rPr>
                <w:bCs/>
                <w:b/>
              </w:rPr>
              <w:t xml:space="preserve">Brook Trout confirmed — 5 events, 4 sites</w:t>
            </w:r>
          </w:p>
        </w:tc>
        <w:tc>
          <w:tcPr/>
          <w:p>
            <w:pPr>
              <w:pStyle w:val="Compact"/>
              <w:jc w:val="left"/>
            </w:pPr>
            <w:r>
              <w:t xml:space="preserve">Golf Course (Nov 2023), Below School St (Nov 2023, Aug 2024, Nov 2025), Atwater (Jun 2025), Below Lincoln Pool (Jun 2025)</w:t>
            </w:r>
          </w:p>
        </w:tc>
        <w:tc>
          <w:tcPr/>
          <w:p>
            <w:pPr>
              <w:pStyle w:val="Compact"/>
              <w:jc w:val="left"/>
            </w:pPr>
            <w:r>
              <w:t xml:space="preserve">Persistent multi-site presence across two years including spawning season</w:t>
            </w:r>
          </w:p>
        </w:tc>
      </w:tr>
      <w:tr>
        <w:tc>
          <w:tcPr/>
          <w:p>
            <w:pPr>
              <w:pStyle w:val="Compact"/>
              <w:jc w:val="left"/>
            </w:pPr>
            <w:r>
              <w:rPr>
                <w:bCs/>
                <w:b/>
              </w:rPr>
              <w:t xml:space="preserve">Alewife at 63% — Second Pond only</w:t>
            </w:r>
          </w:p>
        </w:tc>
        <w:tc>
          <w:tcPr/>
          <w:p>
            <w:pPr>
              <w:pStyle w:val="Compact"/>
              <w:jc w:val="left"/>
            </w:pPr>
            <w:r>
              <w:t xml:space="preserve">Second Pond (Oct 2024)</w:t>
            </w:r>
          </w:p>
        </w:tc>
        <w:tc>
          <w:tcPr/>
          <w:p>
            <w:pPr>
              <w:pStyle w:val="Compact"/>
              <w:jc w:val="left"/>
            </w:pPr>
            <w:r>
              <w:t xml:space="preserve">Only Alewife in entire watershed; possible landlocked population — fishway status critical</w:t>
            </w:r>
          </w:p>
        </w:tc>
      </w:tr>
      <w:tr>
        <w:tc>
          <w:tcPr/>
          <w:p>
            <w:pPr>
              <w:pStyle w:val="Compact"/>
              <w:jc w:val="left"/>
            </w:pPr>
            <w:r>
              <w:rPr>
                <w:bCs/>
                <w:b/>
              </w:rPr>
              <w:t xml:space="preserve">Sculpin confirmed</w:t>
            </w:r>
          </w:p>
        </w:tc>
        <w:tc>
          <w:tcPr/>
          <w:p>
            <w:pPr>
              <w:pStyle w:val="Compact"/>
              <w:jc w:val="left"/>
            </w:pPr>
            <w:r>
              <w:t xml:space="preserve">Atwater Site (Jun 2025)</w:t>
            </w:r>
          </w:p>
        </w:tc>
        <w:tc>
          <w:tcPr/>
          <w:p>
            <w:pPr>
              <w:pStyle w:val="Compact"/>
              <w:jc w:val="left"/>
            </w:pPr>
            <w:r>
              <w:t xml:space="preserve">Cold benthic indicator = high-quality cold-water habitat</w:t>
            </w:r>
          </w:p>
        </w:tc>
      </w:tr>
      <w:tr>
        <w:tc>
          <w:tcPr/>
          <w:p>
            <w:pPr>
              <w:pStyle w:val="Compact"/>
              <w:jc w:val="left"/>
            </w:pPr>
            <w:r>
              <w:rPr>
                <w:bCs/>
                <w:b/>
              </w:rPr>
              <w:t xml:space="preserve">Cormorant dietary eDNA</w:t>
            </w:r>
          </w:p>
        </w:tc>
        <w:tc>
          <w:tcPr/>
          <w:p>
            <w:pPr>
              <w:pStyle w:val="Compact"/>
              <w:jc w:val="left"/>
            </w:pPr>
            <w:r>
              <w:t xml:space="preserve">Atwater Site (Jun 2025)</w:t>
            </w:r>
          </w:p>
        </w:tc>
        <w:tc>
          <w:tcPr/>
          <w:p>
            <w:pPr>
              <w:pStyle w:val="Compact"/>
              <w:jc w:val="left"/>
            </w:pPr>
            <w:r>
              <w:t xml:space="preserve">Menhaden + Xiphister prove bird fecal input — Alewife at this site = artifact, not live fish</w:t>
            </w:r>
          </w:p>
        </w:tc>
      </w:tr>
      <w:tr>
        <w:tc>
          <w:tcPr/>
          <w:p>
            <w:pPr>
              <w:pStyle w:val="Compact"/>
              <w:jc w:val="left"/>
            </w:pPr>
            <w:r>
              <w:rPr>
                <w:bCs/>
                <w:b/>
              </w:rPr>
              <w:t xml:space="preserve">Stoneworts (Charophyceae) at 35%</w:t>
            </w:r>
          </w:p>
        </w:tc>
        <w:tc>
          <w:tcPr/>
          <w:p>
            <w:pPr>
              <w:pStyle w:val="Compact"/>
              <w:jc w:val="left"/>
            </w:pPr>
            <w:r>
              <w:t xml:space="preserve">Golf Course / Sawmill Brook (Nov 2023)</w:t>
            </w:r>
          </w:p>
        </w:tc>
        <w:tc>
          <w:tcPr/>
          <w:p>
            <w:pPr>
              <w:pStyle w:val="Compact"/>
              <w:jc w:val="left"/>
            </w:pPr>
            <w:r>
              <w:t xml:space="preserve">Ca-rich groundwater signal — native vs. invasive (</w:t>
            </w:r>
            <w:r>
              <w:rPr>
                <w:iCs/>
                <w:i/>
              </w:rPr>
              <w:t xml:space="preserve">Nitellopsis obtusa</w:t>
            </w:r>
            <w:r>
              <w:t xml:space="preserve">) requires field verification</w:t>
            </w:r>
          </w:p>
        </w:tc>
      </w:tr>
      <w:tr>
        <w:tc>
          <w:tcPr/>
          <w:p>
            <w:pPr>
              <w:pStyle w:val="Compact"/>
              <w:jc w:val="left"/>
            </w:pPr>
            <w:r>
              <w:rPr>
                <w:bCs/>
                <w:b/>
              </w:rPr>
              <w:t xml:space="preserve">Tidal-freshwater algal gradient</w:t>
            </w:r>
          </w:p>
        </w:tc>
        <w:tc>
          <w:tcPr/>
          <w:p>
            <w:pPr>
              <w:pStyle w:val="Compact"/>
              <w:jc w:val="left"/>
            </w:pPr>
            <w:r>
              <w:t xml:space="preserve">School St vs. Elm St (Mar 2025)</w:t>
            </w:r>
          </w:p>
        </w:tc>
        <w:tc>
          <w:tcPr/>
          <w:p>
            <w:pPr>
              <w:pStyle w:val="Compact"/>
              <w:jc w:val="left"/>
            </w:pPr>
            <w:r>
              <w:t xml:space="preserve">Sharpest within-system contrast in dataset — marine algae below tidal limit, cold chrysophytes above</w:t>
            </w:r>
          </w:p>
        </w:tc>
      </w:tr>
      <w:tr>
        <w:tc>
          <w:tcPr/>
          <w:p>
            <w:pPr>
              <w:pStyle w:val="Compact"/>
              <w:jc w:val="left"/>
            </w:pPr>
            <w:r>
              <w:rPr>
                <w:bCs/>
                <w:b/>
              </w:rPr>
              <w:t xml:space="preserve">16-species marine assemblage</w:t>
            </w:r>
          </w:p>
        </w:tc>
        <w:tc>
          <w:tcPr/>
          <w:p>
            <w:pPr>
              <w:pStyle w:val="Compact"/>
              <w:jc w:val="left"/>
            </w:pPr>
            <w:r>
              <w:t xml:space="preserve">Proctor Point Dock (Jun 2025)</w:t>
            </w:r>
          </w:p>
        </w:tc>
        <w:tc>
          <w:tcPr/>
          <w:p>
            <w:pPr>
              <w:pStyle w:val="Compact"/>
              <w:jc w:val="left"/>
            </w:pPr>
            <w:r>
              <w:t xml:space="preserve">Richest single-sample community in dataset — Herring, Mackerel, Hickory Shad, Striped Bass</w:t>
            </w:r>
          </w:p>
        </w:tc>
      </w:tr>
    </w:tbl>
    <w:p>
      <w:r>
        <w:pict>
          <v:rect style="width:0;height:1.5pt" o:hralign="center" o:hrstd="t" o:hr="t"/>
        </w:pict>
      </w:r>
    </w:p>
    <w:bookmarkEnd w:id="26"/>
    <w:bookmarkStart w:id="27" w:name="X83788124e963ddd8f4d9b60ce8a40a2feb1f3ed"/>
    <w:p>
      <w:pPr>
        <w:pStyle w:val="Heading2"/>
      </w:pPr>
      <w:r>
        <w:t xml:space="preserve">Sentinel Species — Sawmill/Cat Brook Context</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What it signals</w:t>
            </w:r>
          </w:p>
        </w:tc>
        <w:tc>
          <w:tcPr/>
          <w:p>
            <w:pPr>
              <w:pStyle w:val="Compact"/>
              <w:jc w:val="left"/>
            </w:pPr>
            <w:r>
              <w:t xml:space="preserve">Notes</w:t>
            </w:r>
          </w:p>
        </w:tc>
      </w:tr>
      <w:tr>
        <w:tc>
          <w:tcPr/>
          <w:p>
            <w:pPr>
              <w:pStyle w:val="Compact"/>
              <w:jc w:val="left"/>
            </w:pPr>
            <w:r>
              <w:rPr>
                <w:bCs/>
                <w:b/>
              </w:rPr>
              <w:t xml:space="preserve">Brook Trout</w:t>
            </w:r>
            <w:r>
              <w:t xml:space="preserve"> </w:t>
            </w:r>
            <w:r>
              <w:t xml:space="preserve">(</w:t>
            </w:r>
            <w:r>
              <w:rPr>
                <w:iCs/>
                <w:i/>
              </w:rPr>
              <w:t xml:space="preserve">Salvelinus</w:t>
            </w:r>
            <w:r>
              <w:t xml:space="preserve"> </w:t>
            </w:r>
            <w:r>
              <w:t xml:space="preserve">spp.)</w:t>
            </w:r>
          </w:p>
        </w:tc>
        <w:tc>
          <w:tcPr/>
          <w:p>
            <w:pPr>
              <w:pStyle w:val="Compact"/>
              <w:jc w:val="left"/>
            </w:pPr>
            <w:r>
              <w:t xml:space="preserve">Cold, clean, well-oxygenated water</w:t>
            </w:r>
          </w:p>
        </w:tc>
        <w:tc>
          <w:tcPr/>
          <w:p>
            <w:pPr>
              <w:pStyle w:val="Compact"/>
              <w:jc w:val="left"/>
            </w:pPr>
            <w:r>
              <w:t xml:space="preserve">Native; primary monitoring target</w:t>
            </w:r>
          </w:p>
        </w:tc>
      </w:tr>
      <w:tr>
        <w:tc>
          <w:tcPr/>
          <w:p>
            <w:pPr>
              <w:pStyle w:val="Compact"/>
              <w:jc w:val="left"/>
            </w:pPr>
            <w:r>
              <w:rPr>
                <w:bCs/>
                <w:b/>
              </w:rPr>
              <w:t xml:space="preserve">Sculpin</w:t>
            </w:r>
            <w:r>
              <w:t xml:space="preserve"> </w:t>
            </w:r>
            <w:r>
              <w:t xml:space="preserve">(Cottidae)</w:t>
            </w:r>
          </w:p>
        </w:tc>
        <w:tc>
          <w:tcPr/>
          <w:p>
            <w:pPr>
              <w:pStyle w:val="Compact"/>
              <w:jc w:val="left"/>
            </w:pPr>
            <w:r>
              <w:t xml:space="preserve">Cold benthic habitat; structurally complex substrate</w:t>
            </w:r>
          </w:p>
        </w:tc>
        <w:tc>
          <w:tcPr/>
          <w:p>
            <w:pPr>
              <w:pStyle w:val="Compact"/>
              <w:jc w:val="left"/>
            </w:pPr>
            <w:r>
              <w:t xml:space="preserve">Same requirements as Brook Trout</w:t>
            </w:r>
          </w:p>
        </w:tc>
      </w:tr>
      <w:tr>
        <w:tc>
          <w:tcPr/>
          <w:p>
            <w:pPr>
              <w:pStyle w:val="Compact"/>
              <w:jc w:val="left"/>
            </w:pPr>
            <w:r>
              <w:rPr>
                <w:bCs/>
                <w:b/>
              </w:rPr>
              <w:t xml:space="preserve">American Eel</w:t>
            </w:r>
          </w:p>
        </w:tc>
        <w:tc>
          <w:tcPr/>
          <w:p>
            <w:pPr>
              <w:pStyle w:val="Compact"/>
              <w:jc w:val="left"/>
            </w:pPr>
            <w:r>
              <w:t xml:space="preserve">Catadromous connectivity — ocean to headwaters</w:t>
            </w:r>
          </w:p>
        </w:tc>
        <w:tc>
          <w:tcPr/>
          <w:p>
            <w:pPr>
              <w:pStyle w:val="Compact"/>
              <w:jc w:val="left"/>
            </w:pPr>
            <w:r>
              <w:t xml:space="preserve">Wide tolerance; confirms no impassable barriers</w:t>
            </w:r>
          </w:p>
        </w:tc>
      </w:tr>
      <w:tr>
        <w:tc>
          <w:tcPr/>
          <w:p>
            <w:pPr>
              <w:pStyle w:val="Compact"/>
              <w:jc w:val="left"/>
            </w:pPr>
            <w:r>
              <w:rPr>
                <w:bCs/>
                <w:b/>
              </w:rPr>
              <w:t xml:space="preserve">Mummichog</w:t>
            </w:r>
          </w:p>
        </w:tc>
        <w:tc>
          <w:tcPr/>
          <w:p>
            <w:pPr>
              <w:pStyle w:val="Compact"/>
              <w:jc w:val="left"/>
            </w:pPr>
            <w:r>
              <w:t xml:space="preserve">Tidal/estuarine influence</w:t>
            </w:r>
          </w:p>
        </w:tc>
        <w:tc>
          <w:tcPr/>
          <w:p>
            <w:pPr>
              <w:pStyle w:val="Compact"/>
              <w:jc w:val="left"/>
            </w:pPr>
            <w:r>
              <w:t xml:space="preserve">Marks tidal penetration limit</w:t>
            </w:r>
          </w:p>
        </w:tc>
      </w:tr>
      <w:tr>
        <w:tc>
          <w:tcPr/>
          <w:p>
            <w:pPr>
              <w:pStyle w:val="Compact"/>
              <w:jc w:val="left"/>
            </w:pPr>
            <w:r>
              <w:rPr>
                <w:bCs/>
                <w:b/>
              </w:rPr>
              <w:t xml:space="preserve">Fourspine Stickleback</w:t>
            </w:r>
          </w:p>
        </w:tc>
        <w:tc>
          <w:tcPr/>
          <w:p>
            <w:pPr>
              <w:pStyle w:val="Compact"/>
              <w:jc w:val="left"/>
            </w:pPr>
            <w:r>
              <w:t xml:space="preserve">Brackish-water; tidal transition</w:t>
            </w:r>
          </w:p>
        </w:tc>
        <w:tc>
          <w:tcPr/>
          <w:p>
            <w:pPr>
              <w:pStyle w:val="Compact"/>
              <w:jc w:val="left"/>
            </w:pPr>
            <w:r>
              <w:t xml:space="preserve">Confirms estuarine zone</w:t>
            </w:r>
          </w:p>
        </w:tc>
      </w:tr>
      <w:tr>
        <w:tc>
          <w:tcPr/>
          <w:p>
            <w:pPr>
              <w:pStyle w:val="Compact"/>
              <w:jc w:val="left"/>
            </w:pPr>
            <w:r>
              <w:rPr>
                <w:bCs/>
                <w:b/>
              </w:rPr>
              <w:t xml:space="preserve">Golden Shiner</w:t>
            </w:r>
            <w:r>
              <w:t xml:space="preserve"> </w:t>
            </w:r>
            <w:r>
              <w:t xml:space="preserve">(dominant)</w:t>
            </w:r>
          </w:p>
        </w:tc>
        <w:tc>
          <w:tcPr/>
          <w:p>
            <w:pPr>
              <w:pStyle w:val="Compact"/>
              <w:jc w:val="left"/>
            </w:pPr>
            <w:r>
              <w:t xml:space="preserve">Slow warm water; may be from upstream pond</w:t>
            </w:r>
          </w:p>
        </w:tc>
        <w:tc>
          <w:tcPr/>
          <w:p>
            <w:pPr>
              <w:pStyle w:val="Compact"/>
              <w:jc w:val="left"/>
            </w:pPr>
            <w:r>
              <w:t xml:space="preserve">Common in lentic/semi-lentic reaches</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t xml:space="preserve">Native pickerel — 100% ESV match</w:t>
            </w:r>
          </w:p>
        </w:tc>
        <w:tc>
          <w:tcPr/>
          <w:p>
            <w:pPr>
              <w:pStyle w:val="Compact"/>
              <w:jc w:val="left"/>
            </w:pPr>
            <w:r>
              <w:rPr>
                <w:iCs/>
                <w:i/>
              </w:rPr>
              <w:t xml:space="preserve">E. niger</w:t>
            </w:r>
            <w:r>
              <w:t xml:space="preserve"> </w:t>
            </w:r>
            <w:r>
              <w:t xml:space="preserve">or</w:t>
            </w:r>
            <w:r>
              <w:t xml:space="preserve"> </w:t>
            </w:r>
            <w:r>
              <w:rPr>
                <w:iCs/>
                <w:i/>
              </w:rPr>
              <w:t xml:space="preserve">E. americanus</w:t>
            </w:r>
            <w:r>
              <w:t xml:space="preserve">; species-level unresolvable from this barcode [T2]</w:t>
            </w:r>
          </w:p>
        </w:tc>
      </w:tr>
      <w:tr>
        <w:tc>
          <w:tcPr/>
          <w:p>
            <w:pPr>
              <w:pStyle w:val="Compact"/>
              <w:jc w:val="left"/>
            </w:pPr>
            <w:r>
              <w:rPr>
                <w:bCs/>
                <w:b/>
              </w:rPr>
              <w:t xml:space="preserve">Alewife</w:t>
            </w:r>
          </w:p>
        </w:tc>
        <w:tc>
          <w:tcPr/>
          <w:p>
            <w:pPr>
              <w:pStyle w:val="Compact"/>
              <w:jc w:val="left"/>
            </w:pPr>
            <w:r>
              <w:t xml:space="preserve">Anadromous connectivity; landlocked if no downstream signal</w:t>
            </w:r>
          </w:p>
        </w:tc>
        <w:tc>
          <w:tcPr/>
          <w:p>
            <w:pPr>
              <w:pStyle w:val="Compact"/>
              <w:jc w:val="left"/>
            </w:pPr>
            <w:r>
              <w:t xml:space="preserve">Only at Second Pond — fishway investigation required</w:t>
            </w:r>
          </w:p>
        </w:tc>
      </w:tr>
      <w:tr>
        <w:tc>
          <w:tcPr/>
          <w:p>
            <w:pPr>
              <w:pStyle w:val="Compact"/>
              <w:jc w:val="left"/>
            </w:pPr>
            <w:r>
              <w:rPr>
                <w:iCs/>
                <w:i/>
                <w:bCs/>
                <w:b/>
              </w:rPr>
              <w:t xml:space="preserve">Synura</w:t>
            </w:r>
            <w:r>
              <w:rPr>
                <w:bCs/>
                <w:b/>
              </w:rPr>
              <w:t xml:space="preserve"> </w:t>
            </w:r>
            <w:r>
              <w:rPr>
                <w:bCs/>
                <w:b/>
              </w:rPr>
              <w:t xml:space="preserve">/ Chrysophytes</w:t>
            </w:r>
          </w:p>
        </w:tc>
        <w:tc>
          <w:tcPr/>
          <w:p>
            <w:pPr>
              <w:pStyle w:val="Compact"/>
              <w:jc w:val="left"/>
            </w:pPr>
            <w:r>
              <w:t xml:space="preserve">Cold, clean, phosphorus-limited soft water</w:t>
            </w:r>
          </w:p>
        </w:tc>
        <w:tc>
          <w:tcPr/>
          <w:p>
            <w:pPr>
              <w:pStyle w:val="Compact"/>
              <w:jc w:val="left"/>
            </w:pPr>
            <w:r>
              <w:t xml:space="preserve">Indicates high-quality coldwater headwater conditions</w:t>
            </w:r>
          </w:p>
        </w:tc>
      </w:tr>
      <w:tr>
        <w:tc>
          <w:tcPr/>
          <w:p>
            <w:pPr>
              <w:pStyle w:val="Compact"/>
              <w:jc w:val="left"/>
            </w:pPr>
            <w:r>
              <w:rPr>
                <w:bCs/>
                <w:b/>
              </w:rPr>
              <w:t xml:space="preserve">Charophytes (Stoneworts)</w:t>
            </w:r>
          </w:p>
        </w:tc>
        <w:tc>
          <w:tcPr/>
          <w:p>
            <w:pPr>
              <w:pStyle w:val="Compact"/>
              <w:jc w:val="left"/>
            </w:pPr>
            <w:r>
              <w:t xml:space="preserve">Calcium-rich, clear, low-turbidity groundwater input</w:t>
            </w:r>
          </w:p>
        </w:tc>
        <w:tc>
          <w:tcPr/>
          <w:p>
            <w:pPr>
              <w:pStyle w:val="Compact"/>
              <w:jc w:val="left"/>
            </w:pPr>
            <w:r>
              <w:t xml:space="preserve">Field ID required — invasive</w:t>
            </w:r>
            <w:r>
              <w:t xml:space="preserve"> </w:t>
            </w:r>
            <w:r>
              <w:rPr>
                <w:iCs/>
                <w:i/>
              </w:rPr>
              <w:t xml:space="preserve">Nitellopsis obtusa</w:t>
            </w:r>
            <w:r>
              <w:t xml:space="preserve"> </w:t>
            </w:r>
            <w:r>
              <w:t xml:space="preserve">cannot be ruled out [T6]</w:t>
            </w:r>
          </w:p>
        </w:tc>
      </w:tr>
      <w:tr>
        <w:tc>
          <w:tcPr/>
          <w:p>
            <w:pPr>
              <w:pStyle w:val="Compact"/>
              <w:jc w:val="left"/>
            </w:pPr>
            <w:r>
              <w:rPr>
                <w:bCs/>
                <w:b/>
              </w:rPr>
              <w:t xml:space="preserve">Marine estuarine diatoms</w:t>
            </w:r>
          </w:p>
        </w:tc>
        <w:tc>
          <w:tcPr/>
          <w:p>
            <w:pPr>
              <w:pStyle w:val="Compact"/>
              <w:jc w:val="left"/>
            </w:pPr>
            <w:r>
              <w:t xml:space="preserve">Tidal penetration</w:t>
            </w:r>
          </w:p>
        </w:tc>
        <w:tc>
          <w:tcPr/>
          <w:p>
            <w:pPr>
              <w:pStyle w:val="Compact"/>
              <w:jc w:val="left"/>
            </w:pPr>
            <w:r>
              <w:t xml:space="preserve">At School St = normal; further upstream = anomalous</w:t>
            </w:r>
          </w:p>
        </w:tc>
      </w:tr>
    </w:tbl>
    <w:p>
      <w:r>
        <w:pict>
          <v:rect style="width:0;height:1.5pt" o:hralign="center" o:hrstd="t" o:hr="t"/>
        </w:pict>
      </w:r>
    </w:p>
    <w:p>
      <w:r>
        <w:pict>
          <v:rect style="width:0;height:1.5pt" o:hralign="center" o:hrstd="t" o:hr="t"/>
        </w:pict>
      </w:r>
    </w:p>
    <w:bookmarkEnd w:id="27"/>
    <w:bookmarkEnd w:id="28"/>
    <w:bookmarkStart w:id="107"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the health and status of a suburban coastal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detected at Second Pond (October 2024) — native pickerel;</w:t>
      </w:r>
      <w:r>
        <w:rPr>
          <w:bCs/>
          <w:b/>
        </w:rPr>
        <w:t xml:space="preserve"> </w:t>
      </w:r>
      <w:r>
        <w:rPr>
          <w:iCs/>
          <w:i/>
          <w:bCs/>
          <w:b/>
        </w:rPr>
        <w:t xml:space="preserve">Esox lucius</w:t>
      </w:r>
      <w:r>
        <w:rPr>
          <w:bCs/>
          <w:b/>
        </w:rPr>
        <w:t xml:space="preserve"> </w:t>
      </w:r>
      <w:r>
        <w:rPr>
          <w:bCs/>
          <w:b/>
        </w:rPr>
        <w:t xml:space="preserve">database assignment is an artifact [T2].</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33"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29" w:name="sentinel-signal"/>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29"/>
    <w:bookmarkStart w:id="30"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30"/>
    <w:bookmarkStart w:id="31" w:name="narrative"/>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31"/>
    <w:bookmarkStart w:id="32" w:name="native-vs.-non-native"/>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bookmarkEnd w:id="32"/>
    <w:bookmarkEnd w:id="33"/>
    <w:bookmarkStart w:id="38"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34" w:name="sentinel-signal-1"/>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34"/>
    <w:bookmarkStart w:id="35"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35"/>
    <w:bookmarkStart w:id="36" w:name="narrative-1"/>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36"/>
    <w:bookmarkStart w:id="37" w:name="native-vs.-non-native-1"/>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Brook Trout consistently detected at this site indicate upstream refugia in the watershed. eDNA degrades faster in saline water than in freshwater [T7]; the true Brook Trout signal from upstream reaches may be understated at this tidal sampling point. Moving the sampling location further upstream is worth considering.</w:t>
      </w:r>
    </w:p>
    <w:p>
      <w:r>
        <w:pict>
          <v:rect style="width:0;height:1.5pt" o:hralign="center" o:hrstd="t" o:hr="t"/>
        </w:pict>
      </w:r>
    </w:p>
    <w:bookmarkEnd w:id="37"/>
    <w:bookmarkEnd w:id="38"/>
    <w:bookmarkStart w:id="43" w:name="X055f5458b6a71e4fc612ad09de4d1b4dce39fce"/>
    <w:p>
      <w:pPr>
        <w:pStyle w:val="Heading2"/>
      </w:pPr>
      <w:r>
        <w:t xml:space="preserve">Lower Golf Course / Sawmill Brook | JVB5776 / C4SUMTFY.1</w:t>
      </w:r>
    </w:p>
    <w:p>
      <w:pPr>
        <w:pStyle w:val="FirstParagraph"/>
      </w:pPr>
      <w:r>
        <w:rPr>
          <w:iCs/>
          <w:i/>
        </w:rPr>
        <w:t xml:space="preserve">This site was selected to determine whether Brook Trout were accessing the Golf Course reach during fall spawning season (November 2023).</w:t>
      </w:r>
    </w:p>
    <w:p>
      <w:pPr>
        <w:pStyle w:val="BodyText"/>
      </w:pPr>
      <w:r>
        <w:rPr>
          <w:bCs/>
          <w:b/>
        </w:rPr>
        <w:t xml:space="preserve">Fish: 9 species, H(f) = 1.62 | Algae: 140 ESVs, H(a) = 3.57</w:t>
      </w:r>
    </w:p>
    <w:bookmarkStart w:id="39" w:name="sentinel-signal-2"/>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39"/>
    <w:bookmarkStart w:id="40"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40"/>
    <w:bookmarkStart w:id="41" w:name="narrative-2"/>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Yellow Perch (1.4%) adds tolerant generalist presence. Rainbow Smelt (0.2%) is an anomalous detection — not documented in this system; unconfirmed pending ESV review [T9].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01"/>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01"/>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01"/>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01"/>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01"/>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Invasive species flag [T6].</w:t>
      </w:r>
      <w:r>
        <w:t xml:space="preserve"> </w:t>
      </w:r>
      <w:r>
        <w:t xml:space="preserve">The 23S rRNA resolves this signal to class (Charophyceae) only — native</w:t>
      </w:r>
      <w:r>
        <w:t xml:space="preserve"> </w:t>
      </w:r>
      <w:r>
        <w:rPr>
          <w:iCs/>
          <w:i/>
        </w:rPr>
        <w:t xml:space="preserve">Chara</w:t>
      </w:r>
      <w:r>
        <w:t xml:space="preserve">/</w:t>
      </w:r>
      <w:r>
        <w:rPr>
          <w:iCs/>
          <w:i/>
        </w:rPr>
        <w:t xml:space="preserve">Nitella</w:t>
      </w:r>
      <w:r>
        <w:t xml:space="preserve"> </w:t>
      </w:r>
      <w:r>
        <w:t xml:space="preserve">and invasive</w:t>
      </w:r>
      <w:r>
        <w:t xml:space="preserve"> </w:t>
      </w:r>
      <w:r>
        <w:rPr>
          <w:iCs/>
          <w:i/>
        </w:rPr>
        <w:t xml:space="preserve">Nitellopsis obtusa</w:t>
      </w:r>
      <w:r>
        <w:t xml:space="preserve"> </w:t>
      </w:r>
      <w:r>
        <w:t xml:space="preserve">(Starry Stonewort) cannot be distinguished from this data. Field morphological identification or species-specific PCR is required before this signal can be interpreted as native or invasive. Do not treat as a confirmed positive indicator until field-verified.</w:t>
      </w:r>
    </w:p>
    <w:bookmarkEnd w:id="41"/>
    <w:bookmarkStart w:id="42" w:name="native-vs.-non-native-2"/>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42"/>
    <w:bookmarkEnd w:id="43"/>
    <w:bookmarkStart w:id="44"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bookmarkEnd w:id="44"/>
    <w:bookmarkStart w:id="62" w:name="X5b8f638f8cf74c8533972122a274082540184d9"/>
    <w:p>
      <w:pPr>
        <w:pStyle w:val="Heading2"/>
      </w:pPr>
      <w:r>
        <w:t xml:space="preserve">Sawmill Brook — Three Sites (Manchester-by-the-Sea, MA)</w:t>
      </w:r>
    </w:p>
    <w:bookmarkStart w:id="45" w:name="X154b2650e2b2d38ffa6d8c3a28b28270ed6c1da"/>
    <w:p>
      <w:pPr>
        <w:pStyle w:val="Heading3"/>
      </w:pPr>
      <w:r>
        <w:t xml:space="preserve">August 28, 2024 · Below School St · Fire Station · Sawmill Swamp</w:t>
      </w:r>
    </w:p>
    <w:p>
      <w:r>
        <w:pict>
          <v:rect style="width:0;height:1.5pt" o:hralign="center" o:hrstd="t" o:hr="t"/>
        </w:pict>
      </w:r>
    </w:p>
    <w:bookmarkEnd w:id="45"/>
    <w:bookmarkStart w:id="51"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46" w:name="sentinel-signal-3"/>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46"/>
    <w:bookmarkStart w:id="47" w:name="inferred-water-chemistry-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47"/>
    <w:bookmarkStart w:id="48" w:name="narrative-3"/>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48"/>
    <w:bookmarkStart w:id="49" w:name="algal-community"/>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49"/>
    <w:bookmarkStart w:id="50" w:name="native-vs.-non-native-3"/>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50"/>
    <w:bookmarkEnd w:id="51"/>
    <w:bookmarkStart w:id="56"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52" w:name="sentinel-signal-4"/>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52"/>
    <w:bookmarkStart w:id="53" w:name="inferred-water-chemistry-4"/>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53"/>
    <w:bookmarkStart w:id="54" w:name="narrative-4"/>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54"/>
    <w:bookmarkStart w:id="55" w:name="native-vs.-non-native-4"/>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55"/>
    <w:bookmarkEnd w:id="56"/>
    <w:bookmarkStart w:id="57" w:name="X6c4793d42ea8104a20772b343134eb3b2cb6813"/>
    <w:p>
      <w:pPr>
        <w:pStyle w:val="Heading3"/>
      </w:pPr>
      <w:r>
        <w:t xml:space="preserve">Field Measurements — Below School St / School St Reach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Jul 31, 2025</w:t>
            </w:r>
          </w:p>
        </w:tc>
        <w:tc>
          <w:tcPr/>
          <w:p>
            <w:pPr>
              <w:pStyle w:val="Compact"/>
              <w:jc w:val="left"/>
            </w:pPr>
            <w:r>
              <w:t xml:space="preserve">7.05</w:t>
            </w:r>
          </w:p>
        </w:tc>
        <w:tc>
          <w:tcPr/>
          <w:p>
            <w:pPr>
              <w:pStyle w:val="Compact"/>
              <w:jc w:val="left"/>
            </w:pPr>
            <w:r>
              <w:t xml:space="preserve">71.6</w:t>
            </w:r>
          </w:p>
        </w:tc>
        <w:tc>
          <w:tcPr/>
          <w:p>
            <w:pPr>
              <w:pStyle w:val="Compact"/>
              <w:jc w:val="left"/>
            </w:pPr>
            <w:r>
              <w:t xml:space="preserve">Summer — pH neutral; temp at upper Brook Trout stress threshold</w:t>
            </w:r>
          </w:p>
        </w:tc>
      </w:tr>
      <w:tr>
        <w:tc>
          <w:tcPr/>
          <w:p>
            <w:pPr>
              <w:pStyle w:val="Compact"/>
              <w:jc w:val="left"/>
            </w:pPr>
            <w:r>
              <w:t xml:space="preserve">Nov 23, 2025</w:t>
            </w:r>
          </w:p>
        </w:tc>
        <w:tc>
          <w:tcPr/>
          <w:p>
            <w:pPr>
              <w:pStyle w:val="Compact"/>
              <w:jc w:val="left"/>
            </w:pPr>
            <w:r>
              <w:t xml:space="preserve">6.66</w:t>
            </w:r>
          </w:p>
        </w:tc>
        <w:tc>
          <w:tcPr/>
          <w:p>
            <w:pPr>
              <w:pStyle w:val="Compact"/>
              <w:jc w:val="left"/>
            </w:pPr>
            <w:r>
              <w:t xml:space="preserve">38.4</w:t>
            </w:r>
          </w:p>
        </w:tc>
        <w:tc>
          <w:tcPr/>
          <w:p>
            <w:pPr>
              <w:pStyle w:val="Compact"/>
              <w:jc w:val="left"/>
            </w:pPr>
            <w:r>
              <w:t xml:space="preserve">Winter baseline — co-dated with Nov 22, 2025 eDNA event</w:t>
            </w:r>
          </w:p>
        </w:tc>
      </w:tr>
    </w:tbl>
    <w:p>
      <w:pPr>
        <w:pStyle w:val="BodyText"/>
      </w:pPr>
      <w:r>
        <w:t xml:space="preserve">Corrected pH 7.05 and 71.6°F on July 31: pH is neutral and well within Brook Trout tolerance; thermal stress is the concern — 71.6°F exceeds the sustained-stress threshold (~68°F) and approaches the short-term lethal range (~75°F). Brook Trout detected at this site in November but not in summer — the July temperature is consistent with seasonal exclusion. Corrected November pH of 6.66 at 38.4°F is within full Brook Trout tolerance and aligns well with the biologically-inferred range (6.5–7.5) for this tidal reach; the November eDNA detection of Brook Trout at 4.8% is consistent with these conditions.</w:t>
      </w:r>
    </w:p>
    <w:p>
      <w:pPr>
        <w:pStyle w:val="BodyText"/>
      </w:pPr>
      <w:r>
        <w:t xml:space="preserve">† pH values two-point calibration corrected; residual uncertainty ±0.2 pH unit. Temperature in °F.</w:t>
      </w:r>
    </w:p>
    <w:bookmarkEnd w:id="57"/>
    <w:bookmarkStart w:id="61"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58" w:name="sentinel-signal-5"/>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58"/>
    <w:bookmarkStart w:id="59" w:name="narrative-5"/>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59"/>
    <w:bookmarkStart w:id="60" w:name="native-vs.-non-native-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bookmarkEnd w:id="60"/>
    <w:bookmarkEnd w:id="61"/>
    <w:bookmarkEnd w:id="62"/>
    <w:bookmarkStart w:id="68"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63" w:name="sentinel-signal-6"/>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63"/>
    <w:bookmarkStart w:id="64"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64"/>
    <w:bookmarkStart w:id="65" w:name="narrative-6"/>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02"/>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02"/>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02"/>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65"/>
    <w:bookmarkStart w:id="66"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66"/>
    <w:bookmarkStart w:id="67" w:name="native-vs.-non-native-6"/>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67"/>
    <w:bookmarkEnd w:id="68"/>
    <w:bookmarkStart w:id="75"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[T2]</w:t>
      </w:r>
      <w:r>
        <w:t xml:space="preserve"> </w:t>
      </w:r>
      <w:r>
        <w:rPr>
          <w:bCs/>
          <w:b/>
        </w:rPr>
        <w:t xml:space="preserve">Algae:</w:t>
      </w:r>
      <w:r>
        <w:t xml:space="preserve"> </w:t>
      </w:r>
      <w:r>
        <w:t xml:space="preserve">H(a) = 1.72 · 11 ESVs · 19,939 reads</w:t>
      </w:r>
    </w:p>
    <w:bookmarkStart w:id="69" w:name="sentinel-signal-7"/>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detected at 1.5% — native pickerel [T2].</w:t>
      </w:r>
    </w:p>
    <w:bookmarkEnd w:id="69"/>
    <w:bookmarkStart w:id="70"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Database assignment uncertain — freshwater taxon identification pending ESV review</w:t>
            </w:r>
          </w:p>
        </w:tc>
      </w:tr>
    </w:tbl>
    <w:bookmarkEnd w:id="70"/>
    <w:bookmarkStart w:id="71"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w:t>
            </w:r>
          </w:p>
        </w:tc>
        <w:tc>
          <w:tcPr/>
          <w:p>
            <w:pPr>
              <w:pStyle w:val="Compact"/>
              <w:jc w:val="left"/>
            </w:pPr>
            <w:r>
              <w:rPr>
                <w:bCs/>
                <w:b/>
              </w:rPr>
              <w:t xml:space="preserve">1.5%</w:t>
            </w:r>
          </w:p>
        </w:tc>
        <w:tc>
          <w:tcPr/>
          <w:p>
            <w:pPr>
              <w:pStyle w:val="Compact"/>
              <w:jc w:val="left"/>
            </w:pPr>
            <w:r>
              <w:rPr>
                <w:bCs/>
                <w:b/>
              </w:rPr>
              <w:t xml:space="preserve">Native pickerel [T2]</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71"/>
    <w:bookmarkStart w:id="72" w:name="algal-community-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72"/>
    <w:bookmarkStart w:id="73" w:name="narrative-7"/>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iCs/>
          <w:i/>
        </w:rPr>
        <w:t xml:space="preserve">Esox</w:t>
      </w:r>
      <w:r>
        <w:t xml:space="preserve"> </w:t>
      </w:r>
      <w:r>
        <w:t xml:space="preserve">spp. at 1.5% is native pickerel [T2].</w:t>
      </w:r>
    </w:p>
    <w:bookmarkEnd w:id="73"/>
    <w:bookmarkStart w:id="74" w:name="native-vs.-non-native-7"/>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native pickerel [T2].</w:t>
      </w:r>
    </w:p>
    <w:p>
      <w:r>
        <w:pict>
          <v:rect style="width:0;height:1.5pt" o:hralign="center" o:hrstd="t" o:hr="t"/>
        </w:pict>
      </w:r>
    </w:p>
    <w:bookmarkEnd w:id="74"/>
    <w:bookmarkEnd w:id="75"/>
    <w:bookmarkStart w:id="82"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76" w:name="sentinel-signal-8"/>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76"/>
    <w:bookmarkStart w:id="77"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77"/>
    <w:bookmarkStart w:id="78" w:name="fish-community-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78"/>
    <w:bookmarkStart w:id="79" w:name="algal-community-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79"/>
    <w:bookmarkStart w:id="80" w:name="narrative-8"/>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80"/>
    <w:bookmarkStart w:id="81" w:name="native-vs.-non-native-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bookmarkEnd w:id="81"/>
    <w:bookmarkEnd w:id="82"/>
    <w:bookmarkStart w:id="89"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83" w:name="sentinel-signal-9"/>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83"/>
    <w:bookmarkStart w:id="84"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84"/>
    <w:bookmarkStart w:id="85"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85"/>
    <w:bookmarkStart w:id="86"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86"/>
    <w:bookmarkStart w:id="87" w:name="narrative-9"/>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46°F are extremely low. The absence of fish DNA is not an absence of fish.</w:t>
      </w:r>
    </w:p>
    <w:bookmarkEnd w:id="87"/>
    <w:bookmarkStart w:id="88" w:name="native-vs.-non-native-9"/>
    <w:p>
      <w:pPr>
        <w:pStyle w:val="Heading3"/>
      </w:pPr>
      <w:r>
        <w:t xml:space="preserve">Native vs. Non-Native</w:t>
      </w:r>
    </w:p>
    <w:p>
      <w:pPr>
        <w:pStyle w:val="FirstParagraph"/>
      </w:pPr>
      <w:r>
        <w:t xml:space="preserve">All species native.</w:t>
      </w:r>
    </w:p>
    <w:p>
      <w:r>
        <w:pict>
          <v:rect style="width:0;height:1.5pt" o:hralign="center" o:hrstd="t" o:hr="t"/>
        </w:pict>
      </w:r>
    </w:p>
    <w:bookmarkEnd w:id="88"/>
    <w:bookmarkEnd w:id="89"/>
    <w:bookmarkStart w:id="93"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90" w:name="sentinel-signal-10"/>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[T1]. Tomcod trace = early spring estuarine movement. No Brook Trout — tidal site.</w:t>
      </w:r>
    </w:p>
    <w:bookmarkEnd w:id="90"/>
    <w:bookmarkStart w:id="91"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[T1] — freshwater tributary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[T1]</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91"/>
    <w:bookmarkStart w:id="92" w:name="narrative-10"/>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is genus-level only — Brown Trout or Atlantic Salmon cannot be distinguished from this barcode [T1].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bookmarkEnd w:id="92"/>
    <w:bookmarkEnd w:id="93"/>
    <w:bookmarkStart w:id="95"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[T1]</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Fish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[T1].</w:t>
      </w:r>
    </w:p>
    <w:bookmarkStart w:id="94" w:name="X75a13ee134f5c93695aa83395b5da581588d08b"/>
    <w:p>
      <w:pPr>
        <w:pStyle w:val="Heading3"/>
      </w:pPr>
      <w:r>
        <w:t xml:space="preserve">Field Measurements — Below Lincoln Pool (Vivosun pH meter†)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5, 2025</w:t>
            </w:r>
          </w:p>
        </w:tc>
        <w:tc>
          <w:tcPr/>
          <w:p>
            <w:pPr>
              <w:pStyle w:val="Compact"/>
              <w:jc w:val="left"/>
            </w:pPr>
            <w:r>
              <w:t xml:space="preserve">6.88</w:t>
            </w:r>
          </w:p>
        </w:tc>
        <w:tc>
          <w:tcPr/>
          <w:p>
            <w:pPr>
              <w:pStyle w:val="Compact"/>
              <w:jc w:val="left"/>
            </w:pPr>
            <w:r>
              <w:t xml:space="preserve">55.4</w:t>
            </w:r>
          </w:p>
        </w:tc>
        <w:tc>
          <w:tcPr/>
          <w:p>
            <w:pPr>
              <w:pStyle w:val="Compact"/>
              <w:jc w:val="left"/>
            </w:pPr>
            <w:r>
              <w:t xml:space="preserve">Co-collected with eDNA sample</w:t>
            </w:r>
          </w:p>
        </w:tc>
      </w:tr>
      <w:tr>
        <w:tc>
          <w:tcPr/>
          <w:p>
            <w:pPr>
              <w:pStyle w:val="Compact"/>
              <w:jc w:val="left"/>
            </w:pPr>
            <w:r>
              <w:t xml:space="preserve">Nov 23, 2025</w:t>
            </w:r>
          </w:p>
        </w:tc>
        <w:tc>
          <w:tcPr/>
          <w:p>
            <w:pPr>
              <w:pStyle w:val="Compact"/>
              <w:jc w:val="left"/>
            </w:pPr>
            <w:r>
              <w:t xml:space="preserve">6.53</w:t>
            </w:r>
          </w:p>
        </w:tc>
        <w:tc>
          <w:tcPr/>
          <w:p>
            <w:pPr>
              <w:pStyle w:val="Compact"/>
              <w:jc w:val="left"/>
            </w:pPr>
            <w:r>
              <w:t xml:space="preserve">37.7</w:t>
            </w:r>
          </w:p>
        </w:tc>
        <w:tc>
          <w:tcPr/>
          <w:p>
            <w:pPr>
              <w:pStyle w:val="Compact"/>
              <w:jc w:val="left"/>
            </w:pPr>
            <w:r>
              <w:t xml:space="preserve">Winter baseline</w:t>
            </w:r>
          </w:p>
        </w:tc>
      </w:tr>
    </w:tbl>
    <w:p>
      <w:pPr>
        <w:pStyle w:val="BodyText"/>
      </w:pPr>
      <w:r>
        <w:t xml:space="preserve">Corrected pH 6.88 and 55.4°F on the eDNA sample date are both within acceptable range for Brook Trout (thermal optimum 54–61°F; pH optimal range 6.0–7.0). The Brook Trout detection at 0.6% is consistent with these conditions — June temperatures and pH at this site are both suitable.</w:t>
      </w:r>
    </w:p>
    <w:p>
      <w:pPr>
        <w:pStyle w:val="BodyText"/>
      </w:pPr>
      <w:r>
        <w:t xml:space="preserve">† pH values two-point calibration corrected; residual uncertainty ±0.2 pH unit.</w:t>
      </w:r>
    </w:p>
    <w:p>
      <w:r>
        <w:pict>
          <v:rect style="width:0;height:1.5pt" o:hralign="center" o:hrstd="t" o:hr="t"/>
        </w:pict>
      </w:r>
    </w:p>
    <w:bookmarkEnd w:id="94"/>
    <w:bookmarkEnd w:id="95"/>
    <w:bookmarkStart w:id="10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(includes all genus-level ESVs; see cormorant QC note)</w:t>
      </w:r>
    </w:p>
    <w:bookmarkStart w:id="96" w:name="sentinel-signal-11"/>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96"/>
    <w:bookmarkStart w:id="97"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[T1]</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Database artifact [T4] — excluded</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97"/>
    <w:bookmarkStart w:id="98" w:name="qc-note-cormorant-fecal-edna-t5"/>
    <w:p>
      <w:pPr>
        <w:pStyle w:val="Heading3"/>
      </w:pPr>
      <w:r>
        <w:t xml:space="preserve">QC Note — Cormorant Fecal eDNA [T5]</w:t>
      </w:r>
    </w:p>
    <w:p>
      <w:pPr>
        <w:pStyle w:val="FirstParagraph"/>
      </w:pPr>
      <w:r>
        <w:t xml:space="preserve">Three detections at this inland freshwater site are cormorant dietary artifacts:</w:t>
      </w:r>
      <w:r>
        <w:t xml:space="preserve"> </w:t>
      </w:r>
      <w:r>
        <w:rPr>
          <w:bCs/>
          <w:b/>
        </w:rPr>
        <w:t xml:space="preserve">Menhaden (1.7%, 176 reads)</w:t>
      </w:r>
      <w:r>
        <w:t xml:space="preserve"> </w:t>
      </w:r>
      <w:r>
        <w:t xml:space="preserve">— coastal marine species, no freshwater range;</w:t>
      </w:r>
      <w:r>
        <w:t xml:space="preserve"> </w:t>
      </w:r>
      <w:r>
        <w:rPr>
          <w:bCs/>
          <w:b/>
        </w:rPr>
        <w:t xml:space="preserve">Xiphister spp. (0.6%, 65 reads)</w:t>
      </w:r>
      <w:r>
        <w:t xml:space="preserve"> </w:t>
      </w:r>
      <w:r>
        <w:t xml:space="preserve">— intertidal marine species;</w:t>
      </w:r>
      <w:r>
        <w:t xml:space="preserve"> </w:t>
      </w:r>
      <w:r>
        <w:rPr>
          <w:bCs/>
          <w:b/>
        </w:rPr>
        <w:t xml:space="preserve">Alewife (0.8%, 85 reads)</w:t>
      </w:r>
      <w:r>
        <w:t xml:space="preserve"> </w:t>
      </w:r>
      <w:r>
        <w:t xml:space="preserve">— above confirmed anadromous limit in June. Menhaden is the diagnostic indicator of Double-crested Cormorant fecal input at inland sites [T5].</w:t>
      </w:r>
      <w:r>
        <w:t xml:space="preserve"> </w:t>
      </w:r>
      <w:r>
        <w:rPr>
          <w:bCs/>
          <w:b/>
        </w:rPr>
        <w:t xml:space="preserve">No authenticated live Alewife at the Atwater reach.</w:t>
      </w:r>
      <w:r>
        <w:t xml:space="preserve"> </w:t>
      </w:r>
      <w:r>
        <w:t xml:space="preserve">Alewife is confirmed at Second Pond (Cat Brook headwater) — not at mid-watershed reaches above the tidal zone.</w:t>
      </w:r>
    </w:p>
    <w:bookmarkEnd w:id="98"/>
    <w:bookmarkStart w:id="99" w:name="narrative-11"/>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bookmarkEnd w:id="99"/>
    <w:bookmarkStart w:id="100" w:name="Xe34b5ec3b2350679229d485f2244653ebce32f9"/>
    <w:p>
      <w:pPr>
        <w:pStyle w:val="Heading3"/>
      </w:pPr>
      <w:r>
        <w:t xml:space="preserve">Field Measurements — Atwater Site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8, 2025</w:t>
            </w:r>
          </w:p>
        </w:tc>
        <w:tc>
          <w:tcPr/>
          <w:p>
            <w:pPr>
              <w:pStyle w:val="Compact"/>
              <w:jc w:val="left"/>
            </w:pPr>
            <w:r>
              <w:t xml:space="preserve">6.15</w:t>
            </w:r>
          </w:p>
        </w:tc>
        <w:tc>
          <w:tcPr/>
          <w:p>
            <w:pPr>
              <w:pStyle w:val="Compact"/>
              <w:jc w:val="left"/>
            </w:pPr>
            <w:r>
              <w:t xml:space="preserve">62.7</w:t>
            </w:r>
          </w:p>
        </w:tc>
        <w:tc>
          <w:tcPr/>
          <w:p>
            <w:pPr>
              <w:pStyle w:val="Compact"/>
              <w:jc w:val="left"/>
            </w:pPr>
            <w:r>
              <w:t xml:space="preserve">Co-collected with eDNA sample</w:t>
            </w:r>
          </w:p>
        </w:tc>
      </w:tr>
      <w:tr>
        <w:tc>
          <w:tcPr/>
          <w:p>
            <w:pPr>
              <w:pStyle w:val="Compact"/>
              <w:jc w:val="left"/>
            </w:pPr>
            <w:r>
              <w:t xml:space="preserve">Jul 9, 2025</w:t>
            </w:r>
          </w:p>
        </w:tc>
        <w:tc>
          <w:tcPr/>
          <w:p>
            <w:pPr>
              <w:pStyle w:val="Compact"/>
              <w:jc w:val="left"/>
            </w:pPr>
            <w:r>
              <w:t xml:space="preserve">6.47</w:t>
            </w:r>
          </w:p>
        </w:tc>
        <w:tc>
          <w:tcPr/>
          <w:p>
            <w:pPr>
              <w:pStyle w:val="Compact"/>
              <w:jc w:val="left"/>
            </w:pPr>
            <w:r>
              <w:t xml:space="preserve">75.9</w:t>
            </w:r>
          </w:p>
        </w:tc>
        <w:tc>
          <w:tcPr/>
          <w:p>
            <w:pPr>
              <w:pStyle w:val="Compact"/>
              <w:jc w:val="left"/>
            </w:pPr>
            <w:r>
              <w:t xml:space="preserve">⚠️</w:t>
            </w:r>
            <w:r>
              <w:t xml:space="preserve"> </w:t>
            </w:r>
            <w:r>
              <w:rPr>
                <w:bCs/>
                <w:b/>
              </w:rPr>
              <w:t xml:space="preserve">Acute thermal stress / lethal for Brook Trout</w:t>
            </w:r>
          </w:p>
        </w:tc>
      </w:tr>
      <w:tr>
        <w:tc>
          <w:tcPr/>
          <w:p>
            <w:pPr>
              <w:pStyle w:val="Compact"/>
              <w:jc w:val="left"/>
            </w:pPr>
            <w:r>
              <w:t xml:space="preserve">Nov 23, 2025</w:t>
            </w:r>
          </w:p>
        </w:tc>
        <w:tc>
          <w:tcPr/>
          <w:p>
            <w:pPr>
              <w:pStyle w:val="Compact"/>
              <w:jc w:val="left"/>
            </w:pPr>
            <w:r>
              <w:t xml:space="preserve">6.87</w:t>
            </w:r>
          </w:p>
        </w:tc>
        <w:tc>
          <w:tcPr/>
          <w:p>
            <w:pPr>
              <w:pStyle w:val="Compact"/>
              <w:jc w:val="left"/>
            </w:pPr>
            <w:r>
              <w:t xml:space="preserve">36.8</w:t>
            </w:r>
          </w:p>
        </w:tc>
        <w:tc>
          <w:tcPr/>
          <w:p>
            <w:pPr>
              <w:pStyle w:val="Compact"/>
              <w:jc w:val="left"/>
            </w:pPr>
            <w:r>
              <w:t xml:space="preserve">Winter baseline</w:t>
            </w:r>
          </w:p>
        </w:tc>
      </w:tr>
    </w:tbl>
    <w:p>
      <w:pPr>
        <w:pStyle w:val="BlockText"/>
      </w:pPr>
      <w:r>
        <w:t xml:space="preserve">⚠️</w:t>
      </w:r>
      <w:r>
        <w:t xml:space="preserve"> </w:t>
      </w:r>
      <w:r>
        <w:rPr>
          <w:bCs/>
          <w:b/>
        </w:rPr>
        <w:t xml:space="preserve">Critical thermal finding — July 9, 2025.</w:t>
      </w:r>
      <w:r>
        <w:t xml:space="preserve"> </w:t>
      </w:r>
      <w:r>
        <w:t xml:space="preserve">At 75.9°F, Atwater Ave water temperature is at or beyond the acute lethal threshold for Brook Trout (death commonly reported above 73–75°F). This is the highest temperature recorded in the MBTS dataset. Brook Trout detected here in June 2025 (1.1%, eDNA sample) are almost certainly absent from this reach by July — either dead, displaced to cold groundwater refugia, or retreated to cooler upstream reaches. Sculpin, also detected in June, share the same thermal sensitivity. The summer temperature regime at this site is</w:t>
      </w:r>
      <w:r>
        <w:t xml:space="preserve"> </w:t>
      </w:r>
      <w:r>
        <w:rPr>
          <w:bCs/>
          <w:b/>
        </w:rPr>
        <w:t xml:space="preserve">incompatible with Brook Trout residency</w:t>
      </w:r>
      <w:r>
        <w:t xml:space="preserve"> </w:t>
      </w:r>
      <w:r>
        <w:t xml:space="preserve">without accessible cold-water refugia nearby. The corrected June pH of 6.15 is within comfortable adult Brook Trout range — pH is not a stressor at this site.</w:t>
      </w:r>
    </w:p>
    <w:p>
      <w:pPr>
        <w:pStyle w:val="FirstParagraph"/>
      </w:pPr>
      <w:r>
        <w:t xml:space="preserve">† pH values two-point calibration corrected; residual uncertainty ±0.2 pH unit.</w:t>
      </w:r>
    </w:p>
    <w:p>
      <w:r>
        <w:pict>
          <v:rect style="width:0;height:1.5pt" o:hralign="center" o:hrstd="t" o:hr="t"/>
        </w:pict>
      </w:r>
    </w:p>
    <w:bookmarkEnd w:id="100"/>
    <w:bookmarkEnd w:id="101"/>
    <w:bookmarkStart w:id="106"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102" w:name="sentinel-signal-12"/>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102"/>
    <w:bookmarkStart w:id="103"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103"/>
    <w:bookmarkStart w:id="104" w:name="narrative-12"/>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104"/>
    <w:bookmarkStart w:id="105" w:name="native-vs.-non-native-10"/>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bookmarkEnd w:id="105"/>
    <w:bookmarkEnd w:id="106"/>
    <w:bookmarkEnd w:id="107"/>
    <w:bookmarkStart w:id="108" w:name="X59784cc5e000a43598ed06a62acc0f059afb8f9"/>
    <w:p>
      <w:pPr>
        <w:pStyle w:val="Heading1"/>
      </w:pPr>
      <w:r>
        <w:t xml:space="preserve">Appendix A — Brook Trout Detections: Sawmill / Cat Brook Sites</w:t>
      </w:r>
    </w:p>
    <w:bookmarkEnd w:id="108"/>
    <w:bookmarkStart w:id="131" w:name="Xeb7b060d1e6179fce2f31433d2e5e45ce9c152d"/>
    <w:p>
      <w:pPr>
        <w:pStyle w:val="Heading1"/>
      </w:pPr>
      <w:r>
        <w:t xml:space="preserve">Appendix: Cross-Batch Brook Trout &amp; Atlantic Salmon Summary</w:t>
      </w:r>
    </w:p>
    <w:bookmarkStart w:id="109"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109"/>
    <w:bookmarkStart w:id="110" w:name="Xfbc067fc0f5d7d1f90a62d5ace41a44292e1398"/>
    <w:p>
      <w:pPr>
        <w:pStyle w:val="Heading2"/>
      </w:pPr>
      <w:r>
        <w:t xml:space="preserve">Cross-Batch Summary — Brook Trout and Atlantic Salmon</w:t>
      </w:r>
    </w:p>
    <w:bookmarkEnd w:id="110"/>
    <w:bookmarkStart w:id="111"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111"/>
    <w:bookmarkStart w:id="112" w:name="atlantic-salmon-confirmed-sites"/>
    <w:p>
      <w:pPr>
        <w:pStyle w:val="Heading2"/>
      </w:pPr>
      <w:r>
        <w:t xml:space="preserve">Atlantic Salmon — Confirmed Sites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112"/>
    <w:bookmarkStart w:id="113" w:name="X6977aa75d261b01567b25639e172a8ea29361dc"/>
    <w:p>
      <w:pPr>
        <w:pStyle w:val="Heading2"/>
      </w:pPr>
      <w:r>
        <w:t xml:space="preserve">Seasonal eDNA Calendar — Union River / Ellsworth Dam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bookmarkEnd w:id="113"/>
    <w:bookmarkStart w:id="114" w:name="Xa6da346d69c83f3b5adf3f2211d32725af44499"/>
    <w:p>
      <w:pPr>
        <w:pStyle w:val="Heading2"/>
      </w:pPr>
      <w:r>
        <w:t xml:space="preserve">November 22, 2025 Sampling Batch – MBTS Sawmill Brook System</w:t>
      </w:r>
    </w:p>
    <w:p>
      <w:pPr>
        <w:pStyle w:val="FirstParagraph"/>
      </w:pPr>
      <w:r>
        <w:rPr>
          <w:iCs/>
          <w:i/>
        </w:rPr>
        <w:t xml:space="preserve">Source: MBTS_eDNA_Full_Report chart data (April 2026). Batch IDs to be confirmed against JV Master.</w:t>
      </w:r>
    </w:p>
    <w:p>
      <w:pPr>
        <w:pStyle w:val="BodyText"/>
      </w:pPr>
      <w:r>
        <w:t xml:space="preserve">Three sites sampled on the same date provide a longitudinal snapshot of the full Sawmill Brook gradient in late autumn, which is the peak of Brook Trout spawning season.</w:t>
      </w:r>
    </w:p>
    <w:p>
      <w:r>
        <w:pict>
          <v:rect style="width:0;height:1.5pt" o:hralign="center" o:hrstd="t" o:hr="t"/>
        </w:pict>
      </w:r>
    </w:p>
    <w:bookmarkEnd w:id="114"/>
    <w:bookmarkStart w:id="119" w:name="upper-sawmill-brook-nov-22-2025"/>
    <w:p>
      <w:pPr>
        <w:pStyle w:val="Heading2"/>
      </w:pPr>
      <w:r>
        <w:t xml:space="preserve">Upper Sawmill Brook | Nov 22, 2025</w:t>
      </w:r>
    </w:p>
    <w:p>
      <w:pPr>
        <w:pStyle w:val="FirstParagraph"/>
      </w:pPr>
      <w:r>
        <w:rPr>
          <w:bCs/>
          <w:b/>
        </w:rPr>
        <w:t xml:space="preserve">Fish: 6 species detected, H(f) = 0.91 (low-moderate) | No algae data this event</w:t>
      </w:r>
    </w:p>
    <w:bookmarkStart w:id="115" w:name="sentinel-signal-13"/>
    <w:p>
      <w:pPr>
        <w:pStyle w:val="Heading3"/>
      </w:pPr>
      <w:r>
        <w:t xml:space="preserve">Sentinel Signal</w:t>
      </w:r>
    </w:p>
    <w:p>
      <w:pPr>
        <w:pStyle w:val="FirstParagraph"/>
      </w:pPr>
      <w:r>
        <w:t xml:space="preserve">Golden Shiner dominant (57.9%) + Bluegill Sunfish co-dominant (36.2%) + Largemouth Bass =</w:t>
      </w:r>
      <w:r>
        <w:t xml:space="preserve"> </w:t>
      </w:r>
      <w:r>
        <w:rPr>
          <w:bCs/>
          <w:b/>
        </w:rPr>
        <w:t xml:space="preserve">warm-water lentic assemblage. Brook Trout: not detected.</w:t>
      </w:r>
      <w:r>
        <w:t xml:space="preserve"> </w:t>
      </w:r>
      <w:r>
        <w:t xml:space="preserve">November is peak Brook Trout spawning season. This is the single most ecologically significant finding in the November 2025 batch.</w:t>
      </w:r>
    </w:p>
    <w:bookmarkEnd w:id="115"/>
    <w:bookmarkStart w:id="116" w:name="fish-community-6"/>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Golden Shiner</w:t>
            </w:r>
          </w:p>
        </w:tc>
        <w:tc>
          <w:tcPr/>
          <w:p>
            <w:pPr>
              <w:pStyle w:val="Compact"/>
              <w:jc w:val="left"/>
            </w:pPr>
            <w:r>
              <w:t xml:space="preserve">57.9%</w:t>
            </w:r>
          </w:p>
        </w:tc>
        <w:tc>
          <w:tcPr/>
          <w:p>
            <w:pPr>
              <w:pStyle w:val="Compact"/>
              <w:jc w:val="left"/>
            </w:pPr>
            <w:r>
              <w:t xml:space="preserve">Lentic warm-water specialist</w:t>
            </w:r>
          </w:p>
        </w:tc>
      </w:tr>
      <w:tr>
        <w:tc>
          <w:tcPr/>
          <w:p>
            <w:pPr>
              <w:pStyle w:val="Compact"/>
              <w:jc w:val="left"/>
            </w:pPr>
            <w:r>
              <w:t xml:space="preserve">Bluegill Sunfish</w:t>
            </w:r>
          </w:p>
        </w:tc>
        <w:tc>
          <w:tcPr/>
          <w:p>
            <w:pPr>
              <w:pStyle w:val="Compact"/>
              <w:jc w:val="left"/>
            </w:pPr>
            <w:r>
              <w:t xml:space="preserve">36.2%</w:t>
            </w:r>
          </w:p>
        </w:tc>
        <w:tc>
          <w:tcPr/>
          <w:p>
            <w:pPr>
              <w:pStyle w:val="Compact"/>
              <w:jc w:val="left"/>
            </w:pPr>
            <w:r>
              <w:t xml:space="preserve">Pond/slow-water sunfish</w:t>
            </w:r>
          </w:p>
        </w:tc>
      </w:tr>
      <w:tr>
        <w:tc>
          <w:tcPr/>
          <w:p>
            <w:pPr>
              <w:pStyle w:val="Compact"/>
              <w:jc w:val="left"/>
            </w:pPr>
            <w:r>
              <w:t xml:space="preserve">American Eel</w:t>
            </w:r>
          </w:p>
        </w:tc>
        <w:tc>
          <w:tcPr/>
          <w:p>
            <w:pPr>
              <w:pStyle w:val="Compact"/>
              <w:jc w:val="left"/>
            </w:pPr>
            <w:r>
              <w:t xml:space="preserve">2.6%</w:t>
            </w:r>
          </w:p>
        </w:tc>
        <w:tc>
          <w:tcPr/>
          <w:p>
            <w:pPr>
              <w:pStyle w:val="Compact"/>
              <w:jc w:val="left"/>
            </w:pPr>
            <w:r>
              <w:t xml:space="preserve">Catadromous; confirms downstream connectivity</w:t>
            </w:r>
          </w:p>
        </w:tc>
      </w:tr>
      <w:tr>
        <w:tc>
          <w:tcPr/>
          <w:p>
            <w:pPr>
              <w:pStyle w:val="Compact"/>
              <w:jc w:val="left"/>
            </w:pPr>
            <w:r>
              <w:t xml:space="preserve">Largemouth Bass</w:t>
            </w:r>
          </w:p>
        </w:tc>
        <w:tc>
          <w:tcPr/>
          <w:p>
            <w:pPr>
              <w:pStyle w:val="Compact"/>
              <w:jc w:val="left"/>
            </w:pPr>
            <w:r>
              <w:t xml:space="preserve">2.1%</w:t>
            </w:r>
          </w:p>
        </w:tc>
        <w:tc>
          <w:tcPr/>
          <w:p>
            <w:pPr>
              <w:pStyle w:val="Compact"/>
              <w:jc w:val="left"/>
            </w:pPr>
            <w:r>
              <w:t xml:space="preserve">Warm-water predator</w:t>
            </w:r>
          </w:p>
        </w:tc>
      </w:tr>
      <w:tr>
        <w:tc>
          <w:tcPr/>
          <w:p>
            <w:pPr>
              <w:pStyle w:val="Compact"/>
              <w:jc w:val="left"/>
            </w:pPr>
            <w:r>
              <w:t xml:space="preserve">Sucker spp.</w:t>
            </w:r>
          </w:p>
        </w:tc>
        <w:tc>
          <w:tcPr/>
          <w:p>
            <w:pPr>
              <w:pStyle w:val="Compact"/>
              <w:jc w:val="left"/>
            </w:pPr>
            <w:r>
              <w:t xml:space="preserve">0.7%</w:t>
            </w:r>
          </w:p>
        </w:tc>
        <w:tc>
          <w:tcPr/>
          <w:p>
            <w:pPr>
              <w:pStyle w:val="Compact"/>
              <w:jc w:val="left"/>
            </w:pPr>
            <w:r>
              <w:t xml:space="preserve">Native; tolerant generalist</w:t>
            </w:r>
          </w:p>
        </w:tc>
      </w:tr>
      <w:tr>
        <w:tc>
          <w:tcPr/>
          <w:p>
            <w:pPr>
              <w:pStyle w:val="Compact"/>
              <w:jc w:val="left"/>
            </w:pPr>
            <w:r>
              <w:t xml:space="preserve">Brown Bullhead</w:t>
            </w:r>
          </w:p>
        </w:tc>
        <w:tc>
          <w:tcPr/>
          <w:p>
            <w:pPr>
              <w:pStyle w:val="Compact"/>
              <w:jc w:val="left"/>
            </w:pPr>
            <w:r>
              <w:t xml:space="preserve">0.2%</w:t>
            </w:r>
          </w:p>
        </w:tc>
        <w:tc>
          <w:tcPr/>
          <w:p>
            <w:pPr>
              <w:pStyle w:val="Compact"/>
              <w:jc w:val="left"/>
            </w:pPr>
            <w:r>
              <w:t xml:space="preserve">Tolerant warm-water benthic</w:t>
            </w:r>
          </w:p>
        </w:tc>
      </w:tr>
      <w:tr>
        <w:tc>
          <w:tcPr/>
          <w:p>
            <w:pPr>
              <w:pStyle w:val="Compact"/>
              <w:jc w:val="left"/>
            </w:pPr>
            <w:r>
              <w:rPr>
                <w:iCs/>
                <w:i/>
              </w:rPr>
              <w:t xml:space="preserve">Longear Sunfish</w:t>
            </w:r>
          </w:p>
        </w:tc>
        <w:tc>
          <w:tcPr/>
          <w:p>
            <w:pPr>
              <w:pStyle w:val="Compact"/>
              <w:jc w:val="left"/>
            </w:pPr>
            <w:r>
              <w:rPr>
                <w:iCs/>
                <w:i/>
              </w:rPr>
              <w:t xml:space="preserve">0.3%</w:t>
            </w:r>
          </w:p>
        </w:tc>
        <w:tc>
          <w:tcPr/>
          <w:p>
            <w:pPr>
              <w:pStyle w:val="Compact"/>
              <w:jc w:val="left"/>
            </w:pPr>
            <w:r>
              <w:rPr>
                <w:iCs/>
                <w:i/>
              </w:rPr>
              <w:t xml:space="preserve">Database artifact [T3] — excluded</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r>
        <w:tc>
          <w:tcPr/>
          <w:p>
            <w:pPr>
              <w:pStyle w:val="Compact"/>
              <w:jc w:val="left"/>
            </w:pPr>
            <w:r>
              <w:t xml:space="preserve">Fourspine Stickleback</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Mummichog</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Rainbow Smelt</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Smallmouth Bass</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Creek Chub</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Yellow Perch</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Atlantic Menhaden</w:t>
            </w:r>
          </w:p>
        </w:tc>
        <w:tc>
          <w:tcPr/>
          <w:p>
            <w:pPr>
              <w:pStyle w:val="Compact"/>
              <w:jc w:val="left"/>
            </w:pPr>
            <w:r>
              <w:t xml:space="preserve">NF</w:t>
            </w:r>
          </w:p>
        </w:tc>
        <w:tc>
          <w:tcPr/>
          <w:p>
            <w:pPr>
              <w:pStyle w:val="Compact"/>
              <w:jc w:val="left"/>
            </w:pPr>
            <w:r>
              <w:t xml:space="preserve">–</w:t>
            </w:r>
          </w:p>
        </w:tc>
      </w:tr>
    </w:tbl>
    <w:bookmarkEnd w:id="116"/>
    <w:bookmarkStart w:id="117" w:name="narrative-13"/>
    <w:p>
      <w:pPr>
        <w:pStyle w:val="Heading3"/>
      </w:pPr>
      <w:r>
        <w:t xml:space="preserve">Narrative</w:t>
      </w:r>
    </w:p>
    <w:p>
      <w:pPr>
        <w:pStyle w:val="FirstParagraph"/>
      </w:pPr>
      <w:r>
        <w:t xml:space="preserve">Brook Trout were not detected at Upper Sawmill Brook on November 22, 2025. This is the spawning season – Brook Trout are at peak behavioral activity in November, moving to gravel redds in cool, well-oxygenated reaches. The absence of a detectable signal at this site, in this month, is the most significant negative result in the November batch.</w:t>
      </w:r>
    </w:p>
    <w:p>
      <w:pPr>
        <w:pStyle w:val="BodyText"/>
      </w:pPr>
      <w:r>
        <w:t xml:space="preserve">The fish community that was detected – Golden Shiner (57.9%) and Bluegill Sunfish (36.2%) together accounting for 94% of reads – is a warm-water, lentic assemblage. This is the community of a pond, impoundment, or slow backwater, not a flowing cold-water stream. H(f) = 0.91 reflects a two-species-dominated system with limited diversity.</w:t>
      </w:r>
    </w:p>
    <w:p>
      <w:pPr>
        <w:pStyle w:val="BodyText"/>
      </w:pPr>
      <w:r>
        <w:t xml:space="preserve">American Eel (2.6%) confirms that some downstream connectivity to tidal water is maintained. Largemouth Bass (2.1%) and Brown Bullhead (0.2%) are warm-water tolerant species consistent with the lentic signal.</w:t>
      </w:r>
    </w:p>
    <w:p>
      <w:pPr>
        <w:pStyle w:val="BodyText"/>
      </w:pPr>
      <w:r>
        <w:rPr>
          <w:iCs/>
          <w:i/>
        </w:rPr>
        <w:t xml:space="preserve">Longear Sunfish</w:t>
      </w:r>
      <w:r>
        <w:t xml:space="preserve"> </w:t>
      </w:r>
      <w:r>
        <w:t xml:space="preserve">(0.3%) is a database artifact — excluded from ecological interpretation [T3].</w:t>
      </w:r>
    </w:p>
    <w:bookmarkEnd w:id="117"/>
    <w:bookmarkStart w:id="118" w:name="native-vs.-non-native-11"/>
    <w:p>
      <w:pPr>
        <w:pStyle w:val="Heading3"/>
      </w:pPr>
      <w:r>
        <w:t xml:space="preserve">Native vs. Non-Native</w:t>
      </w:r>
    </w:p>
    <w:p>
      <w:pPr>
        <w:pStyle w:val="FirstParagraph"/>
      </w:pPr>
      <w:r>
        <w:t xml:space="preserve">All detected fish are native to eastern North America. No confirmed non-native species.</w:t>
      </w:r>
      <w:r>
        <w:t xml:space="preserve"> </w:t>
      </w:r>
      <w:r>
        <w:rPr>
          <w:iCs/>
          <w:i/>
        </w:rPr>
        <w:t xml:space="preserve">Longear Sunfish</w:t>
      </w:r>
      <w:r>
        <w:t xml:space="preserve"> </w:t>
      </w:r>
      <w:r>
        <w:t xml:space="preserve">is a database artifact [T3].</w:t>
      </w:r>
    </w:p>
    <w:p>
      <w:r>
        <w:pict>
          <v:rect style="width:0;height:1.5pt" o:hralign="center" o:hrstd="t" o:hr="t"/>
        </w:pict>
      </w:r>
    </w:p>
    <w:bookmarkEnd w:id="118"/>
    <w:bookmarkEnd w:id="119"/>
    <w:bookmarkStart w:id="124" w:name="below-school-st-nov-22-2025"/>
    <w:p>
      <w:pPr>
        <w:pStyle w:val="Heading2"/>
      </w:pPr>
      <w:r>
        <w:t xml:space="preserve">Below School St | Nov 22, 2025</w:t>
      </w:r>
    </w:p>
    <w:p>
      <w:pPr>
        <w:pStyle w:val="FirstParagraph"/>
      </w:pPr>
      <w:r>
        <w:rPr>
          <w:bCs/>
          <w:b/>
        </w:rPr>
        <w:t xml:space="preserve">Fish: 9 species detected, H(f) = 1.40 (good diversity) | No algae data this event</w:t>
      </w:r>
    </w:p>
    <w:bookmarkStart w:id="120" w:name="sentinel-signal-14"/>
    <w:p>
      <w:pPr>
        <w:pStyle w:val="Heading3"/>
      </w:pPr>
      <w:r>
        <w:t xml:space="preserve">Sentinel Signal</w:t>
      </w:r>
    </w:p>
    <w:p>
      <w:pPr>
        <w:pStyle w:val="FirstParagraph"/>
      </w:pPr>
      <w:r>
        <w:t xml:space="preserve">Mummichog (42.2%) + Fourspine Stickleback (31.6%) + American Eel (15.6%) =</w:t>
      </w:r>
      <w:r>
        <w:t xml:space="preserve"> </w:t>
      </w:r>
      <w:r>
        <w:rPr>
          <w:bCs/>
          <w:b/>
        </w:rPr>
        <w:t xml:space="preserve">tidal freshwater-to-oligohaline transition, fully functional</w:t>
      </w:r>
      <w:r>
        <w:t xml:space="preserve">. Brook Trout confirmed at</w:t>
      </w:r>
      <w:r>
        <w:t xml:space="preserve"> </w:t>
      </w:r>
      <w:r>
        <w:rPr>
          <w:bCs/>
          <w:b/>
        </w:rPr>
        <w:t xml:space="preserve">4.8%</w:t>
      </w:r>
      <w:r>
        <w:t xml:space="preserve"> </w:t>
      </w:r>
      <w:r>
        <w:t xml:space="preserve">– detected in November during spawning season at the tidal reach.</w:t>
      </w:r>
    </w:p>
    <w:bookmarkEnd w:id="120"/>
    <w:bookmarkStart w:id="121"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Mummichog</w:t>
            </w:r>
          </w:p>
        </w:tc>
        <w:tc>
          <w:tcPr/>
          <w:p>
            <w:pPr>
              <w:pStyle w:val="Compact"/>
              <w:jc w:val="left"/>
            </w:pPr>
            <w:r>
              <w:t xml:space="preserve">42.2%</w:t>
            </w:r>
          </w:p>
        </w:tc>
        <w:tc>
          <w:tcPr/>
          <w:p>
            <w:pPr>
              <w:pStyle w:val="Compact"/>
              <w:jc w:val="left"/>
            </w:pPr>
            <w:r>
              <w:t xml:space="preserve">Tidal/estuarine indicator</w:t>
            </w:r>
          </w:p>
        </w:tc>
      </w:tr>
      <w:tr>
        <w:tc>
          <w:tcPr/>
          <w:p>
            <w:pPr>
              <w:pStyle w:val="Compact"/>
              <w:jc w:val="left"/>
            </w:pPr>
            <w:r>
              <w:t xml:space="preserve">Fourspine Stickleback</w:t>
            </w:r>
          </w:p>
        </w:tc>
        <w:tc>
          <w:tcPr/>
          <w:p>
            <w:pPr>
              <w:pStyle w:val="Compact"/>
              <w:jc w:val="left"/>
            </w:pPr>
            <w:r>
              <w:t xml:space="preserve">31.6%</w:t>
            </w:r>
          </w:p>
        </w:tc>
        <w:tc>
          <w:tcPr/>
          <w:p>
            <w:pPr>
              <w:pStyle w:val="Compact"/>
              <w:jc w:val="left"/>
            </w:pPr>
            <w:r>
              <w:t xml:space="preserve">Brackish-water specialist</w:t>
            </w:r>
          </w:p>
        </w:tc>
      </w:tr>
      <w:tr>
        <w:tc>
          <w:tcPr/>
          <w:p>
            <w:pPr>
              <w:pStyle w:val="Compact"/>
              <w:jc w:val="left"/>
            </w:pPr>
            <w:r>
              <w:t xml:space="preserve">American Eel</w:t>
            </w:r>
          </w:p>
        </w:tc>
        <w:tc>
          <w:tcPr/>
          <w:p>
            <w:pPr>
              <w:pStyle w:val="Compact"/>
              <w:jc w:val="left"/>
            </w:pPr>
            <w:r>
              <w:t xml:space="preserve">15.6%</w:t>
            </w:r>
          </w:p>
        </w:tc>
        <w:tc>
          <w:tcPr/>
          <w:p>
            <w:pPr>
              <w:pStyle w:val="Compact"/>
              <w:jc w:val="left"/>
            </w:pPr>
            <w:r>
              <w:t xml:space="preserve">Catadromous; ocean connectivity confirmed</w:t>
            </w:r>
          </w:p>
        </w:tc>
      </w:tr>
      <w:tr>
        <w:tc>
          <w:tcPr/>
          <w:p>
            <w:pPr>
              <w:pStyle w:val="Compact"/>
              <w:jc w:val="left"/>
            </w:pPr>
            <w:r>
              <w:rPr>
                <w:bCs/>
                <w:b/>
              </w:rPr>
              <w:t xml:space="preserve">Brook Trout</w:t>
            </w:r>
          </w:p>
        </w:tc>
        <w:tc>
          <w:tcPr/>
          <w:p>
            <w:pPr>
              <w:pStyle w:val="Compact"/>
              <w:jc w:val="left"/>
            </w:pPr>
            <w:r>
              <w:rPr>
                <w:bCs/>
                <w:b/>
              </w:rPr>
              <w:t xml:space="preserve">4.8%</w:t>
            </w:r>
          </w:p>
        </w:tc>
        <w:tc>
          <w:tcPr/>
          <w:p>
            <w:pPr>
              <w:pStyle w:val="Compact"/>
              <w:jc w:val="left"/>
            </w:pPr>
            <w:r>
              <w:rPr>
                <w:bCs/>
                <w:b/>
              </w:rPr>
              <w:t xml:space="preserve">Confirmed – spawning season detection</w:t>
            </w:r>
          </w:p>
        </w:tc>
      </w:tr>
      <w:tr>
        <w:tc>
          <w:tcPr/>
          <w:p>
            <w:pPr>
              <w:pStyle w:val="Compact"/>
              <w:jc w:val="left"/>
            </w:pPr>
            <w:r>
              <w:t xml:space="preserve">Golden Shiner</w:t>
            </w:r>
          </w:p>
        </w:tc>
        <w:tc>
          <w:tcPr/>
          <w:p>
            <w:pPr>
              <w:pStyle w:val="Compact"/>
              <w:jc w:val="left"/>
            </w:pPr>
            <w:r>
              <w:t xml:space="preserve">2.9%</w:t>
            </w:r>
          </w:p>
        </w:tc>
        <w:tc>
          <w:tcPr/>
          <w:p>
            <w:pPr>
              <w:pStyle w:val="Compact"/>
              <w:jc w:val="left"/>
            </w:pPr>
            <w:r>
              <w:t xml:space="preserve">Freshwater component</w:t>
            </w:r>
          </w:p>
        </w:tc>
      </w:tr>
      <w:tr>
        <w:tc>
          <w:tcPr/>
          <w:p>
            <w:pPr>
              <w:pStyle w:val="Compact"/>
              <w:jc w:val="left"/>
            </w:pPr>
            <w:r>
              <w:t xml:space="preserve">Bluegill Sunfish</w:t>
            </w:r>
          </w:p>
        </w:tc>
        <w:tc>
          <w:tcPr/>
          <w:p>
            <w:pPr>
              <w:pStyle w:val="Compact"/>
              <w:jc w:val="left"/>
            </w:pPr>
            <w:r>
              <w:t xml:space="preserve">1.5%</w:t>
            </w:r>
          </w:p>
        </w:tc>
        <w:tc>
          <w:tcPr/>
          <w:p>
            <w:pPr>
              <w:pStyle w:val="Compact"/>
              <w:jc w:val="left"/>
            </w:pPr>
            <w:r>
              <w:t xml:space="preserve">Warm-water sunfish</w:t>
            </w:r>
          </w:p>
        </w:tc>
      </w:tr>
      <w:tr>
        <w:tc>
          <w:tcPr/>
          <w:p>
            <w:pPr>
              <w:pStyle w:val="Compact"/>
              <w:jc w:val="left"/>
            </w:pPr>
            <w:r>
              <w:t xml:space="preserve">Largemouth Bass</w:t>
            </w:r>
          </w:p>
        </w:tc>
        <w:tc>
          <w:tcPr/>
          <w:p>
            <w:pPr>
              <w:pStyle w:val="Compact"/>
              <w:jc w:val="left"/>
            </w:pPr>
            <w:r>
              <w:t xml:space="preserve">1.4%</w:t>
            </w:r>
          </w:p>
        </w:tc>
        <w:tc>
          <w:tcPr/>
          <w:p>
            <w:pPr>
              <w:pStyle w:val="Compact"/>
              <w:jc w:val="left"/>
            </w:pPr>
            <w:r>
              <w:t xml:space="preserve">Warm-water predator</w:t>
            </w:r>
          </w:p>
        </w:tc>
      </w:tr>
      <w:tr>
        <w:tc>
          <w:tcPr/>
          <w:p>
            <w:pPr>
              <w:pStyle w:val="Compact"/>
              <w:jc w:val="left"/>
            </w:pPr>
            <w:r>
              <w:t xml:space="preserve">Brown Bullhead</w:t>
            </w:r>
          </w:p>
        </w:tc>
        <w:tc>
          <w:tcPr/>
          <w:p>
            <w:pPr>
              <w:pStyle w:val="Compact"/>
              <w:jc w:val="left"/>
            </w:pPr>
            <w:r>
              <w:t xml:space="preserve">0.1%</w:t>
            </w:r>
          </w:p>
        </w:tc>
        <w:tc>
          <w:tcPr/>
          <w:p>
            <w:pPr>
              <w:pStyle w:val="Compact"/>
              <w:jc w:val="left"/>
            </w:pPr>
            <w:r>
              <w:t xml:space="preserve">Tolerant benthic</w:t>
            </w:r>
          </w:p>
        </w:tc>
      </w:tr>
      <w:tr>
        <w:tc>
          <w:tcPr/>
          <w:p>
            <w:pPr>
              <w:pStyle w:val="Compact"/>
              <w:jc w:val="left"/>
            </w:pPr>
            <w:r>
              <w:t xml:space="preserve">Smallmouth Bass</w:t>
            </w:r>
          </w:p>
        </w:tc>
        <w:tc>
          <w:tcPr/>
          <w:p>
            <w:pPr>
              <w:pStyle w:val="Compact"/>
              <w:jc w:val="left"/>
            </w:pPr>
            <w:r>
              <w:t xml:space="preserve">0.1%</w:t>
            </w:r>
          </w:p>
        </w:tc>
        <w:tc>
          <w:tcPr/>
          <w:p>
            <w:pPr>
              <w:pStyle w:val="Compact"/>
              <w:jc w:val="left"/>
            </w:pPr>
            <w:r>
              <w:t xml:space="preserve">Clean-water indicator</w:t>
            </w:r>
          </w:p>
        </w:tc>
      </w:tr>
    </w:tbl>
    <w:bookmarkEnd w:id="121"/>
    <w:bookmarkStart w:id="122" w:name="narrative-14"/>
    <w:p>
      <w:pPr>
        <w:pStyle w:val="Heading3"/>
      </w:pPr>
      <w:r>
        <w:t xml:space="preserve">Narrative</w:t>
      </w:r>
    </w:p>
    <w:p>
      <w:pPr>
        <w:pStyle w:val="FirstParagraph"/>
      </w:pPr>
      <w:r>
        <w:t xml:space="preserve">The tidal character of Below School St is unchanged: Mummichog and Fourspine Stickleback together account for 73.8% of reads, defining this site’s identity as unambiguously as any chemical measurement could. American Eel at 15.6% confirms open ocean connectivity.</w:t>
      </w:r>
    </w:p>
    <w:p>
      <w:pPr>
        <w:pStyle w:val="BodyText"/>
      </w:pPr>
      <w:r>
        <w:t xml:space="preserve">Brook Trout at 4.8% is confirmed – detected at the tidal reach of Sawmill Brook during spawning season. H(f) = 1.40 matches the November 2023 sampling at this site, indicating a stable diverse estuarine assemblage.</w:t>
      </w:r>
    </w:p>
    <w:p>
      <w:pPr>
        <w:pStyle w:val="BodyText"/>
      </w:pPr>
      <w:r>
        <w:t xml:space="preserve">The freshwater component (Golden Shiner 2.9%, Bluegill Sunfish 1.5%, Largemouth Bass 1.4%) reflects upstream mixing – pond-origin fish eDNA carried downstream or present in the tidal backwater. Smallmouth Bass (0.1%) at this site is notable; their low-level detection is consistent with occasional dispersal from upstream reaches.</w:t>
      </w:r>
    </w:p>
    <w:bookmarkEnd w:id="122"/>
    <w:bookmarkStart w:id="123" w:name="native-vs.-non-native-12"/>
    <w:p>
      <w:pPr>
        <w:pStyle w:val="Heading3"/>
      </w:pPr>
      <w:r>
        <w:t xml:space="preserve">Native vs. Non-Native</w:t>
      </w:r>
    </w:p>
    <w:p>
      <w:pPr>
        <w:pStyle w:val="FirstParagraph"/>
      </w:pPr>
      <w:r>
        <w:t xml:space="preserve">All detected fish are native to the coastal New England estuarine environment. No non-native fish signal.</w:t>
      </w:r>
    </w:p>
    <w:p>
      <w:r>
        <w:pict>
          <v:rect style="width:0;height:1.5pt" o:hralign="center" o:hrstd="t" o:hr="t"/>
        </w:pict>
      </w:r>
    </w:p>
    <w:bookmarkEnd w:id="123"/>
    <w:bookmarkEnd w:id="124"/>
    <w:bookmarkStart w:id="129" w:name="southern-boundary-essex-club-nov-22-2025"/>
    <w:p>
      <w:pPr>
        <w:pStyle w:val="Heading2"/>
      </w:pPr>
      <w:r>
        <w:t xml:space="preserve">Southern Boundary / Essex Club | Nov 22, 2025</w:t>
      </w:r>
    </w:p>
    <w:p>
      <w:pPr>
        <w:pStyle w:val="FirstParagraph"/>
      </w:pPr>
      <w:r>
        <w:rPr>
          <w:bCs/>
          <w:b/>
        </w:rPr>
        <w:t xml:space="preserve">Fish: 8 species detected, H(f) = 1.63 (good diversity) | No algae data this event</w:t>
      </w:r>
    </w:p>
    <w:bookmarkStart w:id="125" w:name="sentinel-signal-15"/>
    <w:p>
      <w:pPr>
        <w:pStyle w:val="Heading3"/>
      </w:pPr>
      <w:r>
        <w:t xml:space="preserve">Sentinel Signal</w:t>
      </w:r>
    </w:p>
    <w:p>
      <w:pPr>
        <w:pStyle w:val="FirstParagraph"/>
      </w:pPr>
      <w:r>
        <w:t xml:space="preserve">Fourspine Stickleback (32%) + Mummichog (8%) = tidal/estuarine influence present. Bluegill Sunfish (24%) + Golden Shiner (15%) = freshwater warm-water input.</w:t>
      </w:r>
      <w:r>
        <w:t xml:space="preserve"> </w:t>
      </w:r>
      <w:r>
        <w:rPr>
          <w:bCs/>
          <w:b/>
        </w:rPr>
        <w:t xml:space="preserve">Brook Trout: not detected.</w:t>
      </w:r>
      <w:r>
        <w:t xml:space="preserve"> </w:t>
      </w:r>
      <w:r>
        <w:t xml:space="preserve">Atlantic Menhaden (1%) – flag for cormorant dietary artifact.</w:t>
      </w:r>
    </w:p>
    <w:bookmarkEnd w:id="125"/>
    <w:bookmarkStart w:id="126"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Fourspine Stickleback</w:t>
            </w:r>
          </w:p>
        </w:tc>
        <w:tc>
          <w:tcPr/>
          <w:p>
            <w:pPr>
              <w:pStyle w:val="Compact"/>
              <w:jc w:val="left"/>
            </w:pPr>
            <w:r>
              <w:t xml:space="preserve">32%</w:t>
            </w:r>
          </w:p>
        </w:tc>
        <w:tc>
          <w:tcPr/>
          <w:p>
            <w:pPr>
              <w:pStyle w:val="Compact"/>
              <w:jc w:val="left"/>
            </w:pPr>
            <w:r>
              <w:t xml:space="preserve">Brackish-water specialist; tidal marker</w:t>
            </w:r>
          </w:p>
        </w:tc>
      </w:tr>
      <w:tr>
        <w:tc>
          <w:tcPr/>
          <w:p>
            <w:pPr>
              <w:pStyle w:val="Compact"/>
              <w:jc w:val="left"/>
            </w:pPr>
            <w:r>
              <w:t xml:space="preserve">Bluegill Sunfish</w:t>
            </w:r>
          </w:p>
        </w:tc>
        <w:tc>
          <w:tcPr/>
          <w:p>
            <w:pPr>
              <w:pStyle w:val="Compact"/>
              <w:jc w:val="left"/>
            </w:pPr>
            <w:r>
              <w:t xml:space="preserve">24%</w:t>
            </w:r>
          </w:p>
        </w:tc>
        <w:tc>
          <w:tcPr/>
          <w:p>
            <w:pPr>
              <w:pStyle w:val="Compact"/>
              <w:jc w:val="left"/>
            </w:pPr>
            <w:r>
              <w:t xml:space="preserve">Warm-water freshwater sunfish</w:t>
            </w:r>
          </w:p>
        </w:tc>
      </w:tr>
      <w:tr>
        <w:tc>
          <w:tcPr/>
          <w:p>
            <w:pPr>
              <w:pStyle w:val="Compact"/>
              <w:jc w:val="left"/>
            </w:pPr>
            <w:r>
              <w:t xml:space="preserve">American Eel</w:t>
            </w:r>
          </w:p>
        </w:tc>
        <w:tc>
          <w:tcPr/>
          <w:p>
            <w:pPr>
              <w:pStyle w:val="Compact"/>
              <w:jc w:val="left"/>
            </w:pPr>
            <w:r>
              <w:t xml:space="preserve">17%</w:t>
            </w:r>
          </w:p>
        </w:tc>
        <w:tc>
          <w:tcPr/>
          <w:p>
            <w:pPr>
              <w:pStyle w:val="Compact"/>
              <w:jc w:val="left"/>
            </w:pPr>
            <w:r>
              <w:t xml:space="preserve">Catadromous; ocean connectivity</w:t>
            </w:r>
          </w:p>
        </w:tc>
      </w:tr>
      <w:tr>
        <w:tc>
          <w:tcPr/>
          <w:p>
            <w:pPr>
              <w:pStyle w:val="Compact"/>
              <w:jc w:val="left"/>
            </w:pPr>
            <w:r>
              <w:t xml:space="preserve">Golden Shiner</w:t>
            </w:r>
          </w:p>
        </w:tc>
        <w:tc>
          <w:tcPr/>
          <w:p>
            <w:pPr>
              <w:pStyle w:val="Compact"/>
              <w:jc w:val="left"/>
            </w:pPr>
            <w:r>
              <w:t xml:space="preserve">15%</w:t>
            </w:r>
          </w:p>
        </w:tc>
        <w:tc>
          <w:tcPr/>
          <w:p>
            <w:pPr>
              <w:pStyle w:val="Compact"/>
              <w:jc w:val="left"/>
            </w:pPr>
            <w:r>
              <w:t xml:space="preserve">Freshwater lentic species</w:t>
            </w:r>
          </w:p>
        </w:tc>
      </w:tr>
      <w:tr>
        <w:tc>
          <w:tcPr/>
          <w:p>
            <w:pPr>
              <w:pStyle w:val="Compact"/>
              <w:jc w:val="left"/>
            </w:pPr>
            <w:r>
              <w:t xml:space="preserve">Mummichog</w:t>
            </w:r>
          </w:p>
        </w:tc>
        <w:tc>
          <w:tcPr/>
          <w:p>
            <w:pPr>
              <w:pStyle w:val="Compact"/>
              <w:jc w:val="left"/>
            </w:pPr>
            <w:r>
              <w:t xml:space="preserve">8%</w:t>
            </w:r>
          </w:p>
        </w:tc>
        <w:tc>
          <w:tcPr/>
          <w:p>
            <w:pPr>
              <w:pStyle w:val="Compact"/>
              <w:jc w:val="left"/>
            </w:pPr>
            <w:r>
              <w:t xml:space="preserve">Tidal/estuarine indicator</w:t>
            </w:r>
          </w:p>
        </w:tc>
      </w:tr>
      <w:tr>
        <w:tc>
          <w:tcPr/>
          <w:p>
            <w:pPr>
              <w:pStyle w:val="Compact"/>
              <w:jc w:val="left"/>
            </w:pPr>
            <w:r>
              <w:t xml:space="preserve">Atlantic Menhaden</w:t>
            </w:r>
          </w:p>
        </w:tc>
        <w:tc>
          <w:tcPr/>
          <w:p>
            <w:pPr>
              <w:pStyle w:val="Compact"/>
              <w:jc w:val="left"/>
            </w:pPr>
            <w:r>
              <w:t xml:space="preserve">1%</w:t>
            </w:r>
          </w:p>
        </w:tc>
        <w:tc>
          <w:tcPr/>
          <w:p>
            <w:pPr>
              <w:pStyle w:val="Compact"/>
              <w:jc w:val="left"/>
            </w:pPr>
            <w:r>
              <w:t xml:space="preserve">Marine schooling fish – cormorant dietary artifact (see QC note)</w:t>
            </w:r>
          </w:p>
        </w:tc>
      </w:tr>
      <w:tr>
        <w:tc>
          <w:tcPr/>
          <w:p>
            <w:pPr>
              <w:pStyle w:val="Compact"/>
              <w:jc w:val="left"/>
            </w:pPr>
            <w:r>
              <w:t xml:space="preserve">Creek Chub</w:t>
            </w:r>
          </w:p>
        </w:tc>
        <w:tc>
          <w:tcPr/>
          <w:p>
            <w:pPr>
              <w:pStyle w:val="Compact"/>
              <w:jc w:val="left"/>
            </w:pPr>
            <w:r>
              <w:t xml:space="preserve">1%</w:t>
            </w:r>
          </w:p>
        </w:tc>
        <w:tc>
          <w:tcPr/>
          <w:p>
            <w:pPr>
              <w:pStyle w:val="Compact"/>
              <w:jc w:val="left"/>
            </w:pPr>
            <w:r>
              <w:t xml:space="preserve">Native freshwater stream fish</w:t>
            </w:r>
          </w:p>
        </w:tc>
      </w:tr>
      <w:tr>
        <w:tc>
          <w:tcPr/>
          <w:p>
            <w:pPr>
              <w:pStyle w:val="Compact"/>
              <w:jc w:val="left"/>
            </w:pPr>
            <w:r>
              <w:t xml:space="preserve">Yellow Perch</w:t>
            </w:r>
          </w:p>
        </w:tc>
        <w:tc>
          <w:tcPr/>
          <w:p>
            <w:pPr>
              <w:pStyle w:val="Compact"/>
              <w:jc w:val="left"/>
            </w:pPr>
            <w:r>
              <w:t xml:space="preserve">1%</w:t>
            </w:r>
          </w:p>
        </w:tc>
        <w:tc>
          <w:tcPr/>
          <w:p>
            <w:pPr>
              <w:pStyle w:val="Compact"/>
              <w:jc w:val="left"/>
            </w:pPr>
            <w:r>
              <w:t xml:space="preserve">Native freshwater tolerant generalist</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bl>
    <w:bookmarkEnd w:id="126"/>
    <w:bookmarkStart w:id="127" w:name="narrative-15"/>
    <w:p>
      <w:pPr>
        <w:pStyle w:val="Heading3"/>
      </w:pPr>
      <w:r>
        <w:t xml:space="preserve">Narrative</w:t>
      </w:r>
    </w:p>
    <w:p>
      <w:pPr>
        <w:pStyle w:val="FirstParagraph"/>
      </w:pPr>
      <w:r>
        <w:t xml:space="preserve">Southern Boundary / Essex Club occupies an ecotone between the freshwater Sawmill Brook system and the tidal-influenced lower reach. The fish community reflects this mixed character: Fourspine Stickleback and Mummichog confirm tidal influence; Golden Shiner and Bluegill Sunfish indicate freshwater lentic input. H(f) = 1.63 is the highest in the November 2025 batch, consistent with ecotone sites receiving species from both adjacent systems.</w:t>
      </w:r>
    </w:p>
    <w:p>
      <w:pPr>
        <w:pStyle w:val="BodyText"/>
      </w:pPr>
      <w:r>
        <w:t xml:space="preserve">Brook Trout were not detected. In November – spawning season – this absence is ecologically meaningful.</w:t>
      </w:r>
    </w:p>
    <w:p>
      <w:pPr>
        <w:pStyle w:val="BodyText"/>
      </w:pPr>
      <w:r>
        <w:t xml:space="preserve">Creek Chub (1%) is a native stream fish preferring flowing water with gravel substrate – more compatible with Brook Trout habitat than the lentic signal dominant at Upper Sawmill.</w:t>
      </w:r>
    </w:p>
    <w:p>
      <w:pPr>
        <w:pStyle w:val="BodyText"/>
      </w:pPr>
      <w:r>
        <w:rPr>
          <w:bCs/>
          <w:b/>
        </w:rPr>
        <w:t xml:space="preserve">Atlantic Menhaden QC note:</w:t>
      </w:r>
      <w:r>
        <w:t xml:space="preserve"> </w:t>
      </w:r>
      <w:r>
        <w:t xml:space="preserve">Atlantic Menhaden (</w:t>
      </w:r>
      <w:r>
        <w:rPr>
          <w:iCs/>
          <w:i/>
        </w:rPr>
        <w:t xml:space="preserve">Brevoortia tyrannus</w:t>
      </w:r>
      <w:r>
        <w:t xml:space="preserve">) are coastal marine schooling fish that do not enter small tidal creeks. Their presence at 1% is consistent with cormorant dietary artifact, documented at the Atwater Site (JVB4981, June 2025) where Menhaden and marine prickleback (</w:t>
      </w:r>
      <w:r>
        <w:rPr>
          <w:iCs/>
          <w:i/>
        </w:rPr>
        <w:t xml:space="preserve">Xiphister</w:t>
      </w:r>
      <w:r>
        <w:t xml:space="preserve"> </w:t>
      </w:r>
      <w:r>
        <w:t xml:space="preserve">spp.) were attributed to Double-crested Cormorant fecal input. The 1% Menhaden reading at Essex Club is not interpreted as live fish.</w:t>
      </w:r>
    </w:p>
    <w:bookmarkEnd w:id="127"/>
    <w:bookmarkStart w:id="128" w:name="native-vs.-non-native-13"/>
    <w:p>
      <w:pPr>
        <w:pStyle w:val="Heading3"/>
      </w:pPr>
      <w:r>
        <w:t xml:space="preserve">Native vs. Non-Native</w:t>
      </w:r>
    </w:p>
    <w:p>
      <w:pPr>
        <w:pStyle w:val="FirstParagraph"/>
      </w:pPr>
      <w:r>
        <w:t xml:space="preserve">All detected fish are native to coastal New England. No confirmed non-native species. Atlantic Menhaden detection treated as cormorant dietary artifact.</w:t>
      </w:r>
    </w:p>
    <w:p>
      <w:r>
        <w:pict>
          <v:rect style="width:0;height:1.5pt" o:hralign="center" o:hrstd="t" o:hr="t"/>
        </w:pict>
      </w:r>
    </w:p>
    <w:bookmarkEnd w:id="128"/>
    <w:bookmarkEnd w:id="129"/>
    <w:bookmarkStart w:id="130" w:name="Xf5341428c39fc8adde34ff518b35b786279bbec"/>
    <w:p>
      <w:pPr>
        <w:pStyle w:val="Heading2"/>
      </w:pPr>
      <w:r>
        <w:t xml:space="preserve">November 2025 – Longitudinal Brook Trout Summary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Nov 22, 2025</w:t>
            </w:r>
          </w:p>
        </w:tc>
        <w:tc>
          <w:tcPr/>
          <w:p>
            <w:pPr>
              <w:pStyle w:val="Compact"/>
              <w:jc w:val="left"/>
            </w:pPr>
            <w:r>
              <w:t xml:space="preserve">Prior detection</w:t>
            </w:r>
          </w:p>
        </w:tc>
      </w:tr>
      <w:tr>
        <w:tc>
          <w:tcPr/>
          <w:p>
            <w:pPr>
              <w:pStyle w:val="Compact"/>
              <w:jc w:val="left"/>
            </w:pPr>
            <w:r>
              <w:t xml:space="preserve">Upper Sawmill Brook</w:t>
            </w:r>
          </w:p>
        </w:tc>
        <w:tc>
          <w:tcPr/>
          <w:p>
            <w:pPr>
              <w:pStyle w:val="Compact"/>
              <w:jc w:val="left"/>
            </w:pPr>
            <w:r>
              <w:rPr>
                <w:bCs/>
                <w:b/>
              </w:rPr>
              <w:t xml:space="preserve">NF</w:t>
            </w:r>
          </w:p>
        </w:tc>
        <w:tc>
          <w:tcPr/>
          <w:p>
            <w:pPr>
              <w:pStyle w:val="Compact"/>
              <w:jc w:val="left"/>
            </w:pPr>
            <w:r>
              <w:t xml:space="preserve">Present historically (Golf Course reach Nov 2023)</w:t>
            </w:r>
          </w:p>
        </w:tc>
      </w:tr>
      <w:tr>
        <w:tc>
          <w:tcPr/>
          <w:p>
            <w:pPr>
              <w:pStyle w:val="Compact"/>
              <w:jc w:val="left"/>
            </w:pPr>
            <w:r>
              <w:t xml:space="preserve">Below School St</w:t>
            </w:r>
          </w:p>
        </w:tc>
        <w:tc>
          <w:tcPr/>
          <w:p>
            <w:pPr>
              <w:pStyle w:val="Compact"/>
              <w:jc w:val="left"/>
            </w:pPr>
            <w:r>
              <w:rPr>
                <w:bCs/>
                <w:b/>
              </w:rPr>
              <w:t xml:space="preserve">4.8%</w:t>
            </w:r>
          </w:p>
        </w:tc>
        <w:tc>
          <w:tcPr/>
          <w:p>
            <w:pPr>
              <w:pStyle w:val="Compact"/>
              <w:jc w:val="left"/>
            </w:pPr>
            <w:r>
              <w:t xml:space="preserve">2.5% (Nov 2023); consistent presence confirmed</w:t>
            </w:r>
          </w:p>
        </w:tc>
      </w:tr>
      <w:tr>
        <w:tc>
          <w:tcPr/>
          <w:p>
            <w:pPr>
              <w:pStyle w:val="Compact"/>
              <w:jc w:val="left"/>
            </w:pPr>
            <w:r>
              <w:t xml:space="preserve">Southern Boundary / Essex Club</w:t>
            </w:r>
          </w:p>
        </w:tc>
        <w:tc>
          <w:tcPr/>
          <w:p>
            <w:pPr>
              <w:pStyle w:val="Compact"/>
              <w:jc w:val="left"/>
            </w:pPr>
            <w:r>
              <w:rPr>
                <w:bCs/>
                <w:b/>
              </w:rPr>
              <w:t xml:space="preserve">NF</w:t>
            </w:r>
          </w:p>
        </w:tc>
        <w:tc>
          <w:tcPr/>
          <w:p>
            <w:pPr>
              <w:pStyle w:val="Compact"/>
              <w:jc w:val="left"/>
            </w:pPr>
            <w:r>
              <w:t xml:space="preserve">No prior data at this site</w:t>
            </w:r>
          </w:p>
        </w:tc>
      </w:tr>
    </w:tbl>
    <w:p>
      <w:pPr>
        <w:pStyle w:val="BodyText"/>
      </w:pPr>
      <w:r>
        <w:t xml:space="preserve">Brook Trout are confirmed present in the Sawmill watershed as of November 2025 – detected at Below School St during spawning season. Their absence at Upper Sawmill Brook in the same month, with a warm-water lentic assemblage dominant at that site, is the primary finding of this batch.</w:t>
      </w:r>
    </w:p>
    <w:p>
      <w:r>
        <w:pict>
          <v:rect style="width:0;height:1.5pt" o:hralign="center" o:hrstd="t" o:hr="t"/>
        </w:pict>
      </w:r>
    </w:p>
    <w:bookmarkEnd w:id="130"/>
    <w:bookmarkEnd w:id="131"/>
    <w:bookmarkStart w:id="132" w:name="taxonomic-qc-notes"/>
    <w:p>
      <w:pPr>
        <w:pStyle w:val="Heading1"/>
      </w:pPr>
      <w:r>
        <w:t xml:space="preserve">Taxonomic &amp; QC Notes</w:t>
      </w:r>
    </w:p>
    <w:p>
      <w:pPr>
        <w:pStyle w:val="FirstParagraph"/>
      </w:pPr>
      <w:r>
        <w:rPr>
          <w:bCs/>
          <w:b/>
        </w:rPr>
        <w:t xml:space="preserve">[T1] — MiFish 12S barcode resolution limits.</w:t>
      </w:r>
      <w:r>
        <w:t xml:space="preserve"> </w:t>
      </w:r>
      <w:r>
        <w:t xml:space="preserve">The MiFish 12S rRNA barcode resolves most teleost fish to species level, but certain genera cannot be distinguished below genus.</w:t>
      </w:r>
      <w:r>
        <w:t xml:space="preserve"> </w:t>
      </w:r>
      <w:r>
        <w:rPr>
          <w:iCs/>
          <w:i/>
        </w:rPr>
        <w:t xml:space="preserve">Lepomis</w:t>
      </w:r>
      <w:r>
        <w:t xml:space="preserve"> </w:t>
      </w:r>
      <w:r>
        <w:t xml:space="preserve">spp. (sunfish) includes Bluegill, Pumpkinseed, Redear Sunfish, and Longear Sunfish (</w:t>
      </w:r>
      <w:r>
        <w:rPr>
          <w:iCs/>
          <w:i/>
        </w:rPr>
        <w:t xml:space="preserve">L. megalotis</w:t>
      </w:r>
      <w:r>
        <w:t xml:space="preserve">), among others.</w:t>
      </w:r>
      <w:r>
        <w:t xml:space="preserve"> </w:t>
      </w:r>
      <w:r>
        <w:rPr>
          <w:iCs/>
          <w:i/>
        </w:rPr>
        <w:t xml:space="preserve">Micropterus</w:t>
      </w:r>
      <w:r>
        <w:t xml:space="preserve"> </w:t>
      </w:r>
      <w:r>
        <w:t xml:space="preserve">spp. includes Largemouth Bass and Smallmouth Bass.</w:t>
      </w:r>
      <w:r>
        <w:t xml:space="preserve"> </w:t>
      </w:r>
      <w:r>
        <w:rPr>
          <w:iCs/>
          <w:i/>
        </w:rPr>
        <w:t xml:space="preserve">Ameiurus</w:t>
      </w:r>
      <w:r>
        <w:t xml:space="preserve"> </w:t>
      </w:r>
      <w:r>
        <w:t xml:space="preserve">spp. includes Brown Bullhead, Yellow Bullhead, and Black Bullhead. Cottidae spp. (sculpin) includes Slimy Sculpin and Mottled Sculpin. In all cases the genus-level assignment is reliable; species-level is not.</w:t>
      </w:r>
      <w:r>
        <w:t xml:space="preserve"> </w:t>
      </w:r>
      <w:r>
        <w:rPr>
          <w:iCs/>
          <w:i/>
        </w:rPr>
        <w:t xml:space="preserve">Salmo</w:t>
      </w:r>
      <w:r>
        <w:t xml:space="preserve"> </w:t>
      </w:r>
      <w:r>
        <w:t xml:space="preserve">spp. may be Brown Trout (</w:t>
      </w:r>
      <w:r>
        <w:rPr>
          <w:iCs/>
          <w:i/>
        </w:rPr>
        <w:t xml:space="preserve">S. trutta</w:t>
      </w:r>
      <w:r>
        <w:t xml:space="preserve">, non-native, stocked throughout New England) or Atlantic Salmon (</w:t>
      </w:r>
      <w:r>
        <w:rPr>
          <w:iCs/>
          <w:i/>
        </w:rPr>
        <w:t xml:space="preserve">S. salar</w:t>
      </w:r>
      <w:r>
        <w:t xml:space="preserve">, native anadromous) — these two species cannot be distinguished by the MiFish barcode. Life history forms (sea-run vs. stream-resident) cannot be determined by eDNA for any species.</w:t>
      </w:r>
    </w:p>
    <w:p>
      <w:pPr>
        <w:pStyle w:val="BodyText"/>
      </w:pPr>
      <w:r>
        <w:rPr>
          <w:bCs/>
          <w:b/>
        </w:rPr>
        <w:t xml:space="preserve">[T2] —</w:t>
      </w:r>
      <w:r>
        <w:rPr>
          <w:bCs/>
          <w:b/>
        </w:rPr>
        <w:t xml:space="preserve"> </w:t>
      </w:r>
      <w:r>
        <w:rPr>
          <w:iCs/>
          <w:i/>
          <w:bCs/>
          <w:b/>
        </w:rPr>
        <w:t xml:space="preserve">Esox</w:t>
      </w:r>
      <w:r>
        <w:rPr>
          <w:bCs/>
          <w:b/>
        </w:rPr>
        <w:t xml:space="preserve"> </w:t>
      </w:r>
      <w:r>
        <w:rPr>
          <w:bCs/>
          <w:b/>
        </w:rPr>
        <w:t xml:space="preserve">spp. /</w:t>
      </w:r>
      <w:r>
        <w:rPr>
          <w:bCs/>
          <w:b/>
        </w:rPr>
        <w:t xml:space="preserve"> </w:t>
      </w:r>
      <w:r>
        <w:rPr>
          <w:iCs/>
          <w:i/>
          <w:bCs/>
          <w:b/>
        </w:rPr>
        <w:t xml:space="preserve">Esox lucius</w:t>
      </w:r>
      <w:r>
        <w:rPr>
          <w:bCs/>
          <w:b/>
        </w:rPr>
        <w:t xml:space="preserve"> </w:t>
      </w:r>
      <w:r>
        <w:rPr>
          <w:bCs/>
          <w:b/>
        </w:rPr>
        <w:t xml:space="preserve">database artifact.</w:t>
      </w:r>
      <w:r>
        <w:t xml:space="preserve"> </w:t>
      </w:r>
      <w:r>
        <w:t xml:space="preserve">The MiFish 12S barcode cannot reliably distinguish</w:t>
      </w:r>
      <w:r>
        <w:t xml:space="preserve"> </w:t>
      </w:r>
      <w:r>
        <w:rPr>
          <w:iCs/>
          <w:i/>
        </w:rPr>
        <w:t xml:space="preserve">Esox lucius</w:t>
      </w:r>
      <w:r>
        <w:t xml:space="preserve"> </w:t>
      </w:r>
      <w:r>
        <w:t xml:space="preserve">(Northern Pike, native to northern Maine, non-native in most of Massachusetts) from</w:t>
      </w:r>
      <w:r>
        <w:t xml:space="preserve"> </w:t>
      </w:r>
      <w:r>
        <w:rPr>
          <w:iCs/>
          <w:i/>
        </w:rPr>
        <w:t xml:space="preserve">Esox niger</w:t>
      </w:r>
      <w:r>
        <w:t xml:space="preserve"> </w:t>
      </w:r>
      <w:r>
        <w:t xml:space="preserve">(Chain Pickerel, native throughout coastal New England) or</w:t>
      </w:r>
      <w:r>
        <w:t xml:space="preserve"> </w:t>
      </w:r>
      <w:r>
        <w:rPr>
          <w:iCs/>
          <w:i/>
        </w:rPr>
        <w:t xml:space="preserve">Esox americanus</w:t>
      </w:r>
      <w:r>
        <w:t xml:space="preserve"> </w:t>
      </w:r>
      <w:r>
        <w:t xml:space="preserve">(Redfin Pickerel, native). In this dataset, ESV_010000 — the</w:t>
      </w:r>
      <w:r>
        <w:t xml:space="preserve"> </w:t>
      </w:r>
      <w:r>
        <w:rPr>
          <w:iCs/>
          <w:i/>
        </w:rPr>
        <w:t xml:space="preserve">Esox</w:t>
      </w:r>
      <w:r>
        <w:t xml:space="preserve"> </w:t>
      </w:r>
      <w:r>
        <w:t xml:space="preserve">sequence recovered across all batches — returns a 100% match to native pickerel. The</w:t>
      </w:r>
      <w:r>
        <w:t xml:space="preserve"> </w:t>
      </w:r>
      <w:r>
        <w:rPr>
          <w:iCs/>
          <w:i/>
        </w:rPr>
        <w:t xml:space="preserve">Esox lucius</w:t>
      </w:r>
      <w:r>
        <w:t xml:space="preserve"> </w:t>
      </w:r>
      <w:r>
        <w:t xml:space="preserve">species-level database assignment is a reference database artifact, not a confirmed Northern Pike detection. Do not report as Northern Pike or illegal stocking without electrofishing or species-specific PCR confirmation.</w:t>
      </w:r>
    </w:p>
    <w:p>
      <w:pPr>
        <w:pStyle w:val="BodyText"/>
      </w:pPr>
      <w:r>
        <w:rPr>
          <w:bCs/>
          <w:b/>
        </w:rPr>
        <w:t xml:space="preserve">[T3] —</w:t>
      </w:r>
      <w:r>
        <w:rPr>
          <w:bCs/>
          <w:b/>
        </w:rPr>
        <w:t xml:space="preserve"> </w:t>
      </w:r>
      <w:r>
        <w:rPr>
          <w:iCs/>
          <w:i/>
          <w:bCs/>
          <w:b/>
        </w:rPr>
        <w:t xml:space="preserve">Longear Sunfish</w:t>
      </w:r>
      <w:r>
        <w:rPr>
          <w:bCs/>
          <w:b/>
        </w:rPr>
        <w:t xml:space="preserve"> </w:t>
      </w:r>
      <w:r>
        <w:rPr>
          <w:bCs/>
          <w:b/>
        </w:rPr>
        <w:t xml:space="preserve">(</w:t>
      </w:r>
      <w:r>
        <w:rPr>
          <w:iCs/>
          <w:i/>
          <w:bCs/>
          <w:b/>
        </w:rPr>
        <w:t xml:space="preserve">Lepomis megalotis</w:t>
      </w:r>
      <w:r>
        <w:rPr>
          <w:bCs/>
          <w:b/>
        </w:rPr>
        <w:t xml:space="preserve">) database artifact.</w:t>
      </w:r>
      <w:r>
        <w:t xml:space="preserve"> </w:t>
      </w:r>
      <w:r>
        <w:rPr>
          <w:iCs/>
          <w:i/>
        </w:rPr>
        <w:t xml:space="preserve">Lepomis megalotis</w:t>
      </w:r>
      <w:r>
        <w:t xml:space="preserve"> </w:t>
      </w:r>
      <w:r>
        <w:t xml:space="preserve">is native to the Great Lakes and Mississippi drainage — not to New England. Any detection in a Massachusetts or Maine eDNA sample is a database artifact: the MiFish barcode assigns the read to the closest reference database entry, which for certain</w:t>
      </w:r>
      <w:r>
        <w:t xml:space="preserve"> </w:t>
      </w:r>
      <w:r>
        <w:rPr>
          <w:iCs/>
          <w:i/>
        </w:rPr>
        <w:t xml:space="preserve">Lepomis</w:t>
      </w:r>
      <w:r>
        <w:t xml:space="preserve"> </w:t>
      </w:r>
      <w:r>
        <w:t xml:space="preserve">ESVs is</w:t>
      </w:r>
      <w:r>
        <w:t xml:space="preserve"> </w:t>
      </w:r>
      <w:r>
        <w:rPr>
          <w:iCs/>
          <w:i/>
        </w:rPr>
        <w:t xml:space="preserve">L. megalotis</w:t>
      </w:r>
      <w:r>
        <w:t xml:space="preserve"> </w:t>
      </w:r>
      <w:r>
        <w:t xml:space="preserve">rather than the true species (most likely Pumpkinseed</w:t>
      </w:r>
      <w:r>
        <w:t xml:space="preserve"> </w:t>
      </w:r>
      <w:r>
        <w:rPr>
          <w:iCs/>
          <w:i/>
        </w:rPr>
        <w:t xml:space="preserve">L. gibbosus</w:t>
      </w:r>
      <w:r>
        <w:t xml:space="preserve"> </w:t>
      </w:r>
      <w:r>
        <w:t xml:space="preserve">or Bluegill</w:t>
      </w:r>
      <w:r>
        <w:t xml:space="preserve"> </w:t>
      </w:r>
      <w:r>
        <w:rPr>
          <w:iCs/>
          <w:i/>
        </w:rPr>
        <w:t xml:space="preserve">L. macrochirus</w:t>
      </w:r>
      <w:r>
        <w:t xml:space="preserve">). All</w:t>
      </w:r>
      <w:r>
        <w:t xml:space="preserve"> </w:t>
      </w:r>
      <w:r>
        <w:rPr>
          <w:iCs/>
          <w:i/>
        </w:rPr>
        <w:t xml:space="preserve">Longear Sunfish</w:t>
      </w:r>
      <w:r>
        <w:t xml:space="preserve"> </w:t>
      </w:r>
      <w:r>
        <w:t xml:space="preserve">detections in this dataset are treated as misassigned</w:t>
      </w:r>
      <w:r>
        <w:t xml:space="preserve"> </w:t>
      </w:r>
      <w:r>
        <w:rPr>
          <w:iCs/>
          <w:i/>
        </w:rPr>
        <w:t xml:space="preserve">Lepomis</w:t>
      </w:r>
      <w:r>
        <w:t xml:space="preserve"> </w:t>
      </w:r>
      <w:r>
        <w:t xml:space="preserve">spp. and excluded from ecological interpretation.</w:t>
      </w:r>
    </w:p>
    <w:p>
      <w:pPr>
        <w:pStyle w:val="BodyText"/>
      </w:pPr>
      <w:r>
        <w:rPr>
          <w:bCs/>
          <w:b/>
        </w:rPr>
        <w:t xml:space="preserve">[T4] —</w:t>
      </w:r>
      <w:r>
        <w:rPr>
          <w:bCs/>
          <w:b/>
        </w:rPr>
        <w:t xml:space="preserve"> </w:t>
      </w:r>
      <w:r>
        <w:rPr>
          <w:iCs/>
          <w:i/>
          <w:bCs/>
          <w:b/>
        </w:rPr>
        <w:t xml:space="preserve">Fundulus parvipinnis</w:t>
      </w:r>
      <w:r>
        <w:rPr>
          <w:bCs/>
          <w:b/>
        </w:rPr>
        <w:t xml:space="preserve"> </w:t>
      </w:r>
      <w:r>
        <w:rPr>
          <w:bCs/>
          <w:b/>
        </w:rPr>
        <w:t xml:space="preserve">database artifact.</w:t>
      </w:r>
      <w:r>
        <w:t xml:space="preserve"> </w:t>
      </w:r>
      <w:r>
        <w:rPr>
          <w:iCs/>
          <w:i/>
        </w:rPr>
        <w:t xml:space="preserve">Fundulus parvipinnis</w:t>
      </w:r>
      <w:r>
        <w:t xml:space="preserve"> </w:t>
      </w:r>
      <w:r>
        <w:t xml:space="preserve">(California Killifish) is a Pacific coast species with no range east of the Rockies. Any detection in a New England eDNA sample is a database artifact — the barcode assigns these reads to</w:t>
      </w:r>
      <w:r>
        <w:t xml:space="preserve"> </w:t>
      </w:r>
      <w:r>
        <w:rPr>
          <w:iCs/>
          <w:i/>
        </w:rPr>
        <w:t xml:space="preserve">F. parvipinnis</w:t>
      </w:r>
      <w:r>
        <w:t xml:space="preserve"> </w:t>
      </w:r>
      <w:r>
        <w:t xml:space="preserve">as the closest available reference match for an eastern</w:t>
      </w:r>
      <w:r>
        <w:t xml:space="preserve"> </w:t>
      </w:r>
      <w:r>
        <w:rPr>
          <w:iCs/>
          <w:i/>
        </w:rPr>
        <w:t xml:space="preserve">Fundulus</w:t>
      </w:r>
      <w:r>
        <w:t xml:space="preserve"> </w:t>
      </w:r>
      <w:r>
        <w:t xml:space="preserve">ESV (most likely</w:t>
      </w:r>
      <w:r>
        <w:t xml:space="preserve"> </w:t>
      </w:r>
      <w:r>
        <w:rPr>
          <w:iCs/>
          <w:i/>
        </w:rPr>
        <w:t xml:space="preserve">Fundulus heteroclitus</w:t>
      </w:r>
      <w:r>
        <w:t xml:space="preserve">, Mummichog). Exclude from ecological interpretation.</w:t>
      </w:r>
    </w:p>
    <w:p>
      <w:pPr>
        <w:pStyle w:val="BodyText"/>
      </w:pPr>
      <w:r>
        <w:rPr>
          <w:bCs/>
          <w:b/>
        </w:rPr>
        <w:t xml:space="preserve">[T5] — Cormorant fecal eDNA.</w:t>
      </w:r>
      <w:r>
        <w:t xml:space="preserve"> </w:t>
      </w:r>
      <w:r>
        <w:t xml:space="preserve">Double-crested Cormorants (</w:t>
      </w:r>
      <w:r>
        <w:rPr>
          <w:iCs/>
          <w:i/>
        </w:rPr>
        <w:t xml:space="preserve">Phalacrocorax auritus</w:t>
      </w:r>
      <w:r>
        <w:t xml:space="preserve">) forage actively in Manchester Harbor and adjacent coastal waters on Atlantic Menhaden (</w:t>
      </w:r>
      <w:r>
        <w:rPr>
          <w:iCs/>
          <w:i/>
        </w:rPr>
        <w:t xml:space="preserve">Brevoortia</w:t>
      </w:r>
      <w:r>
        <w:t xml:space="preserve"> </w:t>
      </w:r>
      <w:r>
        <w:t xml:space="preserve">spp.), Alewife, and other marine/estuarine fish. Cormorants transit inland waterways and deposit dietary fish DNA via feces. The diagnostic indicator is</w:t>
      </w:r>
      <w:r>
        <w:t xml:space="preserve"> </w:t>
      </w:r>
      <w:r>
        <w:rPr>
          <w:bCs/>
          <w:b/>
        </w:rPr>
        <w:t xml:space="preserve">Atlantic Menhaden</w:t>
      </w:r>
      <w:r>
        <w:t xml:space="preserve"> </w:t>
      </w:r>
      <w:r>
        <w:t xml:space="preserve">— a coastal marine schooling fish with no freshwater range. Any Menhaden detection at an inland freshwater site is evidence of cormorant fecal eDNA input.</w:t>
      </w:r>
      <w:r>
        <w:t xml:space="preserve"> </w:t>
      </w:r>
      <w:r>
        <w:rPr>
          <w:iCs/>
          <w:i/>
        </w:rPr>
        <w:t xml:space="preserve">Xiphister</w:t>
      </w:r>
      <w:r>
        <w:t xml:space="preserve"> </w:t>
      </w:r>
      <w:r>
        <w:t xml:space="preserve">spp. (marine prickleback, intertidal rocky shore) is a secondary corroborating indicator. Alewife detections at sites above the confirmed anadromous limit should be evaluated in light of co-occurring Menhaden signal; if Menhaden is present, Alewife is parsimoniously explained by the same fecal source rather than live fish presence.</w:t>
      </w:r>
    </w:p>
    <w:p>
      <w:pPr>
        <w:pStyle w:val="BodyText"/>
      </w:pPr>
      <w:r>
        <w:rPr>
          <w:bCs/>
          <w:b/>
        </w:rPr>
        <w:t xml:space="preserve">[T6] — Charophyte genus /</w:t>
      </w:r>
      <w:r>
        <w:rPr>
          <w:bCs/>
          <w:b/>
        </w:rPr>
        <w:t xml:space="preserve"> </w:t>
      </w:r>
      <w:r>
        <w:rPr>
          <w:iCs/>
          <w:i/>
          <w:bCs/>
          <w:b/>
        </w:rPr>
        <w:t xml:space="preserve">Nitellopsis obtusa</w:t>
      </w:r>
      <w:r>
        <w:rPr>
          <w:bCs/>
          <w:b/>
        </w:rPr>
        <w:t xml:space="preserve"> </w:t>
      </w:r>
      <w:r>
        <w:rPr>
          <w:bCs/>
          <w:b/>
        </w:rPr>
        <w:t xml:space="preserve">invasive species uncertainty.</w:t>
      </w:r>
      <w:r>
        <w:t xml:space="preserve"> </w:t>
      </w:r>
      <w:r>
        <w:t xml:space="preserve">The 23S rRNA barcode in this dataset resolves the Charophyte (Stonewort) signal to class (Charophyceae) but not to genus. Native</w:t>
      </w:r>
      <w:r>
        <w:t xml:space="preserve"> </w:t>
      </w:r>
      <w:r>
        <w:rPr>
          <w:iCs/>
          <w:i/>
        </w:rPr>
        <w:t xml:space="preserve">Chara</w:t>
      </w:r>
      <w:r>
        <w:t xml:space="preserve"> </w:t>
      </w:r>
      <w:r>
        <w:t xml:space="preserve">spp. and</w:t>
      </w:r>
      <w:r>
        <w:t xml:space="preserve"> </w:t>
      </w:r>
      <w:r>
        <w:rPr>
          <w:iCs/>
          <w:i/>
        </w:rPr>
        <w:t xml:space="preserve">Nitella</w:t>
      </w:r>
      <w:r>
        <w:t xml:space="preserve"> </w:t>
      </w:r>
      <w:r>
        <w:t xml:space="preserve">spp. — clean-water ecological indicators — and invasive</w:t>
      </w:r>
      <w:r>
        <w:t xml:space="preserve"> </w:t>
      </w:r>
      <w:r>
        <w:rPr>
          <w:iCs/>
          <w:i/>
        </w:rPr>
        <w:t xml:space="preserve">Nitellopsis obtusa</w:t>
      </w:r>
      <w:r>
        <w:t xml:space="preserve"> </w:t>
      </w:r>
      <w:r>
        <w:t xml:space="preserve">(Starry Stonewort, regulated invasive in multiple northeastern states, expanding rapidly from Great Lakes origin) are both Charophyceae and cannot be distinguished from this data alone. The top database hit at Golf Course/Sawmill Brook is</w:t>
      </w:r>
      <w:r>
        <w:t xml:space="preserve"> </w:t>
      </w:r>
      <w:r>
        <w:rPr>
          <w:iCs/>
          <w:i/>
        </w:rPr>
        <w:t xml:space="preserve">Nitellopsis obtusa</w:t>
      </w:r>
      <w:r>
        <w:t xml:space="preserve"> </w:t>
      </w:r>
      <w:r>
        <w:t xml:space="preserve">at 95.8% identity — below the species-level threshold of 97%, with only a 0.3% margin over native</w:t>
      </w:r>
      <w:r>
        <w:t xml:space="preserve"> </w:t>
      </w:r>
      <w:r>
        <w:rPr>
          <w:iCs/>
          <w:i/>
        </w:rPr>
        <w:t xml:space="preserve">Chara</w:t>
      </w:r>
      <w:r>
        <w:t xml:space="preserve">/</w:t>
      </w:r>
      <w:r>
        <w:rPr>
          <w:iCs/>
          <w:i/>
        </w:rPr>
        <w:t xml:space="preserve">Nitella</w:t>
      </w:r>
      <w:r>
        <w:t xml:space="preserve">. Anecdotal reports from local ecologists and phycologists indicate that</w:t>
      </w:r>
      <w:r>
        <w:t xml:space="preserve"> </w:t>
      </w:r>
      <w:r>
        <w:rPr>
          <w:iCs/>
          <w:i/>
        </w:rPr>
        <w:t xml:space="preserve">Nitellopsis obtusa</w:t>
      </w:r>
      <w:r>
        <w:t xml:space="preserve"> </w:t>
      </w:r>
      <w:r>
        <w:t xml:space="preserve">has not been documented in Massachusetts. Field morphological identification or species-specific PCR is required before invasive status can be confirmed or ruled out. The Charophyte signal at this site is ecologically significant regardless of species identity — but its management implications depend entirely on the field determination.</w:t>
      </w:r>
    </w:p>
    <w:p>
      <w:pPr>
        <w:pStyle w:val="BodyText"/>
      </w:pPr>
      <w:r>
        <w:rPr>
          <w:bCs/>
          <w:b/>
        </w:rPr>
        <w:t xml:space="preserve">[T7] — eDNA degradation in tidal/saline water.</w:t>
      </w:r>
      <w:r>
        <w:t xml:space="preserve"> </w:t>
      </w:r>
      <w:r>
        <w:t xml:space="preserve">eDNA degrades more rapidly in saline and brackish water than in freshwater, due to elevated enzymatic activity and UV exposure in open tidal reaches. Fish eDNA signals from upstream freshwater sources collected at tidal sampling points may therefore be attenuated relative to the true upstream population signal. Brook Trout detections at Below School St (a tidal sampling point) likely understate upstream Brook Trout abundance. Where possible, sampling locations should be sited upstream of the tidal limit to maximize detection sensitivity for freshwater species.</w:t>
      </w:r>
    </w:p>
    <w:p>
      <w:pPr>
        <w:pStyle w:val="BodyText"/>
      </w:pPr>
      <w:r>
        <w:rPr>
          <w:bCs/>
          <w:b/>
        </w:rPr>
        <w:t xml:space="preserve">[T8] — Read count reliability.</w:t>
      </w:r>
      <w:r>
        <w:t xml:space="preserve"> </w:t>
      </w:r>
      <w:r>
        <w:t xml:space="preserve">eDNA read counts are proportional, not absolute — they represent the fraction of total DNA molecules in a sample matching each species, not fish abundance. Detection reliability scales with both read percentage and total read count. A species at 1% with 50,000 total reads (500 reads) is a reliable detection; the same 1% from only 500 total reads (5 reads) is marginal. In this dataset, total read counts per sample range from ~3,700 (Sawmill Swamp algae) to ~47,870 (Below Lincoln Pool fish). Detections below ~10 reads should be treated with caution regardless of percentage.</w:t>
      </w:r>
    </w:p>
    <w:p>
      <w:pPr>
        <w:pStyle w:val="BodyText"/>
      </w:pPr>
      <w:r>
        <w:rPr>
          <w:bCs/>
          <w:b/>
        </w:rPr>
        <w:t xml:space="preserve">[T9] — Rainbow Smelt anomalous detection (Golf Course/Sawmill Brook, Nov 2023).</w:t>
      </w:r>
      <w:r>
        <w:t xml:space="preserve"> </w:t>
      </w:r>
      <w:r>
        <w:t xml:space="preserve">Rainbow Smelt (</w:t>
      </w:r>
      <w:r>
        <w:rPr>
          <w:iCs/>
          <w:i/>
        </w:rPr>
        <w:t xml:space="preserve">Osmerus mordax</w:t>
      </w:r>
      <w:r>
        <w:t xml:space="preserve">) are anadromous and do enter some Massachusetts coastal streams for late-winter/spring spawning runs, but are not documented in Sawmill Brook or Cat Brook. The 0.2% detection at Golf Course/Sawmill Brook in November is anomalous for this site and season. ESV-level review is needed to confirm whether this represents a genuine smelt detection or a barcode cross-match. Treat as unconfirmed pending ESV verification.</w:t>
      </w:r>
    </w:p>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2026-04-29T01:34:36Z</dcterms:created>
  <dcterms:modified xsi:type="dcterms:W3CDTF">2026-04-29T01:34:36Z</dcterms:modified>
</cp:coreProperties>
</file>

<file path=docProps/custom.xml><?xml version="1.0" encoding="utf-8"?>
<Properties xmlns="http://schemas.openxmlformats.org/officeDocument/2006/custom-properties" xmlns:vt="http://schemas.openxmlformats.org/officeDocument/2006/docPropsVTypes"/>
</file>