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arraguagus-watershed-edna-report"/>
    <w:p>
      <w:pPr>
        <w:pStyle w:val="Heading1"/>
      </w:pPr>
      <w:r>
        <w:t xml:space="preserve">Narraguagus Watershed eDNA Report</w:t>
      </w:r>
    </w:p>
    <w:bookmarkStart w:id="22" w:name="deblois-maine-november-2023"/>
    <w:p>
      <w:pPr>
        <w:pStyle w:val="Heading2"/>
      </w:pPr>
      <w:r>
        <w:t xml:space="preserve">Deblois, Maine — November 2023</w:t>
      </w:r>
    </w:p>
    <w:p>
      <w:r>
        <w:pict>
          <v:rect style="width:0;height:1.5pt" o:hralign="center" o:hrstd="t" o:hr="t"/>
        </w:pict>
      </w:r>
    </w:p>
    <w:bookmarkStart w:id="20" w:name="a-note-on-interpretation"/>
    <w:p>
      <w:pPr>
        <w:pStyle w:val="Heading3"/>
      </w:pPr>
      <w:r>
        <w:t xml:space="preserve">A Note on Interpretation</w:t>
      </w:r>
    </w:p>
    <w:p>
      <w:pPr>
        <w:pStyle w:val="FirstParagraph"/>
      </w:pPr>
      <w:r>
        <w:rPr>
          <w:bCs/>
          <w:b/>
        </w:rPr>
        <w:t xml:space="preserve">This report states only what the data shows.</w:t>
      </w:r>
      <w:r>
        <w:t xml:space="preserve"> </w:t>
      </w:r>
      <w:r>
        <w:t xml:space="preserve">It does not hedge, model, estimate, or speculate beyond the evidence. eDNA is an emerging science and while this is a best-effort analysis there may be mistakes; this preliminary report is shared for feedback more than as established fact. If a species is detected (no matter how unexpected), or not detected, that is what is written. The core of eDNA science is statistical likelihood drawn from billions of complete and fragmented DNA strands — results represent a percentage of detection probability more than a census of individuals, though relative abundance is a natural inference. If a reading is ambiguous, the ambiguity is named and the most likely interpretation is stated directly. Unsupported qualifications are not a substitute for data.</w:t>
      </w:r>
    </w:p>
    <w:p>
      <w:pPr>
        <w:pStyle w:val="BodyText"/>
      </w:pPr>
      <w:r>
        <w:rPr>
          <w:bCs/>
          <w:b/>
        </w:rPr>
        <w:t xml:space="preserve">Methods:</w:t>
      </w:r>
      <w:r>
        <w:t xml:space="preserve"> </w:t>
      </w:r>
      <w:r>
        <w:t xml:space="preserve">All samples were collected using Jonah Ventures (JV) eDNA field kits following recommended field-sterile procedures. All samples were mailed to JV for processing. Fish samples were analyzed using the MiFish 12S rRNA barcode; all samples were also analyzed for algae using the 23S rRNA barcode. Results were processed in MS Excel and later using Artificial Intelligence (Claude) for analysis.</w:t>
      </w:r>
    </w:p>
    <w:p>
      <w:r>
        <w:pict>
          <v:rect style="width:0;height:1.5pt" o:hralign="center" o:hrstd="t" o:hr="t"/>
        </w:pict>
      </w:r>
    </w:p>
    <w:bookmarkEnd w:id="20"/>
    <w:bookmarkStart w:id="21" w:name="how-to-read-this-report"/>
    <w:p>
      <w:pPr>
        <w:pStyle w:val="Heading3"/>
      </w:pPr>
      <w:r>
        <w:t xml:space="preserve">How to Read This Report</w:t>
      </w:r>
    </w:p>
    <w:p>
      <w:pPr>
        <w:pStyle w:val="FirstParagraph"/>
      </w:pPr>
      <w:r>
        <w:rPr>
          <w:bCs/>
          <w:b/>
        </w:rPr>
        <w:t xml:space="preserve">Fish eDNA is the center of this report.</w:t>
      </w:r>
      <w:r>
        <w:t xml:space="preserve"> </w:t>
      </w:r>
      <w:r>
        <w:t xml:space="preserve">Fish integrate conditions over years — their presence or absence at a site reflects whether the habitat has been livable long enough to support recruitment, growth, and community assembly. Brook Trout (</w:t>
      </w:r>
      <w:r>
        <w:rPr>
          <w:iCs/>
          <w:i/>
        </w:rPr>
        <w:t xml:space="preserve">Salvelinus fontinalis</w:t>
      </w:r>
      <w:r>
        <w:t xml:space="preserve">) is the primary sentinel: cold, clean, well-oxygenated water. Where Brook Trout are found, the watershed is working. Where they are absent, the report asks why.</w:t>
      </w:r>
    </w:p>
    <w:p>
      <w:pPr>
        <w:pStyle w:val="BodyText"/>
      </w:pPr>
      <w:r>
        <w:t xml:space="preserve">Algal reports deepen this focus and add an additional layer of insight. Key species that mark clean, high-quality water further illustrate Brook Trout-friendly conditions. Algae are the base of the food web, responding within days to light, temperature, pH, and nutrients. Together, fish and algae tell a story neither can tell alone.</w:t>
      </w:r>
    </w:p>
    <w:p>
      <w:pPr>
        <w:pStyle w:val="BodyText"/>
      </w:pPr>
      <w:r>
        <w:rPr>
          <w:bCs/>
          <w:b/>
        </w:rPr>
        <w:t xml:space="preserve">Shannon diversity</w:t>
      </w:r>
      <w:r>
        <w:t xml:space="preserve"> </w:t>
      </w:r>
      <w:r>
        <w:t xml:space="preserve">was calculated separately for fish communities,</w:t>
      </w:r>
      <w:r>
        <w:t xml:space="preserve"> </w:t>
      </w:r>
      <w:r>
        <w:rPr>
          <w:bCs/>
          <w:b/>
        </w:rPr>
        <w:t xml:space="preserve">H(f)</w:t>
      </w:r>
      <w:r>
        <w:t xml:space="preserve">, and algal communities,</w:t>
      </w:r>
      <w:r>
        <w:t xml:space="preserve"> </w:t>
      </w:r>
      <w:r>
        <w:rPr>
          <w:bCs/>
          <w:b/>
        </w:rPr>
        <w:t xml:space="preserve">H(a)</w:t>
      </w:r>
      <w:r>
        <w:t xml:space="preserve">, using the Shannon index: H = −Σ pᵢ ln(pᵢ), where pᵢ is the proportion of total accepted reads assigned to taxon i within a sample. The index increases when more taxa are detected and when read counts are more evenly distributed among taxa. In this eDNA context, Shannon diversity should be interpreted as a standardized measure of detected community diversity based on relative read representation, not as a direct census of organism abundance. Higher values may indicate a more diverse and evenly represented biological signal, but interpretation as environmental quality requires comparison among sites, seasons, controls, and supporting ecological evidence. Shannon diversity is a widely used community-diversity metric that can support ecological interpretation when compared across samples and paired with other evidence.</w:t>
      </w:r>
    </w:p>
    <w:p>
      <w:pPr>
        <w:pStyle w:val="BodyText"/>
      </w:pPr>
      <w:r>
        <w:rPr>
          <w:bCs/>
          <w:b/>
        </w:rPr>
        <w:t xml:space="preserve">Ecological complexity</w:t>
      </w:r>
      <w:r>
        <w:t xml:space="preserve"> </w:t>
      </w:r>
      <w:r>
        <w:t xml:space="preserve">is highly favorable to healthy ecosystems. Complex systems are more robust, more durable, more adaptable to environmental change, and more capable of supporting migration and reproduction — and rich sources of food at all trophic levels. Shannon Diversity (H) captures this: higher values mean more species contributing meaningfully to the community — not one dominant species and noise.</w:t>
      </w:r>
    </w:p>
    <w:p>
      <w:pPr>
        <w:pStyle w:val="BodyText"/>
      </w:pPr>
      <w:r>
        <w:rPr>
          <w:bCs/>
          <w:b/>
        </w:rPr>
        <w:t xml:space="preserve">Water chemistry</w:t>
      </w:r>
      <w:r>
        <w:t xml:space="preserve"> </w:t>
      </w:r>
      <w:r>
        <w:t xml:space="preserve">values are inferred from biological indicator species unless otherwise stated — directionally reliable but not a substitute for direct measurement. †Field pH and temperature readings were made with a Vivosun handheld pH meter; values are uncalibrated, approximate (±0.5–1.0 pH unit).</w:t>
      </w:r>
    </w:p>
    <w:p>
      <w:r>
        <w:pict>
          <v:rect style="width:0;height:1.5pt" o:hralign="center" o:hrstd="t" o:hr="t"/>
        </w:pict>
      </w:r>
    </w:p>
    <w:bookmarkEnd w:id="21"/>
    <w:bookmarkEnd w:id="22"/>
    <w:bookmarkEnd w:id="23"/>
    <w:bookmarkStart w:id="52" w:name="maine-narraguagus-watershed-overview"/>
    <w:p>
      <w:pPr>
        <w:pStyle w:val="Heading1"/>
      </w:pPr>
      <w:r>
        <w:t xml:space="preserve">1. Maine — Narraguagus Watershed — Overview</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Here, two out of five locations have brook trout DNA and salmon DNA is found in one location. All five sites are analyzed using both fish (MiFish 12S) and algal (23S rRNA). Algal community composition provides independent inference of water temperature, pH, dissolved oxygen, and nutrient status, substantially deepening the ecological interpretation beyond fish alone.</w:t>
      </w:r>
    </w:p>
    <w:p>
      <w:pPr>
        <w:pStyle w:val="BodyText"/>
      </w:pPr>
      <w:r>
        <w:rPr>
          <w:bCs/>
          <w:b/>
        </w:rPr>
        <w:t xml:space="preserve">Brook Trout status: Detected. Atlantic Salmon status: Detected.</w:t>
      </w:r>
    </w:p>
    <w:p>
      <w:r>
        <w:pict>
          <v:rect style="width:0;height:1.5pt" o:hralign="center" o:hrstd="t" o:hr="t"/>
        </w:pict>
      </w:r>
    </w:p>
    <w:bookmarkStart w:id="28" w:name="narraguagus-rt-193-ca66thtz.1"/>
    <w:p>
      <w:pPr>
        <w:pStyle w:val="Heading2"/>
      </w:pPr>
      <w:r>
        <w:t xml:space="preserve">Narraguagus Rt 193 | CA66THTZ.1</w:t>
      </w:r>
    </w:p>
    <w:p>
      <w:pPr>
        <w:pStyle w:val="FirstParagraph"/>
      </w:pPr>
      <w:r>
        <w:rPr>
          <w:bCs/>
          <w:b/>
        </w:rPr>
        <w:t xml:space="preserve">Fish: 19 species, H(f) = 2.16 (highest in ME) | Algae: 117 ESVs, H(a) = 3.86</w:t>
      </w:r>
    </w:p>
    <w:p>
      <w:pPr>
        <w:pStyle w:val="BodyText"/>
      </w:pPr>
      <w:r>
        <w:rPr>
          <w:bCs/>
          <w:b/>
        </w:rPr>
        <w:t xml:space="preserve">Brook Trout: Absent</w:t>
      </w:r>
    </w:p>
    <w:bookmarkStart w:id="24" w:name="sentinel-signal"/>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24"/>
    <w:bookmarkStart w:id="25"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 (recorded)</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 (recorded)</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pH (inferred)</w:t>
            </w:r>
          </w:p>
        </w:tc>
        <w:tc>
          <w:tcPr/>
          <w:p>
            <w:pPr>
              <w:pStyle w:val="Compact"/>
              <w:jc w:val="left"/>
            </w:pPr>
            <w:r>
              <w:t xml:space="preserve">6.0–7.0</w:t>
            </w:r>
          </w:p>
        </w:tc>
        <w:tc>
          <w:tcPr/>
          <w:p>
            <w:pPr>
              <w:pStyle w:val="Compact"/>
              <w:jc w:val="left"/>
            </w:pPr>
            <w:r>
              <w:t xml:space="preserve">Mainstem; cryptophyte + centric diatom assemblage</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25"/>
    <w:bookmarkStart w:id="26" w:name="narrative"/>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w:t>
      </w:r>
      <w:r>
        <w:rPr>
          <w:iCs/>
          <w:i/>
        </w:rPr>
        <w:t xml:space="preserve">Alosa pseudoharengus</w:t>
      </w:r>
      <w:r>
        <w:t xml:space="preserve">, 26.3%) is the dominant taxon — ocean fish that ascend rivers in spring to spawn. Species identity confirmed at 100% ESV match.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w:t>
      </w:r>
      <w:r>
        <w:t xml:space="preserve"> </w:t>
      </w:r>
      <w:r>
        <w:rPr>
          <w:iCs/>
          <w:i/>
        </w:rPr>
        <w:t xml:space="preserve">Esox</w:t>
      </w:r>
      <w:r>
        <w:t xml:space="preserve"> </w:t>
      </w:r>
      <w:r>
        <w:t xml:space="preserve">spp. (3.6%), 19 species total — reflects a complete, multi-guild community from benthic feeders to apex predators. The</w:t>
      </w:r>
      <w:r>
        <w:t xml:space="preserve"> </w:t>
      </w:r>
      <w:r>
        <w:rPr>
          <w:iCs/>
          <w:i/>
        </w:rPr>
        <w:t xml:space="preserve">Esox</w:t>
      </w:r>
      <w:r>
        <w:t xml:space="preserve"> </w:t>
      </w:r>
      <w:r>
        <w:t xml:space="preserve">detection is unresolved at species level; in Washington County, Maine, Chain Pickerel (</w:t>
      </w:r>
      <w:r>
        <w:rPr>
          <w:iCs/>
          <w:i/>
        </w:rPr>
        <w:t xml:space="preserve">E. niger</w:t>
      </w:r>
      <w:r>
        <w:t xml:space="preserve">) is the most likely candidate. H(f) = 2.16 is the highest fish Shannon Diversity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26"/>
    <w:bookmarkStart w:id="27" w:name="native-vs.-non-native"/>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bookmarkEnd w:id="27"/>
    <w:bookmarkEnd w:id="28"/>
    <w:bookmarkStart w:id="33" w:name="Xcbf2395242071db3af8730dfe8af325adeb5124"/>
    <w:p>
      <w:pPr>
        <w:pStyle w:val="Heading2"/>
      </w:pPr>
      <w:r>
        <w:t xml:space="preserve">West Branch Narraguagus River @ Sprague’s Falls | CY92PPTX.1</w:t>
      </w:r>
    </w:p>
    <w:p>
      <w:pPr>
        <w:pStyle w:val="FirstParagraph"/>
      </w:pPr>
      <w:r>
        <w:rPr>
          <w:bCs/>
          <w:b/>
        </w:rPr>
        <w:t xml:space="preserve">Fish: 14 species, H(f) = 1.94 | Algae: 201 ESVs, H(a) = 4.55 (highest in dataset)</w:t>
      </w:r>
    </w:p>
    <w:p>
      <w:pPr>
        <w:pStyle w:val="BodyText"/>
      </w:pPr>
      <w:r>
        <w:rPr>
          <w:bCs/>
          <w:b/>
        </w:rPr>
        <w:t xml:space="preserve">Brook Trout: Present</w:t>
      </w:r>
    </w:p>
    <w:bookmarkStart w:id="29" w:name="sentinel-signal-1"/>
    <w:p>
      <w:pPr>
        <w:pStyle w:val="Heading3"/>
      </w:pPr>
      <w:r>
        <w:t xml:space="preserve">Sentinel Signal</w:t>
      </w:r>
    </w:p>
    <w:p>
      <w:pPr>
        <w:pStyle w:val="FirstParagraph"/>
      </w:pPr>
      <w:r>
        <w:t xml:space="preserve">Finescale Dace +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29"/>
    <w:bookmarkStart w:id="30"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 (recorded)</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 (recorded)</w:t>
            </w:r>
          </w:p>
        </w:tc>
        <w:tc>
          <w:tcPr/>
          <w:p>
            <w:pPr>
              <w:pStyle w:val="Compact"/>
              <w:jc w:val="left"/>
            </w:pPr>
            <w:r>
              <w:rPr>
                <w:bCs/>
                <w:b/>
              </w:rPr>
              <w:t xml:space="preserve">44.0°F (6.7°C)</w:t>
            </w:r>
          </w:p>
        </w:tc>
        <w:tc>
          <w:tcPr/>
          <w:p>
            <w:pPr>
              <w:pStyle w:val="Compact"/>
              <w:jc w:val="left"/>
            </w:pPr>
            <w:r>
              <w:rPr>
                <w:bCs/>
                <w:b/>
              </w:rPr>
              <w:t xml:space="preserve">Field measurement†</w:t>
            </w:r>
          </w:p>
        </w:tc>
      </w:tr>
      <w:tr>
        <w:tc>
          <w:tcPr/>
          <w:p>
            <w:pPr>
              <w:pStyle w:val="Compact"/>
              <w:jc w:val="left"/>
            </w:pPr>
            <w:r>
              <w:t xml:space="preserve">pH (inferred)</w:t>
            </w:r>
          </w:p>
        </w:tc>
        <w:tc>
          <w:tcPr/>
          <w:p>
            <w:pPr>
              <w:pStyle w:val="Compact"/>
              <w:jc w:val="left"/>
            </w:pPr>
            <w:r>
              <w:t xml:space="preserve">5.5–6.5</w:t>
            </w:r>
          </w:p>
        </w:tc>
        <w:tc>
          <w:tcPr/>
          <w:p>
            <w:pPr>
              <w:pStyle w:val="Compact"/>
              <w:jc w:val="left"/>
            </w:pPr>
            <w:r>
              <w:t xml:space="preserve">Native soft-water fish guild; diverse diatoms</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 water;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note:</w:t>
      </w:r>
      <w:r>
        <w:t xml:space="preserve"> </w:t>
      </w:r>
      <w:r>
        <w:t xml:space="preserve">Recorded pH is below the biologically inferred range (5.5–6.5). At pH 5.09, adult Brook Trout survive and are detected (1.9%), but episodic acid pulses during spring snowmelt can suppress egg and fry survival. The recorded value suggests the West Branch is more acidic than the fish guild alone implies — consistent with a site at the boundary of viable Brook Trout reproduction.</w:t>
      </w:r>
    </w:p>
    <w:bookmarkEnd w:id="30"/>
    <w:bookmarkStart w:id="31" w:name="narrative-1"/>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31"/>
    <w:bookmarkStart w:id="32" w:name="native-vs.-non-native-1"/>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bookmarkEnd w:id="32"/>
    <w:bookmarkEnd w:id="33"/>
    <w:bookmarkStart w:id="39" w:name="crotch-camp-brook-cntlvpx4.1"/>
    <w:p>
      <w:pPr>
        <w:pStyle w:val="Heading2"/>
      </w:pPr>
      <w:r>
        <w:t xml:space="preserve">Crotch Camp Brook | CNTLVPX4.1</w:t>
      </w:r>
    </w:p>
    <w:p>
      <w:pPr>
        <w:pStyle w:val="FirstParagraph"/>
      </w:pPr>
      <w:r>
        <w:rPr>
          <w:bCs/>
          <w:b/>
        </w:rPr>
        <w:t xml:space="preserve">Fish: 9 species, H(f) = 1.69 | Algae: 76 ESVs, H(a) = 2.30</w:t>
      </w:r>
    </w:p>
    <w:p>
      <w:pPr>
        <w:pStyle w:val="BodyText"/>
      </w:pPr>
      <w:r>
        <w:rPr>
          <w:bCs/>
          <w:b/>
        </w:rPr>
        <w:t xml:space="preserve">Brook Trout: Present</w:t>
      </w:r>
    </w:p>
    <w:bookmarkStart w:id="34" w:name="sentinel-signal-2"/>
    <w:p>
      <w:pPr>
        <w:pStyle w:val="Heading3"/>
      </w:pPr>
      <w:r>
        <w:t xml:space="preserve">Sentinel Signal</w:t>
      </w:r>
    </w:p>
    <w:p>
      <w:pPr>
        <w:pStyle w:val="FirstParagraph"/>
      </w:pPr>
      <w:r>
        <w:t xml:space="preserve">Synura at 74% dominance +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w:t>
      </w:r>
    </w:p>
    <w:bookmarkEnd w:id="34"/>
    <w:bookmarkStart w:id="35"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 (recorded)</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 (recorded)</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pH (inferred)</w:t>
            </w:r>
          </w:p>
        </w:tc>
        <w:tc>
          <w:tcPr/>
          <w:p>
            <w:pPr>
              <w:pStyle w:val="Compact"/>
              <w:jc w:val="left"/>
            </w:pPr>
            <w:r>
              <w:t xml:space="preserve">5.5–7.0</w:t>
            </w:r>
          </w:p>
        </w:tc>
        <w:tc>
          <w:tcPr/>
          <w:p>
            <w:pPr>
              <w:pStyle w:val="Compact"/>
              <w:jc w:val="left"/>
            </w:pPr>
            <w:r>
              <w:t xml:space="preserve">Synura optimal range</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bookmarkEnd w:id="35"/>
    <w:bookmarkStart w:id="36" w:name="narrative-2"/>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(Colonial Synurophyte) accounts for 74.4% of all algal reads.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The fish community is moderate and ecologically coherent for this habitat type: Ninespine Stickleback (35.2%), Creek Chub (25.0%), Brook Trout (16.9%), Redbreast Sunfish (9.9%).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36"/>
    <w:bookmarkStart w:id="38" w:name="native-vs.-non-native-2"/>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Brook Trout eDNA confirmed (</w:t>
      </w:r>
      <w:r>
        <w:rPr>
          <w:iCs/>
          <w:i/>
        </w:rPr>
        <w:t xml:space="preserve">Salvelinus</w:t>
      </w:r>
      <w:r>
        <w:t xml:space="preserve"> </w:t>
      </w:r>
      <w:r>
        <w:t xml:space="preserve">spp., 100% match).</w:t>
      </w:r>
      <w:r>
        <w:rPr>
          <w:rStyle w:val="FootnoteReference"/>
        </w:rPr>
        <w:footnoteReference w:id="37"/>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bookmarkEnd w:id="38"/>
    <w:bookmarkEnd w:id="39"/>
    <w:bookmarkStart w:id="44" w:name="unt-lane-rd-cnr7wzyj.1"/>
    <w:p>
      <w:pPr>
        <w:pStyle w:val="Heading2"/>
      </w:pPr>
      <w:r>
        <w:t xml:space="preserve">UNT Lane Rd | CNR7WZYJ.1</w:t>
      </w:r>
    </w:p>
    <w:p>
      <w:pPr>
        <w:pStyle w:val="FirstParagraph"/>
      </w:pPr>
      <w:r>
        <w:rPr>
          <w:bCs/>
          <w:b/>
        </w:rPr>
        <w:t xml:space="preserve">Fish: 1 species, H(f) = 0.00 | Algae: 77 ESVs, H(a) = 3.16 | Recorded pH: 3.73</w:t>
      </w:r>
    </w:p>
    <w:p>
      <w:pPr>
        <w:pStyle w:val="BodyText"/>
      </w:pPr>
      <w:r>
        <w:rPr>
          <w:bCs/>
          <w:b/>
        </w:rPr>
        <w:t xml:space="preserve">Brook Trout: Absent</w:t>
      </w:r>
    </w:p>
    <w:bookmarkStart w:id="40" w:name="sentinel-signal-3"/>
    <w:p>
      <w:pPr>
        <w:pStyle w:val="Heading3"/>
      </w:pPr>
      <w:r>
        <w:t xml:space="preserve">Sentinel Signal</w:t>
      </w:r>
    </w:p>
    <w:p>
      <w:pPr>
        <w:pStyle w:val="FirstParagraph"/>
      </w:pPr>
      <w:r>
        <w:t xml:space="preserve">American Eel alone + measured pH 3.73 =</w:t>
      </w:r>
      <w:r>
        <w:t xml:space="preserve"> </w:t>
      </w:r>
      <w:r>
        <w:rPr>
          <w:bCs/>
          <w:b/>
        </w:rPr>
        <w:t xml:space="preserve">acute acid exclusion of fish community</w:t>
      </w:r>
      <w:r>
        <w:t xml:space="preserve">. pH 3.73 is below the lethal threshold for virtually all freshwater fish. American Eel is among the most acid-tolerant vertebrates in the northeastern freshwater system and is the only fish capable of persisting at these conditions.</w:t>
      </w:r>
    </w:p>
    <w:bookmarkEnd w:id="40"/>
    <w:bookmarkStart w:id="41"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 (recorded)</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 (recorded)</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pH (inferred)</w:t>
            </w:r>
          </w:p>
        </w:tc>
        <w:tc>
          <w:tcPr/>
          <w:p>
            <w:pPr>
              <w:pStyle w:val="Compact"/>
              <w:jc w:val="left"/>
            </w:pPr>
            <w:r>
              <w:t xml:space="preserve">3.5–4.5</w:t>
            </w:r>
          </w:p>
        </w:tc>
        <w:tc>
          <w:tcPr/>
          <w:p>
            <w:pPr>
              <w:pStyle w:val="Compact"/>
              <w:jc w:val="left"/>
            </w:pPr>
            <w:r>
              <w:t xml:space="preserve">Acid-tolerant diatom community; eel-only fish exclusion</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Inferred — acid systems retain P in sediment</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Inferred — American Eel present</w:t>
            </w:r>
          </w:p>
        </w:tc>
      </w:tr>
    </w:tbl>
    <w:bookmarkEnd w:id="41"/>
    <w:bookmarkStart w:id="42" w:name="narrative-3"/>
    <w:p>
      <w:pPr>
        <w:pStyle w:val="Heading3"/>
      </w:pPr>
      <w:r>
        <w:t xml:space="preserve">Narrative</w:t>
      </w:r>
    </w:p>
    <w:p>
      <w:pPr>
        <w:pStyle w:val="FirstParagraph"/>
      </w:pPr>
      <w:r>
        <w:t xml:space="preserve">pH 3.73 is at or below the threshold where most freshwater fish cannot survive. Brook Trout are excluded below approximately pH 4.5–5.0; most cyprinids below pH 5.5–6.0. The single-species fish result — American Eel at 100% —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The algal community appears moderately diverse (H(a) = 3.16, 77 ESVs) despite chemistry that excludes virtually all fish — algae are far more acid-tolerant than fish. Acid-tolerant diatoms, Cryptophytes, and Chromulina can persist at pH 3.5–4.5.</w:t>
      </w:r>
      <w:r>
        <w:t xml:space="preserve"> </w:t>
      </w:r>
      <w:r>
        <w:rPr>
          <w:iCs/>
          <w:i/>
        </w:rPr>
        <w:t xml:space="preserve">Halamphora coffeaeformis</w:t>
      </w:r>
      <w:r>
        <w:t xml:space="preserve"> </w:t>
      </w:r>
      <w:r>
        <w:t xml:space="preserve">(14.9% of algal reads) is a database-assigned marine/brackish taxon that at this inland site almost certainly represents an acid-tolerant freshwater</w:t>
      </w:r>
      <w:r>
        <w:t xml:space="preserve"> </w:t>
      </w:r>
      <w:r>
        <w:rPr>
          <w:iCs/>
          <w:i/>
        </w:rPr>
        <w:t xml:space="preserve">Halamphora</w:t>
      </w:r>
      <w:r>
        <w:t xml:space="preserve"> </w:t>
      </w:r>
      <w:r>
        <w:t xml:space="preserve">species misassigned by the reference database.</w:t>
      </w:r>
    </w:p>
    <w:p>
      <w:pPr>
        <w:pStyle w:val="BodyText"/>
      </w:pPr>
      <w:r>
        <w:t xml:space="preserve">pH 3.73 may be natural: ombrotrophic bogs in Maine commonly reach pH 3.5–4.5 from organic acid accumulation. UNT Lane Rd’s position relative to the Worcester Peat Mine is ambiguous — topographic analysis shows no drainage divide between the mine area and UNT, but McCoy Brook may intercept mine drainage before it reaches UNT. The pH values at McCoy (3.54) and UNT (3.73) are similar enough to be consistent with either a shared mine influence or two independent bog-drainage systems. Definitive source attribution requires field tracing.</w:t>
      </w:r>
    </w:p>
    <w:p>
      <w:pPr>
        <w:pStyle w:val="BodyText"/>
      </w:pPr>
      <w:r>
        <w:t xml:space="preserve">Whether natural or mine-influenced, pH 3.73 is a permanent barrier to Brook Trout at this reach under current conditions.</w:t>
      </w:r>
    </w:p>
    <w:bookmarkEnd w:id="42"/>
    <w:bookmarkStart w:id="43" w:name="native-vs.-non-native-3"/>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bookmarkEnd w:id="43"/>
    <w:bookmarkEnd w:id="44"/>
    <w:bookmarkStart w:id="49" w:name="mccoy-brook-cswee3dx.1"/>
    <w:p>
      <w:pPr>
        <w:pStyle w:val="Heading2"/>
      </w:pPr>
      <w:r>
        <w:t xml:space="preserve">McCoy Brook | CSWEE3DX.1</w:t>
      </w:r>
    </w:p>
    <w:p>
      <w:pPr>
        <w:pStyle w:val="FirstParagraph"/>
      </w:pPr>
      <w:r>
        <w:rPr>
          <w:bCs/>
          <w:b/>
        </w:rPr>
        <w:t xml:space="preserve">Fish: 1 species, H(f) = 0.00 | Algae: 91 ESVs, H(a) = 3.28 | Recorded pH: 3.54 | Temp: 41.3°F (5.2°C)</w:t>
      </w:r>
    </w:p>
    <w:p>
      <w:pPr>
        <w:pStyle w:val="BodyText"/>
      </w:pPr>
      <w:r>
        <w:rPr>
          <w:bCs/>
          <w:b/>
        </w:rPr>
        <w:t xml:space="preserve">Brook Trout: Absent</w:t>
      </w:r>
    </w:p>
    <w:p>
      <w:pPr>
        <w:pStyle w:val="BodyText"/>
      </w:pPr>
      <w:r>
        <w:rPr>
          <w:bCs/>
          <w:b/>
        </w:rPr>
        <w:t xml:space="preserve">Note:</w:t>
      </w:r>
      <w:r>
        <w:t xml:space="preserve"> </w:t>
      </w:r>
      <w:r>
        <w:t xml:space="preserve">pH 3.54 is the most acidic sample in this study — it may also be among the most acidic waters in the state.</w:t>
      </w:r>
    </w:p>
    <w:bookmarkStart w:id="45" w:name="sentinel-signal-4"/>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45"/>
    <w:bookmarkStart w:id="46" w:name="measured-inferred-water-chemistry-4"/>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 (recorded)</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 (recorded)</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Inferred — 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Inferred — 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Inferred — 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and forest drainage</w:t>
            </w:r>
          </w:p>
        </w:tc>
      </w:tr>
    </w:tbl>
    <w:bookmarkEnd w:id="46"/>
    <w:bookmarkStart w:id="47" w:name="narrative-4"/>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47"/>
    <w:bookmarkStart w:id="48" w:name="native-vs.-non-native-4"/>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presumably the Worcester Peat Mine operation.</w:t>
      </w:r>
    </w:p>
    <w:p>
      <w:pPr>
        <w:pStyle w:val="BodyText"/>
      </w:pPr>
      <w:r>
        <w:t xml:space="preserve">An active industrial peat extraction operation upstream — Worcester Peat Mining — has been operating for well over a decade and is presumably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bookmarkEnd w:id="48"/>
    <w:bookmarkEnd w:id="49"/>
    <w:bookmarkStart w:id="50"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990"/>
        <w:gridCol w:w="990"/>
        <w:gridCol w:w="990"/>
        <w:gridCol w:w="990"/>
        <w:gridCol w:w="990"/>
        <w:gridCol w:w="990"/>
        <w:gridCol w:w="990"/>
        <w:gridCol w:w="990"/>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pH (rec.)</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6.25</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5.09</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5.17</w:t>
            </w:r>
          </w:p>
        </w:tc>
        <w:tc>
          <w:tcPr/>
          <w:p>
            <w:pPr>
              <w:pStyle w:val="Compact"/>
              <w:jc w:val="left"/>
            </w:pPr>
            <w:r>
              <w:t xml:space="preserve">Synura 74% + Brook Trout</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3.73</w:t>
            </w:r>
          </w:p>
        </w:tc>
        <w:tc>
          <w:tcPr/>
          <w:p>
            <w:pPr>
              <w:pStyle w:val="Compact"/>
              <w:jc w:val="left"/>
            </w:pPr>
            <w:r>
              <w:t xml:space="preserve">Eel only + pH 3.73</w:t>
            </w:r>
          </w:p>
        </w:tc>
        <w:tc>
          <w:tcPr/>
          <w:p>
            <w:pPr>
              <w:pStyle w:val="Compact"/>
              <w:jc w:val="left"/>
            </w:pPr>
            <w:r>
              <w:rPr>
                <w:bCs/>
                <w:b/>
              </w:rPr>
              <w:t xml:space="preserve">Impaired — pH 3.73 — acid exclusion</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3.54</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H(f) ranges from 0.00 (single-species sites) to 2.16. Shannon Diversity of zero does not mean biological death — McCoy Brook has Creek Chub, UNT Lane Rd has Eel — it means the entire detectable fish community is a single species, which is itself an ecological signal.</w:t>
      </w:r>
    </w:p>
    <w:p>
      <w:pPr>
        <w:pStyle w:val="BodyText"/>
      </w:pPr>
      <w:r>
        <w:t xml:space="preserve">The Maine gradient runs from severe acid impairment (McCoy Brook, pH 3.54; UNT Lane Rd, pH 3.73) through oligotrophic soft-water limitation (Crotch Camp Brook, pH 5.17) to borderline Brook Trout reproduction conditions (West Branch, pH 5.09) to full ecological function with anadromous connectivity (Narraguagus Rt 193, pH 6.25). Acidification is the primary stressor at three of five sites. All detected fish are native. Where chemistry is adequate and ocean connectivity is intact, the system assembles a complete, multi-guild native fish community — from headwater dace to mainstem salmon — on a complex algal foundation.</w:t>
      </w:r>
    </w:p>
    <w:p>
      <w:r>
        <w:pict>
          <v:rect style="width:0;height:1.5pt" o:hralign="center" o:hrstd="t" o:hr="t"/>
        </w:pict>
      </w:r>
    </w:p>
    <w:bookmarkEnd w:id="50"/>
    <w:bookmarkStart w:id="51" w:name="detailed-species-detection-table"/>
    <w:p>
      <w:pPr>
        <w:pStyle w:val="Heading2"/>
      </w:pPr>
      <w:r>
        <w:t xml:space="preserve">Detailed Species Detection Table</w:t>
      </w:r>
    </w:p>
    <w:p>
      <w:pPr>
        <w:pStyle w:val="FirstParagraph"/>
      </w:pPr>
      <w:r>
        <w:t xml:space="preserve">All five Narraguagus/Deblois sites. Read counts are fish-only (Actinopteri) unless noted. Percentages are per-site (reads ÷ total Actinopteri reads at that site). Site codes:</w:t>
      </w:r>
      <w:r>
        <w:t xml:space="preserve"> </w:t>
      </w:r>
      <w:r>
        <w:rPr>
          <w:bCs/>
          <w:b/>
        </w:rPr>
        <w:t xml:space="preserve">SF</w:t>
      </w:r>
      <w:r>
        <w:t xml:space="preserve"> </w:t>
      </w:r>
      <w:r>
        <w:t xml:space="preserve">= West Branch @ Sprague’s Falls (n = 28,465);</w:t>
      </w:r>
      <w:r>
        <w:t xml:space="preserve"> </w:t>
      </w:r>
      <w:r>
        <w:rPr>
          <w:bCs/>
          <w:b/>
        </w:rPr>
        <w:t xml:space="preserve">CC</w:t>
      </w:r>
      <w:r>
        <w:t xml:space="preserve"> </w:t>
      </w:r>
      <w:r>
        <w:t xml:space="preserve">= Crotch Camp Creek (n = 35,496);</w:t>
      </w:r>
      <w:r>
        <w:t xml:space="preserve"> </w:t>
      </w:r>
      <w:r>
        <w:rPr>
          <w:bCs/>
          <w:b/>
        </w:rPr>
        <w:t xml:space="preserve">UNT</w:t>
      </w:r>
      <w:r>
        <w:t xml:space="preserve"> </w:t>
      </w:r>
      <w:r>
        <w:t xml:space="preserve">= UNT Lane Rd Deblois (n = 426);</w:t>
      </w:r>
      <w:r>
        <w:t xml:space="preserve"> </w:t>
      </w:r>
      <w:r>
        <w:rPr>
          <w:bCs/>
          <w:b/>
        </w:rPr>
        <w:t xml:space="preserve">MB</w:t>
      </w:r>
      <w:r>
        <w:t xml:space="preserve"> </w:t>
      </w:r>
      <w:r>
        <w:t xml:space="preserve">= McCoy Brook (n = 5,841);</w:t>
      </w:r>
      <w:r>
        <w:t xml:space="preserve"> </w:t>
      </w:r>
      <w:r>
        <w:rPr>
          <w:bCs/>
          <w:b/>
        </w:rPr>
        <w:t xml:space="preserve">R193</w:t>
      </w:r>
      <w:r>
        <w:t xml:space="preserve"> </w:t>
      </w:r>
      <w:r>
        <w:t xml:space="preserve">= Narraguagus Rt 193 (n = 40,026). Dash (—) = not detected. Multiple ESVs for the same taxon are summed. Match % reflects the highest-scoring ESV.</w:t>
      </w:r>
    </w:p>
    <w:tbl>
      <w:tblPr>
        <w:tblStyle w:val="Table"/>
        <w:tblW w:type="pct" w:w="5000"/>
        <w:tblLook w:firstRow="1" w:lastRow="0" w:firstColumn="0" w:lastColumn="0" w:noHBand="0" w:noVBand="0" w:val="0020"/>
        <w:jc w:val="start"/>
        <w:tblLayout w:type="fixed"/>
      </w:tblPr>
      <w:tblGrid>
        <w:gridCol w:w="660"/>
        <w:gridCol w:w="880"/>
        <w:gridCol w:w="880"/>
        <w:gridCol w:w="880"/>
        <w:gridCol w:w="880"/>
        <w:gridCol w:w="880"/>
        <w:gridCol w:w="1100"/>
        <w:gridCol w:w="1100"/>
        <w:gridCol w:w="660"/>
      </w:tblGrid>
      <w:tr>
        <w:trPr>
          <w:tblHeader w:val="true"/>
        </w:trPr>
        <w:tc>
          <w:tcPr/>
          <w:p>
            <w:pPr>
              <w:pStyle w:val="Compact"/>
              <w:jc w:val="left"/>
            </w:pPr>
            <w:r>
              <w:t xml:space="preserve">Taxon</w:t>
            </w:r>
          </w:p>
        </w:tc>
        <w:tc>
          <w:tcPr/>
          <w:p>
            <w:pPr>
              <w:pStyle w:val="Compact"/>
              <w:jc w:val="right"/>
            </w:pPr>
            <w:r>
              <w:t xml:space="preserve">SF</w:t>
            </w:r>
          </w:p>
        </w:tc>
        <w:tc>
          <w:tcPr/>
          <w:p>
            <w:pPr>
              <w:pStyle w:val="Compact"/>
              <w:jc w:val="right"/>
            </w:pPr>
            <w:r>
              <w:t xml:space="preserve">CC</w:t>
            </w:r>
          </w:p>
        </w:tc>
        <w:tc>
          <w:tcPr/>
          <w:p>
            <w:pPr>
              <w:pStyle w:val="Compact"/>
              <w:jc w:val="right"/>
            </w:pPr>
            <w:r>
              <w:t xml:space="preserve">UNT</w:t>
            </w:r>
          </w:p>
        </w:tc>
        <w:tc>
          <w:tcPr/>
          <w:p>
            <w:pPr>
              <w:pStyle w:val="Compact"/>
              <w:jc w:val="right"/>
            </w:pPr>
            <w:r>
              <w:t xml:space="preserve">MB</w:t>
            </w:r>
          </w:p>
        </w:tc>
        <w:tc>
          <w:tcPr/>
          <w:p>
            <w:pPr>
              <w:pStyle w:val="Compact"/>
              <w:jc w:val="right"/>
            </w:pPr>
            <w:r>
              <w:t xml:space="preserve">R193</w:t>
            </w:r>
          </w:p>
        </w:tc>
        <w:tc>
          <w:tcPr/>
          <w:p>
            <w:pPr>
              <w:pStyle w:val="Compact"/>
              <w:jc w:val="center"/>
            </w:pPr>
            <w:r>
              <w:t xml:space="preserve">Match</w:t>
            </w:r>
          </w:p>
        </w:tc>
        <w:tc>
          <w:tcPr/>
          <w:p>
            <w:pPr>
              <w:pStyle w:val="Compact"/>
              <w:jc w:val="center"/>
            </w:pPr>
            <w:r>
              <w:t xml:space="preserve"># Spp</w:t>
            </w:r>
          </w:p>
        </w:tc>
        <w:tc>
          <w:tcPr/>
          <w:p>
            <w:pPr>
              <w:pStyle w:val="Compact"/>
              <w:jc w:val="left"/>
            </w:pPr>
            <w:r>
              <w:t xml:space="preserve">Notes</w:t>
            </w:r>
          </w:p>
        </w:tc>
      </w:tr>
      <w:tr>
        <w:tc>
          <w:tcPr/>
          <w:p>
            <w:pPr>
              <w:pStyle w:val="Compact"/>
              <w:jc w:val="left"/>
            </w:pPr>
            <w:r>
              <w:rPr>
                <w:bCs/>
                <w:b/>
              </w:rPr>
              <w:t xml:space="preserve">SENTINEL — SALMONIDS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Salvelinus</w:t>
            </w:r>
            <w:r>
              <w:t xml:space="preserve"> </w:t>
            </w:r>
            <w:r>
              <w:t xml:space="preserve">spp. (Brook Trout)</w:t>
            </w:r>
          </w:p>
        </w:tc>
        <w:tc>
          <w:tcPr/>
          <w:p>
            <w:pPr>
              <w:pStyle w:val="Compact"/>
              <w:jc w:val="right"/>
            </w:pPr>
            <w:r>
              <w:t xml:space="preserve">538 (1.9%)</w:t>
            </w:r>
          </w:p>
        </w:tc>
        <w:tc>
          <w:tcPr/>
          <w:p>
            <w:pPr>
              <w:pStyle w:val="Compact"/>
              <w:jc w:val="right"/>
            </w:pPr>
            <w:r>
              <w:t xml:space="preserve">5,992 (16.9%)</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3-way tie: Brook Trout / Lake Trout / Arctic Char. Geography strongly favors Brook Trout at both sites.</w:t>
            </w:r>
          </w:p>
        </w:tc>
      </w:tr>
      <w:tr>
        <w:tc>
          <w:tcPr/>
          <w:p>
            <w:pPr>
              <w:pStyle w:val="Compact"/>
              <w:jc w:val="left"/>
            </w:pPr>
            <w:r>
              <w:rPr>
                <w:iCs/>
                <w:i/>
              </w:rPr>
              <w:t xml:space="preserve">Salmo salar</w:t>
            </w:r>
            <w:r>
              <w:t xml:space="preserve"> </w:t>
            </w:r>
            <w:r>
              <w:t xml:space="preserve">(Atlantic Salmon)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110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Gulf of Maine DPS; federally endangered. Single ESV, unambiguous match.</w:t>
            </w:r>
          </w:p>
        </w:tc>
      </w:tr>
      <w:tr>
        <w:tc>
          <w:tcPr/>
          <w:p>
            <w:pPr>
              <w:pStyle w:val="Compact"/>
              <w:jc w:val="left"/>
            </w:pPr>
            <w:r>
              <w:rPr>
                <w:bCs/>
                <w:b/>
              </w:rPr>
              <w:t xml:space="preserve">ANADROMOUS SPECIES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Alosa pseudoharengus</w:t>
            </w:r>
            <w:r>
              <w:t xml:space="preserve"> </w:t>
            </w:r>
            <w:r>
              <w:t xml:space="preserve">(Alewife)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10,465 (26.1%)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Confirmed alewife by sequence (1-SNP diagnostic vs. blueback herring). Ocean corridor confirmed.</w:t>
            </w:r>
          </w:p>
        </w:tc>
      </w:tr>
      <w:tr>
        <w:tc>
          <w:tcPr/>
          <w:p>
            <w:pPr>
              <w:pStyle w:val="Compact"/>
              <w:jc w:val="left"/>
            </w:pPr>
            <w:r>
              <w:rPr>
                <w:iCs/>
                <w:i/>
              </w:rPr>
              <w:t xml:space="preserve">Anguilla rostrata</w:t>
            </w:r>
            <w:r>
              <w:t xml:space="preserve"> </w:t>
            </w:r>
            <w:r>
              <w:t xml:space="preserve">(American Eel)</w:t>
            </w:r>
          </w:p>
        </w:tc>
        <w:tc>
          <w:tcPr/>
          <w:p>
            <w:pPr>
              <w:pStyle w:val="Compact"/>
              <w:jc w:val="right"/>
            </w:pPr>
            <w:r>
              <w:t xml:space="preserve">789 (2.8%)</w:t>
            </w:r>
          </w:p>
        </w:tc>
        <w:tc>
          <w:tcPr/>
          <w:p>
            <w:pPr>
              <w:pStyle w:val="Compact"/>
              <w:jc w:val="right"/>
            </w:pPr>
            <w:r>
              <w:t xml:space="preserve">616 (1.7%)</w:t>
            </w:r>
          </w:p>
        </w:tc>
        <w:tc>
          <w:tcPr/>
          <w:p>
            <w:pPr>
              <w:pStyle w:val="Compact"/>
              <w:jc w:val="right"/>
            </w:pPr>
            <w:r>
              <w:t xml:space="preserve">426 (100%)</w:t>
            </w:r>
          </w:p>
        </w:tc>
        <w:tc>
          <w:tcPr/>
          <w:p>
            <w:pPr>
              <w:pStyle w:val="Compact"/>
              <w:jc w:val="right"/>
            </w:pPr>
            <w:r>
              <w:t xml:space="preserve">—</w:t>
            </w:r>
          </w:p>
        </w:tc>
        <w:tc>
          <w:tcPr/>
          <w:p>
            <w:pPr>
              <w:pStyle w:val="Compact"/>
              <w:jc w:val="right"/>
            </w:pPr>
            <w:r>
              <w:t xml:space="preserve">4,110 (10.3%)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detected at UNT Lane Rd. Catadromous; present throughout watershed.</w:t>
            </w:r>
          </w:p>
        </w:tc>
      </w:tr>
      <w:tr>
        <w:tc>
          <w:tcPr/>
          <w:p>
            <w:pPr>
              <w:pStyle w:val="Compact"/>
              <w:jc w:val="left"/>
            </w:pPr>
            <w:r>
              <w:rPr>
                <w:iCs/>
                <w:i/>
              </w:rPr>
              <w:t xml:space="preserve">Petromyzon marinus</w:t>
            </w:r>
            <w:r>
              <w:t xml:space="preserve"> </w:t>
            </w:r>
            <w:r>
              <w:t xml:space="preserve">(Sea Lamprey)</w:t>
            </w:r>
          </w:p>
        </w:tc>
        <w:tc>
          <w:tcPr/>
          <w:p>
            <w:pPr>
              <w:pStyle w:val="Compact"/>
              <w:jc w:val="right"/>
            </w:pPr>
            <w:r>
              <w:t xml:space="preserve">96 (*)</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Hyperoartia — not counted in fish totals. Native; confirms anadromous migratory connectivity at Sprague’s Falls.</w:t>
            </w:r>
          </w:p>
        </w:tc>
      </w:tr>
      <w:tr>
        <w:tc>
          <w:tcPr/>
          <w:p>
            <w:pPr>
              <w:pStyle w:val="Compact"/>
              <w:jc w:val="left"/>
            </w:pPr>
            <w:r>
              <w:rPr>
                <w:bCs/>
                <w:b/>
              </w:rPr>
              <w:t xml:space="preserve">NATIVE GENERALISTS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Semotilus corporalis</w:t>
            </w:r>
            <w:r>
              <w:t xml:space="preserve"> </w:t>
            </w:r>
            <w:r>
              <w:t xml:space="preserve">(Fallfish)</w:t>
            </w:r>
          </w:p>
        </w:tc>
        <w:tc>
          <w:tcPr/>
          <w:p>
            <w:pPr>
              <w:pStyle w:val="Compact"/>
              <w:jc w:val="right"/>
            </w:pPr>
            <w:r>
              <w:t xml:space="preserve">319 (1.1%)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8,844 (22.1%)</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Dominant at Rt 193. Largest native minnow; requires clean gravel for nest-building. Strong water quality indicator.</w:t>
            </w:r>
          </w:p>
        </w:tc>
      </w:tr>
      <w:tr>
        <w:tc>
          <w:tcPr/>
          <w:p>
            <w:pPr>
              <w:pStyle w:val="Compact"/>
              <w:jc w:val="left"/>
            </w:pPr>
            <w:r>
              <w:rPr>
                <w:iCs/>
                <w:i/>
              </w:rPr>
              <w:t xml:space="preserve">Semotilus atromaculatus</w:t>
            </w:r>
            <w:r>
              <w:t xml:space="preserve"> </w:t>
            </w:r>
            <w:r>
              <w:t xml:space="preserve">(Creek Chub)</w:t>
            </w:r>
          </w:p>
        </w:tc>
        <w:tc>
          <w:tcPr/>
          <w:p>
            <w:pPr>
              <w:pStyle w:val="Compact"/>
              <w:jc w:val="right"/>
            </w:pPr>
            <w:r>
              <w:t xml:space="preserve">4,965 (17.4%)</w:t>
            </w:r>
          </w:p>
        </w:tc>
        <w:tc>
          <w:tcPr/>
          <w:p>
            <w:pPr>
              <w:pStyle w:val="Compact"/>
              <w:jc w:val="right"/>
            </w:pPr>
            <w:r>
              <w:t xml:space="preserve">8,857 (24.9%)</w:t>
            </w:r>
          </w:p>
        </w:tc>
        <w:tc>
          <w:tcPr/>
          <w:p>
            <w:pPr>
              <w:pStyle w:val="Compact"/>
              <w:jc w:val="right"/>
            </w:pPr>
            <w:r>
              <w:t xml:space="preserve">—</w:t>
            </w:r>
          </w:p>
        </w:tc>
        <w:tc>
          <w:tcPr/>
          <w:p>
            <w:pPr>
              <w:pStyle w:val="Compact"/>
              <w:jc w:val="right"/>
            </w:pPr>
            <w:r>
              <w:t xml:space="preserve">5,841 (100%)</w:t>
            </w:r>
          </w:p>
        </w:tc>
        <w:tc>
          <w:tcPr/>
          <w:p>
            <w:pPr>
              <w:pStyle w:val="Compact"/>
              <w:jc w:val="right"/>
            </w:pPr>
            <w:r>
              <w:t xml:space="preserve">1,135 (2.8%)</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Only fish at McCoy Brook (pH 3.54). Acid-tolerant; present at all sites with adequate flow.</w:t>
            </w:r>
          </w:p>
        </w:tc>
      </w:tr>
      <w:tr>
        <w:tc>
          <w:tcPr/>
          <w:p>
            <w:pPr>
              <w:pStyle w:val="Compact"/>
              <w:jc w:val="left"/>
            </w:pPr>
            <w:r>
              <w:rPr>
                <w:iCs/>
                <w:i/>
              </w:rPr>
              <w:t xml:space="preserve">Lepomis auritus</w:t>
            </w:r>
            <w:r>
              <w:t xml:space="preserve"> </w:t>
            </w:r>
            <w:r>
              <w:t xml:space="preserve">/</w:t>
            </w:r>
            <w:r>
              <w:t xml:space="preserve"> </w:t>
            </w:r>
            <w:r>
              <w:rPr>
                <w:iCs/>
                <w:i/>
              </w:rPr>
              <w:t xml:space="preserve">Lepomis</w:t>
            </w:r>
            <w:r>
              <w:t xml:space="preserve"> </w:t>
            </w:r>
            <w:r>
              <w:t xml:space="preserve">spp. (Redbreast Sunfish)</w:t>
            </w:r>
          </w:p>
        </w:tc>
        <w:tc>
          <w:tcPr/>
          <w:p>
            <w:pPr>
              <w:pStyle w:val="Compact"/>
              <w:jc w:val="right"/>
            </w:pPr>
            <w:r>
              <w:t xml:space="preserve">8,811 (31.0%)</w:t>
            </w:r>
          </w:p>
        </w:tc>
        <w:tc>
          <w:tcPr/>
          <w:p>
            <w:pPr>
              <w:pStyle w:val="Compact"/>
              <w:jc w:val="right"/>
            </w:pPr>
            <w:r>
              <w:t xml:space="preserve">3,509 (9.9%)</w:t>
            </w:r>
          </w:p>
        </w:tc>
        <w:tc>
          <w:tcPr/>
          <w:p>
            <w:pPr>
              <w:pStyle w:val="Compact"/>
              <w:jc w:val="right"/>
            </w:pPr>
            <w:r>
              <w:t xml:space="preserve">—</w:t>
            </w:r>
          </w:p>
        </w:tc>
        <w:tc>
          <w:tcPr/>
          <w:p>
            <w:pPr>
              <w:pStyle w:val="Compact"/>
              <w:jc w:val="right"/>
            </w:pPr>
            <w:r>
              <w:t xml:space="preserve">—</w:t>
            </w:r>
          </w:p>
        </w:tc>
        <w:tc>
          <w:tcPr/>
          <w:p>
            <w:pPr>
              <w:pStyle w:val="Compact"/>
              <w:jc w:val="right"/>
            </w:pPr>
            <w:r>
              <w:t xml:space="preserve">5,240 (13.1%)</w:t>
            </w:r>
          </w:p>
        </w:tc>
        <w:tc>
          <w:tcPr/>
          <w:p>
            <w:pPr>
              <w:pStyle w:val="Compact"/>
              <w:jc w:val="center"/>
            </w:pPr>
            <w:r>
              <w:t xml:space="preserve">100%</w:t>
            </w:r>
          </w:p>
        </w:tc>
        <w:tc>
          <w:tcPr/>
          <w:p>
            <w:pPr>
              <w:pStyle w:val="Compact"/>
              <w:jc w:val="center"/>
            </w:pPr>
            <w:r>
              <w:t xml:space="preserve">1–3</w:t>
            </w:r>
          </w:p>
        </w:tc>
        <w:tc>
          <w:tcPr/>
          <w:p>
            <w:pPr>
              <w:pStyle w:val="Compact"/>
              <w:jc w:val="left"/>
            </w:pPr>
            <w:r>
              <w:t xml:space="preserve">Dominant at Sprague’s Falls. Benthic omnivore; requires stable, clean substrate.</w:t>
            </w:r>
          </w:p>
        </w:tc>
      </w:tr>
      <w:tr>
        <w:tc>
          <w:tcPr/>
          <w:p>
            <w:pPr>
              <w:pStyle w:val="Compact"/>
              <w:jc w:val="left"/>
            </w:pPr>
            <w:r>
              <w:rPr>
                <w:iCs/>
                <w:i/>
              </w:rPr>
              <w:t xml:space="preserve">Catostomus commersonii</w:t>
            </w:r>
            <w:r>
              <w:t xml:space="preserve"> </w:t>
            </w:r>
            <w:r>
              <w:t xml:space="preserve">(White Sucker)</w:t>
            </w:r>
          </w:p>
        </w:tc>
        <w:tc>
          <w:tcPr/>
          <w:p>
            <w:pPr>
              <w:pStyle w:val="Compact"/>
              <w:jc w:val="right"/>
            </w:pPr>
            <w:r>
              <w:t xml:space="preserve">5,596 (19.7%)</w:t>
            </w:r>
          </w:p>
        </w:tc>
        <w:tc>
          <w:tcPr/>
          <w:p>
            <w:pPr>
              <w:pStyle w:val="Compact"/>
              <w:jc w:val="right"/>
            </w:pPr>
            <w:r>
              <w:t xml:space="preserve">344 (1.0%)</w:t>
            </w:r>
          </w:p>
        </w:tc>
        <w:tc>
          <w:tcPr/>
          <w:p>
            <w:pPr>
              <w:pStyle w:val="Compact"/>
              <w:jc w:val="right"/>
            </w:pPr>
            <w:r>
              <w:t xml:space="preserve">—</w:t>
            </w:r>
          </w:p>
        </w:tc>
        <w:tc>
          <w:tcPr/>
          <w:p>
            <w:pPr>
              <w:pStyle w:val="Compact"/>
              <w:jc w:val="right"/>
            </w:pPr>
            <w:r>
              <w:t xml:space="preserve">—</w:t>
            </w:r>
          </w:p>
        </w:tc>
        <w:tc>
          <w:tcPr/>
          <w:p>
            <w:pPr>
              <w:pStyle w:val="Compact"/>
              <w:jc w:val="right"/>
            </w:pPr>
            <w:r>
              <w:t xml:space="preserve">3,402 (8.5%)</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Tolerant generalist; indicates sufficient stream volume and substrate diversity.</w:t>
            </w:r>
          </w:p>
        </w:tc>
      </w:tr>
      <w:tr>
        <w:tc>
          <w:tcPr/>
          <w:p>
            <w:pPr>
              <w:pStyle w:val="Compact"/>
              <w:jc w:val="left"/>
            </w:pPr>
            <w:r>
              <w:rPr>
                <w:iCs/>
                <w:i/>
              </w:rPr>
              <w:t xml:space="preserve">Pungitius</w:t>
            </w:r>
            <w:r>
              <w:t xml:space="preserve"> </w:t>
            </w:r>
            <w:r>
              <w:t xml:space="preserve">spp. (Ninespine Stickleback)</w:t>
            </w:r>
          </w:p>
        </w:tc>
        <w:tc>
          <w:tcPr/>
          <w:p>
            <w:pPr>
              <w:pStyle w:val="Compact"/>
              <w:jc w:val="right"/>
            </w:pPr>
            <w:r>
              <w:t xml:space="preserve">2,906 (10.2%)</w:t>
            </w:r>
          </w:p>
        </w:tc>
        <w:tc>
          <w:tcPr/>
          <w:p>
            <w:pPr>
              <w:pStyle w:val="Compact"/>
              <w:jc w:val="right"/>
            </w:pPr>
            <w:r>
              <w:t xml:space="preserve">12,451 (35.1%)</w:t>
            </w:r>
          </w:p>
        </w:tc>
        <w:tc>
          <w:tcPr/>
          <w:p>
            <w:pPr>
              <w:pStyle w:val="Compact"/>
              <w:jc w:val="right"/>
            </w:pPr>
            <w:r>
              <w:t xml:space="preserve">—</w:t>
            </w:r>
          </w:p>
        </w:tc>
        <w:tc>
          <w:tcPr/>
          <w:p>
            <w:pPr>
              <w:pStyle w:val="Compact"/>
              <w:jc w:val="right"/>
            </w:pPr>
            <w:r>
              <w:t xml:space="preserve">—</w:t>
            </w:r>
          </w:p>
        </w:tc>
        <w:tc>
          <w:tcPr/>
          <w:p>
            <w:pPr>
              <w:pStyle w:val="Compact"/>
              <w:jc w:val="right"/>
            </w:pPr>
            <w:r>
              <w:t xml:space="preserve">449 (1.1%)</w:t>
            </w:r>
          </w:p>
        </w:tc>
        <w:tc>
          <w:tcPr/>
          <w:p>
            <w:pPr>
              <w:pStyle w:val="Compact"/>
              <w:jc w:val="center"/>
            </w:pPr>
            <w:r>
              <w:t xml:space="preserve">100%</w:t>
            </w:r>
          </w:p>
        </w:tc>
        <w:tc>
          <w:tcPr/>
          <w:p>
            <w:pPr>
              <w:pStyle w:val="Compact"/>
              <w:jc w:val="center"/>
            </w:pPr>
            <w:r>
              <w:t xml:space="preserve">2–7</w:t>
            </w:r>
          </w:p>
        </w:tc>
        <w:tc>
          <w:tcPr/>
          <w:p>
            <w:pPr>
              <w:pStyle w:val="Compact"/>
              <w:jc w:val="left"/>
            </w:pPr>
            <w:r>
              <w:t xml:space="preserve">Dominant at Crotch Camp. Ninespine (</w:t>
            </w:r>
            <w:r>
              <w:rPr>
                <w:iCs/>
                <w:i/>
              </w:rPr>
              <w:t xml:space="preserve">P. pungitius</w:t>
            </w:r>
            <w:r>
              <w:t xml:space="preserve">) most likely in ME; multi-species ESV unresolved.</w:t>
            </w:r>
          </w:p>
        </w:tc>
      </w:tr>
      <w:tr>
        <w:tc>
          <w:tcPr/>
          <w:p>
            <w:pPr>
              <w:pStyle w:val="Compact"/>
              <w:jc w:val="left"/>
            </w:pPr>
            <w:r>
              <w:rPr>
                <w:iCs/>
                <w:i/>
              </w:rPr>
              <w:t xml:space="preserve">Chrosomus neogaeus</w:t>
            </w:r>
            <w:r>
              <w:t xml:space="preserve"> </w:t>
            </w:r>
            <w:r>
              <w:t xml:space="preserve">(Finescale Dace)</w:t>
            </w:r>
          </w:p>
        </w:tc>
        <w:tc>
          <w:tcPr/>
          <w:p>
            <w:pPr>
              <w:pStyle w:val="Compact"/>
              <w:jc w:val="right"/>
            </w:pPr>
            <w:r>
              <w:t xml:space="preserve">2,086 (7.3%)</w:t>
            </w:r>
          </w:p>
        </w:tc>
        <w:tc>
          <w:tcPr/>
          <w:p>
            <w:pPr>
              <w:pStyle w:val="Compact"/>
              <w:jc w:val="right"/>
            </w:pPr>
            <w:r>
              <w:t xml:space="preserve">2,026 (5.7%)</w:t>
            </w:r>
          </w:p>
        </w:tc>
        <w:tc>
          <w:tcPr/>
          <w:p>
            <w:pPr>
              <w:pStyle w:val="Compact"/>
              <w:jc w:val="right"/>
            </w:pPr>
            <w:r>
              <w:t xml:space="preserve">—</w:t>
            </w:r>
          </w:p>
        </w:tc>
        <w:tc>
          <w:tcPr/>
          <w:p>
            <w:pPr>
              <w:pStyle w:val="Compact"/>
              <w:jc w:val="right"/>
            </w:pPr>
            <w:r>
              <w:t xml:space="preserve">—</w:t>
            </w:r>
          </w:p>
        </w:tc>
        <w:tc>
          <w:tcPr/>
          <w:p>
            <w:pPr>
              <w:pStyle w:val="Compact"/>
              <w:jc w:val="right"/>
            </w:pPr>
            <w:r>
              <w:t xml:space="preserve">250 (0.6%)</w:t>
            </w:r>
          </w:p>
        </w:tc>
        <w:tc>
          <w:tcPr/>
          <w:p>
            <w:pPr>
              <w:pStyle w:val="Compact"/>
              <w:jc w:val="center"/>
            </w:pPr>
            <w:r>
              <w:t xml:space="preserve">99–100%</w:t>
            </w:r>
          </w:p>
        </w:tc>
        <w:tc>
          <w:tcPr/>
          <w:p>
            <w:pPr>
              <w:pStyle w:val="Compact"/>
              <w:jc w:val="center"/>
            </w:pPr>
            <w:r>
              <w:t xml:space="preserve">1</w:t>
            </w:r>
          </w:p>
        </w:tc>
        <w:tc>
          <w:tcPr/>
          <w:p>
            <w:pPr>
              <w:pStyle w:val="Compact"/>
              <w:jc w:val="left"/>
            </w:pPr>
            <w:r>
              <w:t xml:space="preserve">Sentinel of pristine soft-water habitat; strongly associated with wild Brook Trout streams.</w:t>
            </w:r>
          </w:p>
        </w:tc>
      </w:tr>
      <w:tr>
        <w:tc>
          <w:tcPr/>
          <w:p>
            <w:pPr>
              <w:pStyle w:val="Compact"/>
              <w:jc w:val="left"/>
            </w:pPr>
            <w:r>
              <w:rPr>
                <w:iCs/>
                <w:i/>
              </w:rPr>
              <w:t xml:space="preserve">Luxilus</w:t>
            </w:r>
            <w:r>
              <w:t xml:space="preserve"> </w:t>
            </w:r>
            <w:r>
              <w:t xml:space="preserve">spp. (Shiner)</w:t>
            </w:r>
          </w:p>
        </w:tc>
        <w:tc>
          <w:tcPr/>
          <w:p>
            <w:pPr>
              <w:pStyle w:val="Compact"/>
              <w:jc w:val="right"/>
            </w:pPr>
            <w:r>
              <w:t xml:space="preserve">1,618 (5.7%)</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2,043 (5.1%)</w:t>
            </w:r>
          </w:p>
        </w:tc>
        <w:tc>
          <w:tcPr/>
          <w:p>
            <w:pPr>
              <w:pStyle w:val="Compact"/>
              <w:jc w:val="center"/>
            </w:pPr>
            <w:r>
              <w:t xml:space="preserve">100%</w:t>
            </w:r>
          </w:p>
        </w:tc>
        <w:tc>
          <w:tcPr/>
          <w:p>
            <w:pPr>
              <w:pStyle w:val="Compact"/>
              <w:jc w:val="center"/>
            </w:pPr>
            <w:r>
              <w:t xml:space="preserve">2–4</w:t>
            </w:r>
          </w:p>
        </w:tc>
        <w:tc>
          <w:tcPr/>
          <w:p>
            <w:pPr>
              <w:pStyle w:val="Compact"/>
              <w:jc w:val="left"/>
            </w:pPr>
            <w:r>
              <w:t xml:space="preserve">Unresolved at species level across multiple ESVs.</w:t>
            </w:r>
          </w:p>
        </w:tc>
      </w:tr>
      <w:tr>
        <w:tc>
          <w:tcPr/>
          <w:p>
            <w:pPr>
              <w:pStyle w:val="Compact"/>
              <w:jc w:val="left"/>
            </w:pPr>
            <w:r>
              <w:rPr>
                <w:iCs/>
                <w:i/>
              </w:rPr>
              <w:t xml:space="preserve">Notemigonus crysoleucas</w:t>
            </w:r>
            <w:r>
              <w:t xml:space="preserve"> </w:t>
            </w:r>
            <w:r>
              <w:t xml:space="preserve">(Golden Shiner)</w:t>
            </w:r>
          </w:p>
        </w:tc>
        <w:tc>
          <w:tcPr/>
          <w:p>
            <w:pPr>
              <w:pStyle w:val="Compact"/>
              <w:jc w:val="right"/>
            </w:pPr>
            <w:r>
              <w:t xml:space="preserve">632 (2.2%)</w:t>
            </w:r>
          </w:p>
        </w:tc>
        <w:tc>
          <w:tcPr/>
          <w:p>
            <w:pPr>
              <w:pStyle w:val="Compact"/>
              <w:jc w:val="right"/>
            </w:pPr>
            <w:r>
              <w:t xml:space="preserve">1,142 (3.2%)</w:t>
            </w:r>
          </w:p>
        </w:tc>
        <w:tc>
          <w:tcPr/>
          <w:p>
            <w:pPr>
              <w:pStyle w:val="Compact"/>
              <w:jc w:val="right"/>
            </w:pPr>
            <w:r>
              <w:t xml:space="preserve">—</w:t>
            </w:r>
          </w:p>
        </w:tc>
        <w:tc>
          <w:tcPr/>
          <w:p>
            <w:pPr>
              <w:pStyle w:val="Compact"/>
              <w:jc w:val="right"/>
            </w:pPr>
            <w:r>
              <w:t xml:space="preserve">—</w:t>
            </w:r>
          </w:p>
        </w:tc>
        <w:tc>
          <w:tcPr/>
          <w:p>
            <w:pPr>
              <w:pStyle w:val="Compact"/>
              <w:jc w:val="right"/>
            </w:pPr>
            <w:r>
              <w:t xml:space="preserve">675 (1.7%)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Esox</w:t>
            </w:r>
            <w:r>
              <w:t xml:space="preserve"> </w:t>
            </w:r>
            <w:r>
              <w:t xml:space="preserve">spp. (Pickerel / Pike)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1,413 (3.5%)</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2-way tie. Chain Pickerel (</w:t>
            </w:r>
            <w:r>
              <w:rPr>
                <w:iCs/>
                <w:i/>
              </w:rPr>
              <w:t xml:space="preserve">E. niger</w:t>
            </w:r>
            <w:r>
              <w:t xml:space="preserve">) most likely in Washington County, ME.</w:t>
            </w:r>
          </w:p>
        </w:tc>
      </w:tr>
      <w:tr>
        <w:tc>
          <w:tcPr/>
          <w:p>
            <w:pPr>
              <w:pStyle w:val="Compact"/>
              <w:jc w:val="left"/>
            </w:pPr>
            <w:r>
              <w:rPr>
                <w:iCs/>
                <w:i/>
              </w:rPr>
              <w:t xml:space="preserve">Rhinichthys atratulus</w:t>
            </w:r>
            <w:r>
              <w:t xml:space="preserve"> </w:t>
            </w:r>
            <w:r>
              <w:t xml:space="preserve">(Blacknose Dace)</w:t>
            </w:r>
          </w:p>
        </w:tc>
        <w:tc>
          <w:tcPr/>
          <w:p>
            <w:pPr>
              <w:pStyle w:val="Compact"/>
              <w:jc w:val="right"/>
            </w:pPr>
            <w:r>
              <w:t xml:space="preserve">77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327 (0.8%)</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Micropterus</w:t>
            </w:r>
            <w:r>
              <w:t xml:space="preserve"> </w:t>
            </w:r>
            <w:r>
              <w:t xml:space="preserve">spp. (Bass)</w:t>
            </w:r>
          </w:p>
        </w:tc>
        <w:tc>
          <w:tcPr/>
          <w:p>
            <w:pPr>
              <w:pStyle w:val="Compact"/>
              <w:jc w:val="right"/>
            </w:pPr>
            <w:r>
              <w:t xml:space="preserve">82 (0.3%)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599 (1.5%)</w:t>
            </w:r>
          </w:p>
        </w:tc>
        <w:tc>
          <w:tcPr/>
          <w:p>
            <w:pPr>
              <w:pStyle w:val="Compact"/>
              <w:jc w:val="center"/>
            </w:pPr>
            <w:r>
              <w:t xml:space="preserve">100%</w:t>
            </w:r>
          </w:p>
        </w:tc>
        <w:tc>
          <w:tcPr/>
          <w:p>
            <w:pPr>
              <w:pStyle w:val="Compact"/>
              <w:jc w:val="center"/>
            </w:pPr>
            <w:r>
              <w:t xml:space="preserve">2–3</w:t>
            </w:r>
          </w:p>
        </w:tc>
        <w:tc>
          <w:tcPr/>
          <w:p>
            <w:pPr>
              <w:pStyle w:val="Compact"/>
              <w:jc w:val="left"/>
            </w:pPr>
            <w:r>
              <w:t xml:space="preserve">Largemouth / Smallmouth unresolved.</w:t>
            </w:r>
          </w:p>
        </w:tc>
      </w:tr>
      <w:tr>
        <w:tc>
          <w:tcPr/>
          <w:p>
            <w:pPr>
              <w:pStyle w:val="Compact"/>
              <w:jc w:val="left"/>
            </w:pPr>
            <w:r>
              <w:rPr>
                <w:iCs/>
                <w:i/>
              </w:rPr>
              <w:t xml:space="preserve">Perca flavescens</w:t>
            </w:r>
            <w:r>
              <w:t xml:space="preserve"> </w:t>
            </w:r>
            <w:r>
              <w:t xml:space="preserve">(Yellow Perch)</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288 (0.7%)</w:t>
            </w:r>
          </w:p>
        </w:tc>
        <w:tc>
          <w:tcPr/>
          <w:p>
            <w:pPr>
              <w:pStyle w:val="Compact"/>
              <w:jc w:val="center"/>
            </w:pPr>
            <w:r>
              <w:t xml:space="preserve">100%</w:t>
            </w:r>
          </w:p>
        </w:tc>
        <w:tc>
          <w:tcPr/>
          <w:p>
            <w:pPr>
              <w:pStyle w:val="Compact"/>
              <w:jc w:val="center"/>
            </w:pPr>
            <w:r>
              <w:t xml:space="preserve">1</w:t>
            </w:r>
          </w:p>
        </w:tc>
        <w:tc>
          <w:tcPr/>
          <w:p>
            <w:pPr>
              <w:pStyle w:val="Compact"/>
            </w:pPr>
          </w:p>
        </w:tc>
      </w:tr>
      <w:tr>
        <w:tc>
          <w:tcPr/>
          <w:p>
            <w:pPr>
              <w:pStyle w:val="Compact"/>
              <w:jc w:val="left"/>
            </w:pPr>
            <w:r>
              <w:rPr>
                <w:iCs/>
                <w:i/>
              </w:rPr>
              <w:t xml:space="preserve">Ameiurus</w:t>
            </w:r>
            <w:r>
              <w:t xml:space="preserve"> </w:t>
            </w:r>
            <w:r>
              <w:t xml:space="preserve">spp. (Bullhead)</w:t>
            </w:r>
          </w:p>
        </w:tc>
        <w:tc>
          <w:tcPr/>
          <w:p>
            <w:pPr>
              <w:pStyle w:val="Compact"/>
              <w:jc w:val="right"/>
            </w:pPr>
            <w:r>
              <w:t xml:space="preserve">46 (0.2%)</w:t>
            </w:r>
          </w:p>
        </w:tc>
        <w:tc>
          <w:tcPr/>
          <w:p>
            <w:pPr>
              <w:pStyle w:val="Compact"/>
              <w:jc w:val="right"/>
            </w:pPr>
            <w:r>
              <w:t xml:space="preserve">473 (1.3%)</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Yellow or Brown Bullhead; unresolved.</w:t>
            </w:r>
          </w:p>
        </w:tc>
      </w:tr>
      <w:tr>
        <w:tc>
          <w:tcPr/>
          <w:p>
            <w:pPr>
              <w:pStyle w:val="Compact"/>
              <w:jc w:val="left"/>
            </w:pPr>
            <w:r>
              <w:rPr>
                <w:bCs/>
                <w:b/>
              </w:rPr>
              <w:t xml:space="preserve">MARINE / ANOMALOUS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iCs/>
                <w:i/>
              </w:rPr>
              <w:t xml:space="preserve">Brevoortia</w:t>
            </w:r>
            <w:r>
              <w:t xml:space="preserve"> </w:t>
            </w:r>
            <w:r>
              <w:t xml:space="preserve">spp. (Menhaden)</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171 (0.4%)</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Marine; 2-spp unresolved. Tidal eDNA signal at mainstem; ecologically plausible.</w:t>
            </w:r>
          </w:p>
        </w:tc>
      </w:tr>
      <w:tr>
        <w:tc>
          <w:tcPr/>
          <w:p>
            <w:pPr>
              <w:pStyle w:val="Compact"/>
              <w:jc w:val="left"/>
            </w:pPr>
            <w:r>
              <w:t xml:space="preserve">Gadidae spp. (Cod family)</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233 (0.6%)</w:t>
            </w:r>
          </w:p>
        </w:tc>
        <w:tc>
          <w:tcPr/>
          <w:p>
            <w:pPr>
              <w:pStyle w:val="Compact"/>
              <w:jc w:val="center"/>
            </w:pPr>
            <w:r>
              <w:t xml:space="preserve">100%</w:t>
            </w:r>
          </w:p>
        </w:tc>
        <w:tc>
          <w:tcPr/>
          <w:p>
            <w:pPr>
              <w:pStyle w:val="Compact"/>
              <w:jc w:val="center"/>
            </w:pPr>
            <w:r>
              <w:t xml:space="preserve">2</w:t>
            </w:r>
          </w:p>
        </w:tc>
        <w:tc>
          <w:tcPr/>
          <w:p>
            <w:pPr>
              <w:pStyle w:val="Compact"/>
              <w:jc w:val="left"/>
            </w:pPr>
            <w:r>
              <w:t xml:space="preserve">2-spp unresolved. Burbot (</w:t>
            </w:r>
            <w:r>
              <w:rPr>
                <w:iCs/>
                <w:i/>
              </w:rPr>
              <w:t xml:space="preserve">Lota lota</w:t>
            </w:r>
            <w:r>
              <w:t xml:space="preserve">), a freshwater gadid, is native to ME and the most ecologically plausible match.</w:t>
            </w:r>
          </w:p>
        </w:tc>
      </w:tr>
      <w:tr>
        <w:tc>
          <w:tcPr/>
          <w:p>
            <w:pPr>
              <w:pStyle w:val="Compact"/>
              <w:jc w:val="left"/>
            </w:pPr>
            <w:r>
              <w:rPr>
                <w:iCs/>
                <w:i/>
              </w:rPr>
              <w:t xml:space="preserve">Scomber scombrus</w:t>
            </w:r>
            <w:r>
              <w:t xml:space="preserve"> </w:t>
            </w:r>
            <w:r>
              <w:t xml:space="preserve">(Atlantic Mackerel)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1</w:t>
            </w:r>
          </w:p>
        </w:tc>
        <w:tc>
          <w:tcPr/>
          <w:p>
            <w:pPr>
              <w:pStyle w:val="Compact"/>
              <w:jc w:val="left"/>
            </w:pPr>
            <w:r>
              <w:t xml:space="preserve">Marine pelagic; low read count. Possible tidal eDNA or trace contamination.</w:t>
            </w:r>
          </w:p>
        </w:tc>
      </w:tr>
      <w:tr>
        <w:tc>
          <w:tcPr/>
          <w:p>
            <w:pPr>
              <w:pStyle w:val="Compact"/>
              <w:jc w:val="left"/>
            </w:pPr>
            <w:r>
              <w:rPr>
                <w:iCs/>
                <w:i/>
              </w:rPr>
              <w:t xml:space="preserve">Ictiobus</w:t>
            </w:r>
            <w:r>
              <w:t xml:space="preserve"> </w:t>
            </w:r>
            <w:r>
              <w:t xml:space="preserve">spp. (Buffalo)</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136 (0.3%)</w:t>
            </w:r>
          </w:p>
        </w:tc>
        <w:tc>
          <w:tcPr/>
          <w:p>
            <w:pPr>
              <w:pStyle w:val="Compact"/>
              <w:jc w:val="center"/>
            </w:pPr>
            <w:r>
              <w:t xml:space="preserve">100%</w:t>
            </w:r>
          </w:p>
        </w:tc>
        <w:tc>
          <w:tcPr/>
          <w:p>
            <w:pPr>
              <w:pStyle w:val="Compact"/>
              <w:jc w:val="center"/>
            </w:pPr>
            <w:r>
              <w:t xml:space="preserve">3</w:t>
            </w:r>
          </w:p>
        </w:tc>
        <w:tc>
          <w:tcPr/>
          <w:p>
            <w:pPr>
              <w:pStyle w:val="Compact"/>
              <w:jc w:val="left"/>
            </w:pPr>
            <w:r>
              <w:t xml:space="preserve">Freshwater buffalo; not native to Maine or New England. Database artifact likely.</w:t>
            </w:r>
          </w:p>
        </w:tc>
      </w:tr>
    </w:tbl>
    <w:p>
      <w:pPr>
        <w:pStyle w:val="BodyText"/>
      </w:pPr>
      <w:r>
        <w:t xml:space="preserve">(*) Sea Lamprey reads (96) are excluded from the Sprague’s Falls Actinopteri total of 28,465; lamprey are Hyperoartia, not ray-finned fish.</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MiFish 12S cannot distinguish Brook Trout (</w:t>
      </w:r>
      <w:r>
        <w:rPr>
          <w:iCs/>
          <w:i/>
        </w:rPr>
        <w:t xml:space="preserve">S. fontinalis</w:t>
      </w:r>
      <w:r>
        <w:t xml:space="preserve">), Lake Trout (</w:t>
      </w:r>
      <w:r>
        <w:rPr>
          <w:iCs/>
          <w:i/>
        </w:rPr>
        <w:t xml:space="preserve">S. namaycush</w:t>
      </w:r>
      <w:r>
        <w:t xml:space="preserve">), or Arctic Char (</w:t>
      </w:r>
      <w:r>
        <w:rPr>
          <w:iCs/>
          <w:i/>
        </w:rPr>
        <w:t xml:space="preserve">S. alpinus</w:t>
      </w:r>
      <w:r>
        <w:t xml:space="preserve">) at this locus. Geographic context — small, cold, phosphorus-limited headwater tributary in Washington County, ME — strongly favors Brook Trout. Lake Trout prefer deep lakes; Arctic Char is documented in only a handful of Maine coldwater ponds.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2026-05-01T18:46:02Z</dcterms:created>
  <dcterms:modified xsi:type="dcterms:W3CDTF">2026-05-01T18:46:02Z</dcterms:modified>
</cp:coreProperties>
</file>

<file path=docProps/custom.xml><?xml version="1.0" encoding="utf-8"?>
<Properties xmlns="http://schemas.openxmlformats.org/officeDocument/2006/custom-properties" xmlns:vt="http://schemas.openxmlformats.org/officeDocument/2006/docPropsVTypes"/>
</file>