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24" w:name="mccoy-brook-cswee3dx.1"/>
    <w:p>
      <w:pPr>
        <w:pStyle w:val="Heading2"/>
      </w:pPr>
      <w:r>
        <w:t xml:space="preserve">McCoy Brook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20"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20"/>
    <w:bookmarkStart w:id="21"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3.54 (measured)</w:t>
            </w:r>
          </w:p>
        </w:tc>
        <w:tc>
          <w:tcPr/>
          <w:p>
            <w:pPr>
              <w:pStyle w:val="Compact"/>
              <w:jc w:val="left"/>
            </w:pPr>
            <w:r>
              <w:t xml:space="preserve">Direct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21"/>
    <w:bookmarkStart w:id="22"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22"/>
    <w:bookmarkStart w:id="23"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23"/>
    <w:bookmarkEnd w:id="24"/>
    <w:bookmarkStart w:id="29" w:name="crotch-camp-brook-cntlvpx4.1"/>
    <w:p>
      <w:pPr>
        <w:pStyle w:val="Heading2"/>
      </w:pPr>
      <w:r>
        <w:t xml:space="preserve">Crotch Camp Brook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25" w:name="sentinel-signal-1"/>
    <w:p>
      <w:pPr>
        <w:pStyle w:val="Heading3"/>
      </w:pPr>
      <w:r>
        <w:t xml:space="preserve">Sentinel Signal</w:t>
      </w:r>
    </w:p>
    <w:p>
      <w:pPr>
        <w:pStyle w:val="FirstParagraph"/>
      </w:pPr>
      <w:r>
        <w:t xml:space="preserve">Synura at 74% dominance + Trout sp.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25"/>
    <w:bookmarkStart w:id="26"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Trout presence confirms aerobic conditions</w:t>
            </w:r>
          </w:p>
        </w:tc>
      </w:tr>
    </w:tbl>
    <w:bookmarkEnd w:id="26"/>
    <w:bookmarkStart w:id="27"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27"/>
    <w:bookmarkStart w:id="28"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 Trout sp. signal likely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28"/>
    <w:bookmarkEnd w:id="29"/>
    <w:bookmarkStart w:id="34" w:name="unt-lane-rd-cnr7wzyj.1"/>
    <w:p>
      <w:pPr>
        <w:pStyle w:val="Heading2"/>
      </w:pPr>
      <w:r>
        <w:t xml:space="preserve">UNT Lane Rd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30" w:name="sentinel-signal-2"/>
    <w:p>
      <w:pPr>
        <w:pStyle w:val="Heading3"/>
      </w:pPr>
      <w:r>
        <w:t xml:space="preserve">Sentinel Signal</w:t>
      </w:r>
    </w:p>
    <w:p>
      <w:pPr>
        <w:pStyle w:val="FirstParagraph"/>
      </w:pPr>
      <w:r>
        <w:t xml:space="preserve">American Eel alone + diverse soft-water algal community =</w:t>
      </w:r>
      <w:r>
        <w:t xml:space="preserve"> </w:t>
      </w:r>
      <w:r>
        <w:rPr>
          <w:bCs/>
          <w:b/>
        </w:rPr>
        <w:t xml:space="preserve">connectivity present, fish community ambiguous — barrier or seasonality likely, not acute impairment</w:t>
      </w:r>
      <w:r>
        <w:t xml:space="preserve">. The algae do not support a toxicity interpretation.</w:t>
      </w:r>
    </w:p>
    <w:bookmarkEnd w:id="30"/>
    <w:bookmarkStart w:id="31"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Cryptophyte + Chromulina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Halamphora coffeaeformis suggests slight enrichment or low ionic influence</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Chromulina and cryptophyte mix</w:t>
            </w:r>
          </w:p>
        </w:tc>
      </w:tr>
      <w:tr>
        <w:tc>
          <w:tcPr/>
          <w:p>
            <w:pPr>
              <w:pStyle w:val="Compact"/>
              <w:jc w:val="left"/>
            </w:pPr>
            <w:r>
              <w:t xml:space="preserve">Dissolved organic carbon</w:t>
            </w:r>
          </w:p>
        </w:tc>
        <w:tc>
          <w:tcPr/>
          <w:p>
            <w:pPr>
              <w:pStyle w:val="Compact"/>
              <w:jc w:val="left"/>
            </w:pPr>
            <w:r>
              <w:t xml:space="preserve">Moderate</w:t>
            </w:r>
          </w:p>
        </w:tc>
        <w:tc>
          <w:tcPr/>
          <w:p>
            <w:pPr>
              <w:pStyle w:val="Compact"/>
              <w:jc w:val="left"/>
            </w:pPr>
            <w:r>
              <w:t xml:space="preserve">Humic indicators present</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Eel survives, no anoxia signal</w:t>
            </w:r>
          </w:p>
        </w:tc>
      </w:tr>
    </w:tbl>
    <w:bookmarkEnd w:id="31"/>
    <w:bookmarkStart w:id="32" w:name="narrative-2"/>
    <w:p>
      <w:pPr>
        <w:pStyle w:val="Heading3"/>
      </w:pPr>
      <w:r>
        <w:t xml:space="preserve">Narrative</w:t>
      </w:r>
    </w:p>
    <w:p>
      <w:pPr>
        <w:pStyle w:val="FirstParagraph"/>
      </w:pPr>
      <w:r>
        <w:t xml:space="preserve">American Eel at 100% relative abundance — a single fish taxon across all reads. This result demands careful interpretation before concluding impairment.</w:t>
      </w:r>
    </w:p>
    <w:p>
      <w:pPr>
        <w:pStyle w:val="BodyText"/>
      </w:pPr>
      <w:r>
        <w:t xml:space="preserve">American Eel (</w:t>
      </w:r>
      <w:r>
        <w:rPr>
          <w:iCs/>
          <w:i/>
        </w:rPr>
        <w:t xml:space="preserve">Anguilla rostrata</w:t>
      </w:r>
      <w:r>
        <w:t xml:space="preserve">)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Pr>
        <w:pStyle w:val="BodyText"/>
      </w:pPr>
      <w:r>
        <w:t xml:space="preserve">The algal community does not support toxicity. Cryptophytes (20.5%), Pennate Diatoms (22.1%),</w:t>
      </w:r>
      <w:r>
        <w:t xml:space="preserve"> </w:t>
      </w:r>
      <w:r>
        <w:rPr>
          <w:iCs/>
          <w:i/>
        </w:rPr>
        <w:t xml:space="preserve">Halamphora coffeaeformis</w:t>
      </w:r>
      <w:r>
        <w:t xml:space="preserve"> </w:t>
      </w:r>
      <w:r>
        <w:t xml:space="preserve">(14.9%), and Chromulina (8%) form a diverse soft-water assemblage.</w:t>
      </w:r>
      <w:r>
        <w:t xml:space="preserve"> </w:t>
      </w:r>
      <w:r>
        <w:rPr>
          <w:iCs/>
          <w:i/>
        </w:rPr>
        <w:t xml:space="preserve">Halamphora coffeaeformis</w:t>
      </w:r>
      <w:r>
        <w:t xml:space="preserve"> </w:t>
      </w:r>
      <w:r>
        <w:t xml:space="preserve">is notable — it is found in slightly enriched or occasionally oligohaline conditions, which may hint at some tidal or groundwater influence even this far upstream. H</w:t>
      </w:r>
      <w:r>
        <w:t xml:space="preserve">a</w:t>
      </w:r>
      <w:r>
        <w:t xml:space="preserve"> </w:t>
      </w:r>
      <w:r>
        <w:t xml:space="preserve">= 3.16 with 77 ESVs is consistent with a functioning brook, not a chemically stressed one.</w:t>
      </w:r>
    </w:p>
    <w:bookmarkEnd w:id="32"/>
    <w:bookmarkStart w:id="33" w:name="native-vs.-non-native-2"/>
    <w:p>
      <w:pPr>
        <w:pStyle w:val="Heading3"/>
      </w:pPr>
      <w:r>
        <w:t xml:space="preserve">Native vs. Non-Native</w:t>
      </w:r>
    </w:p>
    <w:p>
      <w:pPr>
        <w:pStyle w:val="FirstParagraph"/>
      </w:pPr>
      <w:r>
        <w:t xml:space="preserve">American Eel is fully native. Its catadromous life history makes it one of the most far-ranging native vertebrates in the northeastern freshwater landscape. Its presence confirms ocean connectivity to this reach.</w:t>
      </w:r>
    </w:p>
    <w:p>
      <w:pPr>
        <w:pStyle w:val="BodyText"/>
      </w:pPr>
      <w:r>
        <w:t xml:space="preserve">This site reads as habitat-limited or seasonally undersampled rather than impaired — but the single-species fish result demands follow-up sampling in warmer months when a richer community would be active.</w:t>
      </w:r>
    </w:p>
    <w:p>
      <w:r>
        <w:pict>
          <v:rect style="width:0;height:1.5pt" o:hralign="center" o:hrstd="t" o:hr="t"/>
        </w:pict>
      </w:r>
    </w:p>
    <w:p>
      <w:r>
        <w:pict>
          <v:rect style="width:0;height:1.5pt" o:hralign="center" o:hrstd="t" o:hr="t"/>
        </w:pict>
      </w:r>
    </w:p>
    <w:bookmarkEnd w:id="33"/>
    <w:bookmarkEnd w:id="34"/>
    <w:bookmarkStart w:id="39" w:name="Xcbf2395242071db3af8730dfe8af325adeb5124"/>
    <w:p>
      <w:pPr>
        <w:pStyle w:val="Heading2"/>
      </w:pPr>
      <w:r>
        <w:t xml:space="preserve">West Branch Narraguagus River @ Sprague’s Falls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35" w:name="sentinel-signal-3"/>
    <w:p>
      <w:pPr>
        <w:pStyle w:val="Heading3"/>
      </w:pPr>
      <w:r>
        <w:t xml:space="preserve">Sentinel Signal</w:t>
      </w:r>
    </w:p>
    <w:p>
      <w:pPr>
        <w:pStyle w:val="FirstParagraph"/>
      </w:pPr>
      <w:r>
        <w:t xml:space="preserve">Finescale Dace + Trout sp.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35"/>
    <w:bookmarkStart w:id="36"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Moderate — above Crotch Camp but soft</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Diverse diatom community; no turbidity-tolerant taxa dominating</w:t>
            </w:r>
          </w:p>
        </w:tc>
      </w:tr>
    </w:tbl>
    <w:bookmarkEnd w:id="36"/>
    <w:bookmarkStart w:id="37"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37"/>
    <w:bookmarkStart w:id="38"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38"/>
    <w:bookmarkEnd w:id="39"/>
    <w:bookmarkStart w:id="44" w:name="narraguagus-rt-193-ca66thtz.1"/>
    <w:p>
      <w:pPr>
        <w:pStyle w:val="Heading2"/>
      </w:pPr>
      <w:r>
        <w:t xml:space="preserve">Narraguagus Rt 193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40"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40"/>
    <w:bookmarkStart w:id="41"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Alewife, Salmon, Lamprey decomposition subsidies</w:t>
            </w:r>
          </w:p>
        </w:tc>
      </w:tr>
    </w:tbl>
    <w:bookmarkEnd w:id="41"/>
    <w:bookmarkStart w:id="42"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42"/>
    <w:bookmarkStart w:id="43"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43"/>
    <w:bookmarkEnd w:id="44"/>
    <w:bookmarkStart w:id="45"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2026-05-01T15:18:35Z</dcterms:created>
  <dcterms:modified xsi:type="dcterms:W3CDTF">2026-05-01T15:18:35Z</dcterms:modified>
</cp:coreProperties>
</file>

<file path=docProps/custom.xml><?xml version="1.0" encoding="utf-8"?>
<Properties xmlns="http://schemas.openxmlformats.org/officeDocument/2006/custom-properties" xmlns:vt="http://schemas.openxmlformats.org/officeDocument/2006/docPropsVTypes"/>
</file>