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arraguagus-watershed-edna-report"/>
    <w:p>
      <w:pPr>
        <w:pStyle w:val="Heading1"/>
      </w:pPr>
      <w:r>
        <w:t xml:space="preserve">Narraguagus Watershed eDNA Report</w:t>
      </w:r>
    </w:p>
    <w:bookmarkStart w:id="22" w:name="deblois-maine-november-2023"/>
    <w:p>
      <w:pPr>
        <w:pStyle w:val="Heading2"/>
      </w:pPr>
      <w:r>
        <w:t xml:space="preserve">Deblois, Maine — November 2023</w:t>
      </w:r>
    </w:p>
    <w:p>
      <w:r>
        <w:pict>
          <v:rect style="width:0;height:1.5pt" o:hralign="center" o:hrstd="t" o:hr="t"/>
        </w:pict>
      </w:r>
    </w:p>
    <w:bookmarkStart w:id="20" w:name="a-note-on-interpretation"/>
    <w:p>
      <w:pPr>
        <w:pStyle w:val="Heading3"/>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eDNA is an emerging science and while this is a best-effort analysis there may be mistakes; this preliminary report is shared for feedback more than as established fact. If a species is detected (no matter how unexpected), or not detected, that is what is written. The core of eDNA science is statistical likelihood drawn from billions of complete and fragmented DNA strands — results represent a percentage of detection probability more than a census of individuals, though relative abundance is a natural inference. If a reading is ambiguous, the ambiguity is named and the most likely interpretation is stated directly. Unsupported qualifications are not a substitute for data.</w:t>
      </w:r>
    </w:p>
    <w:p>
      <w:pPr>
        <w:pStyle w:val="BodyText"/>
      </w:pPr>
      <w:r>
        <w:rPr>
          <w:bCs/>
          <w:b/>
        </w:rPr>
        <w:t xml:space="preserve">Methods:</w:t>
      </w:r>
      <w:r>
        <w:t xml:space="preserve"> </w:t>
      </w:r>
      <w:r>
        <w:t xml:space="preserve">All samples were collected using Jonah Ventures (JV) eDNA field kits following recommended field-sterile procedures. All samples were mailed to JV for processing. Fish samples were analyzed using the MiFish 12S rRNA barcode; all samples were also analyzed for algae using the 23S rRNA barcode. Results were processed in MS Excel and later using Artificial Intelligence (Claude) for analysis.</w:t>
      </w:r>
    </w:p>
    <w:p>
      <w:r>
        <w:pict>
          <v:rect style="width:0;height:1.5pt" o:hralign="center" o:hrstd="t" o:hr="t"/>
        </w:pict>
      </w:r>
    </w:p>
    <w:bookmarkEnd w:id="20"/>
    <w:bookmarkStart w:id="21" w:name="how-to-read-this-report"/>
    <w:p>
      <w:pPr>
        <w:pStyle w:val="Heading3"/>
      </w:pPr>
      <w:r>
        <w:t xml:space="preserve">How to Read This Report</w:t>
      </w:r>
    </w:p>
    <w:p>
      <w:pPr>
        <w:pStyle w:val="FirstParagraph"/>
      </w:pPr>
      <w:r>
        <w:rPr>
          <w:bCs/>
          <w:b/>
        </w:rPr>
        <w:t xml:space="preserve">Fish eDNA is the center of this report.</w:t>
      </w:r>
      <w:r>
        <w:t xml:space="preserve"> </w:t>
      </w:r>
      <w:r>
        <w:t xml:space="preserve">Fish integrate conditions over years — their presence or absence at a site reflects whether the habitat has been livable long enough to support recruitment, growth, and community assembly. Brook Trout (</w:t>
      </w:r>
      <w:r>
        <w:rPr>
          <w:iCs/>
          <w:i/>
        </w:rPr>
        <w:t xml:space="preserve">Salvelinus fontinalis</w:t>
      </w:r>
      <w:r>
        <w:t xml:space="preserve">) is the primary sentinel: cold, clean, well-oxygenated water. Where Brook Trout are found, the watershed is working. Where they are absent, the report asks why.</w:t>
      </w:r>
    </w:p>
    <w:p>
      <w:pPr>
        <w:pStyle w:val="BodyText"/>
      </w:pPr>
      <w:r>
        <w:t xml:space="preserve">Algal reports deepen this focus and add an additional layer of insight. Key species that mark clean, high-quality water further illustrate Brook Trout-friendly conditions. Algae are the base of the food web, responding within days to light, temperature, pH, and nutrients. Together, fish and algae tell a story neither can tell alone.</w:t>
      </w:r>
    </w:p>
    <w:p>
      <w:pPr>
        <w:pStyle w:val="BodyText"/>
      </w:pPr>
      <w:r>
        <w:rPr>
          <w:bCs/>
          <w:b/>
        </w:rPr>
        <w:t xml:space="preserve">Shannon Diversity</w:t>
      </w:r>
      <w:r>
        <w:t xml:space="preserve"> </w:t>
      </w:r>
      <w:r>
        <w:t xml:space="preserve">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The formula −Σ p·ln p sums, for each species, its proportional abundance (p) multiplied by its natural log — so a community with many species each contributing similar read counts scores higher than one dominated by a single species. A higher value means more even distribution of reads across species — a proxy for ecological complexity and environmental quality.</w:t>
      </w:r>
    </w:p>
    <w:p>
      <w:pPr>
        <w:pStyle w:val="BodyText"/>
      </w:pPr>
      <w:r>
        <w:rPr>
          <w:bCs/>
          <w:b/>
        </w:rPr>
        <w:t xml:space="preserve">Ecological complexity</w:t>
      </w:r>
      <w:r>
        <w:t xml:space="preserve"> </w:t>
      </w:r>
      <w:r>
        <w:t xml:space="preserve">is highly favorable to healthy ecosystems. Complex systems are more robust, more durable, more adaptable to environmental change, and more capable of supporting migration and reproduction — and rich sources of food at all trophic levels. Shannon Diversity (H) captures this: higher values mean more species contributing meaningfully to the community — not one dominant species and noise.</w:t>
      </w:r>
    </w:p>
    <w:p>
      <w:pPr>
        <w:pStyle w:val="BodyText"/>
      </w:pPr>
      <w:r>
        <w:rPr>
          <w:bCs/>
          <w:b/>
        </w:rPr>
        <w:t xml:space="preserve">Read counts</w:t>
      </w:r>
      <w:r>
        <w:t xml:space="preserve"> </w:t>
      </w:r>
      <w:r>
        <w:t xml:space="preserve">are proportional, not absolute — they are literal counts of distinct DNA molecules in the sample. A species at 1% with 10,000 total reads (100 reads) is more reliable than a species at 1% with 500 total reads (5 reads).</w:t>
      </w:r>
    </w:p>
    <w:p>
      <w:pPr>
        <w:pStyle w:val="BodyText"/>
      </w:pPr>
      <w:r>
        <w:rPr>
          <w:bCs/>
          <w:b/>
        </w:rPr>
        <w:t xml:space="preserve">Water chemistry</w:t>
      </w:r>
      <w:r>
        <w:t xml:space="preserve"> </w:t>
      </w:r>
      <w:r>
        <w:t xml:space="preserve">values are inferred from biological indicator species unless otherwise stated — directionally reliable but not a substitute for direct measurement.</w:t>
      </w:r>
    </w:p>
    <w:p>
      <w:r>
        <w:pict>
          <v:rect style="width:0;height:1.5pt" o:hralign="center" o:hrstd="t" o:hr="t"/>
        </w:pict>
      </w:r>
    </w:p>
    <w:bookmarkEnd w:id="21"/>
    <w:bookmarkEnd w:id="22"/>
    <w:bookmarkEnd w:id="23"/>
    <w:bookmarkStart w:id="51"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 (Crotch Camp Brook, West Branch Narraguagus).</w:t>
      </w:r>
      <w:r>
        <w:t xml:space="preserve"> </w:t>
      </w:r>
      <w:r>
        <w:rPr>
          <w:bCs/>
          <w:b/>
        </w:rPr>
        <w:t xml:space="preserve">Atlantic Salmon status: Detected (Narraguagus Rt 193, 110 reads, 100% match — Gulf of Maine DPS, federally endangered).</w:t>
      </w:r>
    </w:p>
    <w:p>
      <w:r>
        <w:pict>
          <v:rect style="width:0;height:1.5pt" o:hralign="center" o:hrstd="t" o:hr="t"/>
        </w:pict>
      </w:r>
    </w:p>
    <w:bookmarkStart w:id="28" w:name="mccoy-brook-cswee3dx.1"/>
    <w:p>
      <w:pPr>
        <w:pStyle w:val="Heading2"/>
      </w:pPr>
      <w:r>
        <w:t xml:space="preserve">McCoy Brook | CSWEE3DX.1</w:t>
      </w:r>
    </w:p>
    <w:p>
      <w:pPr>
        <w:pStyle w:val="FirstParagraph"/>
      </w:pPr>
      <w:r>
        <w:rPr>
          <w:bCs/>
          <w:b/>
        </w:rPr>
        <w:t xml:space="preserve">Fish: 1 species, H(f) = 0.00 | Algae: 91 ESVs, H(a) = 3.28 | Recorded pH: 3.54</w:t>
      </w:r>
    </w:p>
    <w:bookmarkStart w:id="2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24"/>
    <w:bookmarkStart w:id="2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3.54 (measured)</w:t>
            </w:r>
          </w:p>
        </w:tc>
        <w:tc>
          <w:tcPr/>
          <w:p>
            <w:pPr>
              <w:pStyle w:val="Compact"/>
              <w:jc w:val="left"/>
            </w:pPr>
            <w:r>
              <w:t xml:space="preserve">Direct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25"/>
    <w:bookmarkStart w:id="2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26"/>
    <w:bookmarkStart w:id="2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bookmarkEnd w:id="27"/>
    <w:bookmarkEnd w:id="28"/>
    <w:bookmarkStart w:id="33" w:name="crotch-camp-brook-cntlvpx4.1"/>
    <w:p>
      <w:pPr>
        <w:pStyle w:val="Heading2"/>
      </w:pPr>
      <w:r>
        <w:t xml:space="preserve">Crotch Camp Brook | CNTLVPX4.1</w:t>
      </w:r>
    </w:p>
    <w:p>
      <w:pPr>
        <w:pStyle w:val="FirstParagraph"/>
      </w:pPr>
      <w:r>
        <w:rPr>
          <w:bCs/>
          <w:b/>
        </w:rPr>
        <w:t xml:space="preserve">Fish: 9 species, H(f) = 1.69 | Algae: 76 ESVs, H(a) = 2.30</w:t>
      </w:r>
    </w:p>
    <w:bookmarkStart w:id="29" w:name="sentinel-signal-1"/>
    <w:p>
      <w:pPr>
        <w:pStyle w:val="Heading3"/>
      </w:pPr>
      <w:r>
        <w:t xml:space="preserve">Sentinel Signal</w:t>
      </w:r>
    </w:p>
    <w:p>
      <w:pPr>
        <w:pStyle w:val="FirstParagraph"/>
      </w:pPr>
      <w:r>
        <w:t xml:space="preserve">Synura at 74% dominance + Trout sp.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29"/>
    <w:bookmarkStart w:id="30"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Synura optimal range</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Trout presence confirms aerobic conditions</w:t>
            </w:r>
          </w:p>
        </w:tc>
      </w:tr>
    </w:tbl>
    <w:bookmarkEnd w:id="30"/>
    <w:bookmarkStart w:id="3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31"/>
    <w:bookmarkStart w:id="3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 Trout sp. signal reflects</w:t>
      </w:r>
      <w:r>
        <w:t xml:space="preserve"> </w:t>
      </w:r>
      <w:r>
        <w:rPr>
          <w:iCs/>
          <w:i/>
        </w:rPr>
        <w:t xml:space="preserve">Salvelinus</w:t>
      </w:r>
      <w:r>
        <w:t xml:space="preserve"> </w:t>
      </w:r>
      <w:r>
        <w:t xml:space="preserve">spp. at 100% match — the MiFish 12S locus does not distinguish Brook Trout (</w:t>
      </w:r>
      <w:r>
        <w:rPr>
          <w:iCs/>
          <w:i/>
        </w:rPr>
        <w:t xml:space="preserve">S. fontinalis</w:t>
      </w:r>
      <w:r>
        <w:t xml:space="preserve">) from Lake Trout (</w:t>
      </w:r>
      <w:r>
        <w:rPr>
          <w:iCs/>
          <w:i/>
        </w:rPr>
        <w:t xml:space="preserve">S. namaycush</w:t>
      </w:r>
      <w:r>
        <w:t xml:space="preserve">) or Arctic Char (</w:t>
      </w:r>
      <w:r>
        <w:rPr>
          <w:iCs/>
          <w:i/>
        </w:rPr>
        <w:t xml:space="preserve">S. alpinus</w:t>
      </w:r>
      <w:r>
        <w:t xml:space="preserve">) at this resolution. Geographic context — small, cold, phosphorus-limited headwater tributary in Washington County, Maine — strongly supports Brook Trout. Lake Trout prefer deep lakes; Arctic Char is documented in only a handful of Maine coldwater ponds. Reported throughout as Trout sp.</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bookmarkEnd w:id="32"/>
    <w:bookmarkEnd w:id="33"/>
    <w:bookmarkStart w:id="38" w:name="unt-lane-rd-cnr7wzyj.1"/>
    <w:p>
      <w:pPr>
        <w:pStyle w:val="Heading2"/>
      </w:pPr>
      <w:r>
        <w:t xml:space="preserve">UNT Lane Rd | CNR7WZYJ.1</w:t>
      </w:r>
    </w:p>
    <w:p>
      <w:pPr>
        <w:pStyle w:val="FirstParagraph"/>
      </w:pPr>
      <w:r>
        <w:rPr>
          <w:bCs/>
          <w:b/>
        </w:rPr>
        <w:t xml:space="preserve">Fish: 1 species, H(f) = 0.00 | Algae: 77 ESVs, H(a) = 3.16</w:t>
      </w:r>
    </w:p>
    <w:bookmarkStart w:id="34" w:name="sentinel-signal-2"/>
    <w:p>
      <w:pPr>
        <w:pStyle w:val="Heading3"/>
      </w:pPr>
      <w:r>
        <w:t xml:space="preserve">Sentinel Signal</w:t>
      </w:r>
    </w:p>
    <w:p>
      <w:pPr>
        <w:pStyle w:val="FirstParagraph"/>
      </w:pPr>
      <w:r>
        <w:t xml:space="preserve">American Eel alone + diverse soft-water algal community =</w:t>
      </w:r>
      <w:r>
        <w:t xml:space="preserve"> </w:t>
      </w:r>
      <w:r>
        <w:rPr>
          <w:bCs/>
          <w:b/>
        </w:rPr>
        <w:t xml:space="preserve">connectivity present, fish community ambiguous — barrier or seasonality likely, not acute impairment</w:t>
      </w:r>
      <w:r>
        <w:t xml:space="preserve">. The algae do not support a toxicity interpretation.</w:t>
      </w:r>
    </w:p>
    <w:bookmarkEnd w:id="34"/>
    <w:bookmarkStart w:id="35"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Cryptophyte + Chromulina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Halamphora coffeaeformis suggests slight enrichment or low ionic influence</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Chromulina and cryptophyte mix</w:t>
            </w:r>
          </w:p>
        </w:tc>
      </w:tr>
      <w:tr>
        <w:tc>
          <w:tcPr/>
          <w:p>
            <w:pPr>
              <w:pStyle w:val="Compact"/>
              <w:jc w:val="left"/>
            </w:pPr>
            <w:r>
              <w:t xml:space="preserve">Dissolved organic carbon</w:t>
            </w:r>
          </w:p>
        </w:tc>
        <w:tc>
          <w:tcPr/>
          <w:p>
            <w:pPr>
              <w:pStyle w:val="Compact"/>
              <w:jc w:val="left"/>
            </w:pPr>
            <w:r>
              <w:t xml:space="preserve">Moderate</w:t>
            </w:r>
          </w:p>
        </w:tc>
        <w:tc>
          <w:tcPr/>
          <w:p>
            <w:pPr>
              <w:pStyle w:val="Compact"/>
              <w:jc w:val="left"/>
            </w:pPr>
            <w:r>
              <w:t xml:space="preserve">Humic indicators present</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Eel survives, no anoxia signal</w:t>
            </w:r>
          </w:p>
        </w:tc>
      </w:tr>
    </w:tbl>
    <w:bookmarkEnd w:id="35"/>
    <w:bookmarkStart w:id="36" w:name="narrative-2"/>
    <w:p>
      <w:pPr>
        <w:pStyle w:val="Heading3"/>
      </w:pPr>
      <w:r>
        <w:t xml:space="preserve">Narrative</w:t>
      </w:r>
    </w:p>
    <w:p>
      <w:pPr>
        <w:pStyle w:val="FirstParagraph"/>
      </w:pPr>
      <w:r>
        <w:t xml:space="preserve">American Eel at 100% relative abundance — a single fish taxon across all reads. This result demands careful interpretation before concluding impairment.</w:t>
      </w:r>
    </w:p>
    <w:p>
      <w:pPr>
        <w:pStyle w:val="BodyText"/>
      </w:pPr>
      <w:r>
        <w:t xml:space="preserve">American Eel (</w:t>
      </w:r>
      <w:r>
        <w:rPr>
          <w:iCs/>
          <w:i/>
        </w:rPr>
        <w:t xml:space="preserve">Anguilla rostrata</w:t>
      </w:r>
      <w:r>
        <w:t xml:space="preserve">)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Pr>
        <w:pStyle w:val="BodyText"/>
      </w:pPr>
      <w:r>
        <w:t xml:space="preserve">The algal community does not support toxicity. Cryptophytes (20.5%), Pennate Diatoms (22.1%),</w:t>
      </w:r>
      <w:r>
        <w:t xml:space="preserve"> </w:t>
      </w:r>
      <w:r>
        <w:rPr>
          <w:iCs/>
          <w:i/>
        </w:rPr>
        <w:t xml:space="preserve">Halamphora coffeaeformis</w:t>
      </w:r>
      <w:r>
        <w:t xml:space="preserve"> </w:t>
      </w:r>
      <w:r>
        <w:t xml:space="preserve">(14.9%), and Chromulina (8%) form a diverse soft-water assemblage.</w:t>
      </w:r>
      <w:r>
        <w:t xml:space="preserve"> </w:t>
      </w:r>
      <w:r>
        <w:rPr>
          <w:iCs/>
          <w:i/>
        </w:rPr>
        <w:t xml:space="preserve">Halamphora coffeaeformis</w:t>
      </w:r>
      <w:r>
        <w:t xml:space="preserve"> </w:t>
      </w:r>
      <w:r>
        <w:t xml:space="preserve">is notable — it is found in slightly enriched or occasionally oligohaline conditions, which may hint at some tidal or groundwater influence even this far upstream. H(a) = 3.16 with 77 ESVs is consistent with a functioning brook, not a chemically stressed one.</w:t>
      </w:r>
    </w:p>
    <w:bookmarkEnd w:id="36"/>
    <w:bookmarkStart w:id="37" w:name="native-vs.-non-native-2"/>
    <w:p>
      <w:pPr>
        <w:pStyle w:val="Heading3"/>
      </w:pPr>
      <w:r>
        <w:t xml:space="preserve">Native vs. Non-Native</w:t>
      </w:r>
    </w:p>
    <w:p>
      <w:pPr>
        <w:pStyle w:val="FirstParagraph"/>
      </w:pPr>
      <w:r>
        <w:t xml:space="preserve">American Eel is fully native. Its catadromous life history makes it one of the most far-ranging native vertebrates in the northeastern freshwater landscape. Its presence confirms ocean connectivity to this reach.</w:t>
      </w:r>
    </w:p>
    <w:p>
      <w:pPr>
        <w:pStyle w:val="BodyText"/>
      </w:pPr>
      <w:r>
        <w:t xml:space="preserve">This site reads as habitat-limited or seasonally undersampled rather than impaired — but the single-species fish result demands follow-up sampling in warmer months when a richer community would be active.</w:t>
      </w:r>
    </w:p>
    <w:p>
      <w:r>
        <w:pict>
          <v:rect style="width:0;height:1.5pt" o:hralign="center" o:hrstd="t" o:hr="t"/>
        </w:pict>
      </w:r>
    </w:p>
    <w:bookmarkEnd w:id="37"/>
    <w:bookmarkEnd w:id="38"/>
    <w:bookmarkStart w:id="43" w:name="Xcbf2395242071db3af8730dfe8af325adeb5124"/>
    <w:p>
      <w:pPr>
        <w:pStyle w:val="Heading2"/>
      </w:pPr>
      <w:r>
        <w:t xml:space="preserve">West Branch Narraguagus River @ Sprague’s Falls | CY92PPTX.1</w:t>
      </w:r>
    </w:p>
    <w:p>
      <w:pPr>
        <w:pStyle w:val="FirstParagraph"/>
      </w:pPr>
      <w:r>
        <w:rPr>
          <w:bCs/>
          <w:b/>
        </w:rPr>
        <w:t xml:space="preserve">Fish: 14 species, H(f) = 1.94 | Algae: 201 ESVs, H(a) = 4.55 (highest in dataset)</w:t>
      </w:r>
    </w:p>
    <w:bookmarkStart w:id="39" w:name="sentinel-signal-3"/>
    <w:p>
      <w:pPr>
        <w:pStyle w:val="Heading3"/>
      </w:pPr>
      <w:r>
        <w:t xml:space="preserve">Sentinel Signal</w:t>
      </w:r>
    </w:p>
    <w:p>
      <w:pPr>
        <w:pStyle w:val="FirstParagraph"/>
      </w:pPr>
      <w:r>
        <w:t xml:space="preserve">Finescale Dace + Trout sp.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39"/>
    <w:bookmarkStart w:id="40"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Native soft-water fish guild; diverse diatoms</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Moderate — above Crotch Camp but soft</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Diverse diatom community; no turbidity-tolerant taxa dominating</w:t>
            </w:r>
          </w:p>
        </w:tc>
      </w:tr>
    </w:tbl>
    <w:bookmarkEnd w:id="40"/>
    <w:bookmarkStart w:id="4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41"/>
    <w:bookmarkStart w:id="4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bookmarkEnd w:id="42"/>
    <w:bookmarkEnd w:id="43"/>
    <w:bookmarkStart w:id="48" w:name="narraguagus-rt-193-ca66thtz.1"/>
    <w:p>
      <w:pPr>
        <w:pStyle w:val="Heading2"/>
      </w:pPr>
      <w:r>
        <w:t xml:space="preserve">Narraguagus Rt 193 | CA66THTZ.1</w:t>
      </w:r>
    </w:p>
    <w:p>
      <w:pPr>
        <w:pStyle w:val="FirstParagraph"/>
      </w:pPr>
      <w:r>
        <w:rPr>
          <w:bCs/>
          <w:b/>
        </w:rPr>
        <w:t xml:space="preserve">Fish: 19 species, H(f) = 2.16 (highest in ME) | Algae: 117 ESVs, H(a) = 3.86</w:t>
      </w:r>
    </w:p>
    <w:bookmarkStart w:id="4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44"/>
    <w:bookmarkStart w:id="45"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6.0–7.0</w:t>
            </w:r>
          </w:p>
        </w:tc>
        <w:tc>
          <w:tcPr/>
          <w:p>
            <w:pPr>
              <w:pStyle w:val="Compact"/>
              <w:jc w:val="left"/>
            </w:pPr>
            <w:r>
              <w:t xml:space="preserve">Mainstem; cryptophyte + centric diatom assemblage</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Alewife, Salmon, Lamprey decomposition subsidies</w:t>
            </w:r>
          </w:p>
        </w:tc>
      </w:tr>
    </w:tbl>
    <w:bookmarkEnd w:id="45"/>
    <w:bookmarkStart w:id="4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w:t>
      </w:r>
      <w:r>
        <w:rPr>
          <w:iCs/>
          <w:i/>
        </w:rPr>
        <w:t xml:space="preserve">Alosa pseudoharengus</w:t>
      </w:r>
      <w:r>
        <w:t xml:space="preserve">, 26.3%) is the dominant taxon — ocean fish that ascend rivers in spring to spawn. Species identity confirmed at 100% ESV match.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w:t>
      </w:r>
      <w:r>
        <w:t xml:space="preserve"> </w:t>
      </w:r>
      <w:r>
        <w:rPr>
          <w:iCs/>
          <w:i/>
        </w:rPr>
        <w:t xml:space="preserve">Esox</w:t>
      </w:r>
      <w:r>
        <w:t xml:space="preserve"> </w:t>
      </w:r>
      <w:r>
        <w:t xml:space="preserve">spp. (3.6%), 19 species total — reflects a complete, multi-guild community from benthic feeders to apex predators. The</w:t>
      </w:r>
      <w:r>
        <w:t xml:space="preserve"> </w:t>
      </w:r>
      <w:r>
        <w:rPr>
          <w:iCs/>
          <w:i/>
        </w:rPr>
        <w:t xml:space="preserve">Esox</w:t>
      </w:r>
      <w:r>
        <w:t xml:space="preserve"> </w:t>
      </w:r>
      <w:r>
        <w:t xml:space="preserve">detection is unresolved at species level; in Washington County, Maine, Chain Pickerel (</w:t>
      </w:r>
      <w:r>
        <w:rPr>
          <w:iCs/>
          <w:i/>
        </w:rPr>
        <w:t xml:space="preserve">E. niger</w:t>
      </w:r>
      <w:r>
        <w:t xml:space="preserve">) is the most likely candidate. H(f) = 2.16 is the highest fish Shannon Diversity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46"/>
    <w:bookmarkStart w:id="4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bookmarkEnd w:id="47"/>
    <w:bookmarkEnd w:id="48"/>
    <w:bookmarkStart w:id="4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H(f) ranges from 0.00 (single-species sites) to 2.16. Shannon Diversity of zero does not mean biological death — McCoy Brook has Creek Chub, UNT Lane Rd has Eel — it means the entire detectable fish community is a single species, which is itself an ecological signal.</w:t>
      </w:r>
    </w:p>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 from headwater dace to mainstem salmon — on a complex algal foundation.</w:t>
      </w:r>
    </w:p>
    <w:p>
      <w:r>
        <w:pict>
          <v:rect style="width:0;height:1.5pt" o:hralign="center" o:hrstd="t" o:hr="t"/>
        </w:pict>
      </w:r>
    </w:p>
    <w:bookmarkEnd w:id="49"/>
    <w:bookmarkStart w:id="50" w:name="detailed-species-detection-table"/>
    <w:p>
      <w:pPr>
        <w:pStyle w:val="Heading2"/>
      </w:pPr>
      <w:r>
        <w:t xml:space="preserve">Detailed Species Detection Table</w:t>
      </w:r>
    </w:p>
    <w:p>
      <w:pPr>
        <w:pStyle w:val="FirstParagraph"/>
      </w:pPr>
      <w:r>
        <w:t xml:space="preserve">All five Narraguagus/Deblois sites. Read counts are fish-only (Actinopteri) unless noted. Percentages are per-site (reads ÷ total Actinopteri reads at that site). Site codes:</w:t>
      </w:r>
      <w:r>
        <w:t xml:space="preserve"> </w:t>
      </w:r>
      <w:r>
        <w:rPr>
          <w:bCs/>
          <w:b/>
        </w:rPr>
        <w:t xml:space="preserve">SF</w:t>
      </w:r>
      <w:r>
        <w:t xml:space="preserve"> </w:t>
      </w:r>
      <w:r>
        <w:t xml:space="preserve">= West Branch @ Sprague’s Falls (n = 28,465);</w:t>
      </w:r>
      <w:r>
        <w:t xml:space="preserve"> </w:t>
      </w:r>
      <w:r>
        <w:rPr>
          <w:bCs/>
          <w:b/>
        </w:rPr>
        <w:t xml:space="preserve">CC</w:t>
      </w:r>
      <w:r>
        <w:t xml:space="preserve"> </w:t>
      </w:r>
      <w:r>
        <w:t xml:space="preserve">= Crotch Camp Creek (n = 35,496);</w:t>
      </w:r>
      <w:r>
        <w:t xml:space="preserve"> </w:t>
      </w:r>
      <w:r>
        <w:rPr>
          <w:bCs/>
          <w:b/>
        </w:rPr>
        <w:t xml:space="preserve">UNT</w:t>
      </w:r>
      <w:r>
        <w:t xml:space="preserve"> </w:t>
      </w:r>
      <w:r>
        <w:t xml:space="preserve">= UNT Lane Rd Deblois (n = 426);</w:t>
      </w:r>
      <w:r>
        <w:t xml:space="preserve"> </w:t>
      </w:r>
      <w:r>
        <w:rPr>
          <w:bCs/>
          <w:b/>
        </w:rPr>
        <w:t xml:space="preserve">MB</w:t>
      </w:r>
      <w:r>
        <w:t xml:space="preserve"> </w:t>
      </w:r>
      <w:r>
        <w:t xml:space="preserve">= McCoy Brook (n = 5,841);</w:t>
      </w:r>
      <w:r>
        <w:t xml:space="preserve"> </w:t>
      </w:r>
      <w:r>
        <w:rPr>
          <w:bCs/>
          <w:b/>
        </w:rPr>
        <w:t xml:space="preserve">R193</w:t>
      </w:r>
      <w:r>
        <w:t xml:space="preserve"> </w:t>
      </w:r>
      <w:r>
        <w:t xml:space="preserve">= Narraguagus Rt 193 (n = 40,026). Dash (—) = not detected. Multiple ESVs for the same taxon are summed. Match % reflects the highest-scoring ESV.</w:t>
      </w:r>
    </w:p>
    <w:tbl>
      <w:tblPr>
        <w:tblStyle w:val="Table"/>
        <w:tblW w:type="pct" w:w="5000"/>
        <w:tblLook w:firstRow="1" w:lastRow="0" w:firstColumn="0" w:lastColumn="0" w:noHBand="0" w:noVBand="0" w:val="0020"/>
        <w:jc w:val="start"/>
        <w:tblLayout w:type="fixed"/>
      </w:tblPr>
      <w:tblGrid>
        <w:gridCol w:w="660"/>
        <w:gridCol w:w="880"/>
        <w:gridCol w:w="880"/>
        <w:gridCol w:w="880"/>
        <w:gridCol w:w="880"/>
        <w:gridCol w:w="880"/>
        <w:gridCol w:w="1100"/>
        <w:gridCol w:w="1100"/>
        <w:gridCol w:w="660"/>
      </w:tblGrid>
      <w:tr>
        <w:trPr>
          <w:tblHeader w:val="true"/>
        </w:trPr>
        <w:tc>
          <w:tcPr/>
          <w:p>
            <w:pPr>
              <w:pStyle w:val="Compact"/>
              <w:jc w:val="left"/>
            </w:pPr>
            <w:r>
              <w:t xml:space="preserve">Taxon</w:t>
            </w:r>
          </w:p>
        </w:tc>
        <w:tc>
          <w:tcPr/>
          <w:p>
            <w:pPr>
              <w:pStyle w:val="Compact"/>
              <w:jc w:val="right"/>
            </w:pPr>
            <w:r>
              <w:t xml:space="preserve">SF</w:t>
            </w:r>
          </w:p>
        </w:tc>
        <w:tc>
          <w:tcPr/>
          <w:p>
            <w:pPr>
              <w:pStyle w:val="Compact"/>
              <w:jc w:val="right"/>
            </w:pPr>
            <w:r>
              <w:t xml:space="preserve">CC</w:t>
            </w:r>
          </w:p>
        </w:tc>
        <w:tc>
          <w:tcPr/>
          <w:p>
            <w:pPr>
              <w:pStyle w:val="Compact"/>
              <w:jc w:val="right"/>
            </w:pPr>
            <w:r>
              <w:t xml:space="preserve">UNT</w:t>
            </w:r>
          </w:p>
        </w:tc>
        <w:tc>
          <w:tcPr/>
          <w:p>
            <w:pPr>
              <w:pStyle w:val="Compact"/>
              <w:jc w:val="right"/>
            </w:pPr>
            <w:r>
              <w:t xml:space="preserve">MB</w:t>
            </w:r>
          </w:p>
        </w:tc>
        <w:tc>
          <w:tcPr/>
          <w:p>
            <w:pPr>
              <w:pStyle w:val="Compact"/>
              <w:jc w:val="right"/>
            </w:pPr>
            <w:r>
              <w:t xml:space="preserve">R193</w:t>
            </w:r>
          </w:p>
        </w:tc>
        <w:tc>
          <w:tcPr/>
          <w:p>
            <w:pPr>
              <w:pStyle w:val="Compact"/>
              <w:jc w:val="center"/>
            </w:pPr>
            <w:r>
              <w:t xml:space="preserve">Match</w:t>
            </w:r>
          </w:p>
        </w:tc>
        <w:tc>
          <w:tcPr/>
          <w:p>
            <w:pPr>
              <w:pStyle w:val="Compact"/>
              <w:jc w:val="center"/>
            </w:pPr>
            <w:r>
              <w:t xml:space="preserve"># Spp</w:t>
            </w:r>
          </w:p>
        </w:tc>
        <w:tc>
          <w:tcPr/>
          <w:p>
            <w:pPr>
              <w:pStyle w:val="Compact"/>
              <w:jc w:val="left"/>
            </w:pPr>
            <w:r>
              <w:t xml:space="preserve">Notes</w:t>
            </w:r>
          </w:p>
        </w:tc>
      </w:tr>
      <w:tr>
        <w:tc>
          <w:tcPr/>
          <w:p>
            <w:pPr>
              <w:pStyle w:val="Compact"/>
              <w:jc w:val="left"/>
            </w:pPr>
            <w:r>
              <w:rPr>
                <w:bCs/>
                <w:b/>
              </w:rPr>
              <w:t xml:space="preserve">SENTINEL — SALMONIDS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Salvelinus</w:t>
            </w:r>
            <w:r>
              <w:t xml:space="preserve"> </w:t>
            </w:r>
            <w:r>
              <w:t xml:space="preserve">spp. (Brook Trout)</w:t>
            </w:r>
          </w:p>
        </w:tc>
        <w:tc>
          <w:tcPr/>
          <w:p>
            <w:pPr>
              <w:pStyle w:val="Compact"/>
              <w:jc w:val="right"/>
            </w:pPr>
            <w:r>
              <w:t xml:space="preserve">538 (1.9%)</w:t>
            </w:r>
          </w:p>
        </w:tc>
        <w:tc>
          <w:tcPr/>
          <w:p>
            <w:pPr>
              <w:pStyle w:val="Compact"/>
              <w:jc w:val="right"/>
            </w:pPr>
            <w:r>
              <w:t xml:space="preserve">5,992 (16.9%)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100%</w:t>
            </w:r>
          </w:p>
        </w:tc>
        <w:tc>
          <w:tcPr/>
          <w:p>
            <w:pPr>
              <w:pStyle w:val="Compact"/>
              <w:jc w:val="center"/>
            </w:pPr>
            <w:r>
              <w:t xml:space="preserve">3</w:t>
            </w:r>
          </w:p>
        </w:tc>
        <w:tc>
          <w:tcPr/>
          <w:p>
            <w:pPr>
              <w:pStyle w:val="Compact"/>
              <w:jc w:val="left"/>
            </w:pPr>
            <w:r>
              <w:t xml:space="preserve">3-way tie: Brook Trout / Lake Trout / Arctic Char. Geography strongly favors Brook Trout at both sites.</w:t>
            </w:r>
          </w:p>
        </w:tc>
      </w:tr>
      <w:tr>
        <w:tc>
          <w:tcPr/>
          <w:p>
            <w:pPr>
              <w:pStyle w:val="Compact"/>
              <w:jc w:val="left"/>
            </w:pPr>
            <w:r>
              <w:rPr>
                <w:iCs/>
                <w:i/>
              </w:rPr>
              <w:t xml:space="preserve">Salmo salar</w:t>
            </w:r>
            <w:r>
              <w:t xml:space="preserve"> </w:t>
            </w:r>
            <w:r>
              <w:t xml:space="preserve">(Atlantic Salmon)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110 (0.3%)</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Gulf of Maine DPS; federally endangered. Single ESV, unambiguous match.</w:t>
            </w:r>
          </w:p>
        </w:tc>
      </w:tr>
      <w:tr>
        <w:tc>
          <w:tcPr/>
          <w:p>
            <w:pPr>
              <w:pStyle w:val="Compact"/>
              <w:jc w:val="left"/>
            </w:pPr>
            <w:r>
              <w:rPr>
                <w:bCs/>
                <w:b/>
              </w:rPr>
              <w:t xml:space="preserve">ANADROMOUS SPECIES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Alosa pseudoharengus</w:t>
            </w:r>
            <w:r>
              <w:t xml:space="preserve"> </w:t>
            </w:r>
            <w:r>
              <w:t xml:space="preserve">(Alewife)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10,465 (26.1%)</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Dominant at Rt 193. Confirmed alewife by sequence (1-SNP diagnostic vs. blueback herring). Ocean corridor confirmed.</w:t>
            </w:r>
          </w:p>
        </w:tc>
      </w:tr>
      <w:tr>
        <w:tc>
          <w:tcPr/>
          <w:p>
            <w:pPr>
              <w:pStyle w:val="Compact"/>
              <w:jc w:val="left"/>
            </w:pPr>
            <w:r>
              <w:rPr>
                <w:iCs/>
                <w:i/>
              </w:rPr>
              <w:t xml:space="preserve">Anguilla rostrata</w:t>
            </w:r>
            <w:r>
              <w:t xml:space="preserve"> </w:t>
            </w:r>
            <w:r>
              <w:t xml:space="preserve">(American Eel)</w:t>
            </w:r>
          </w:p>
        </w:tc>
        <w:tc>
          <w:tcPr/>
          <w:p>
            <w:pPr>
              <w:pStyle w:val="Compact"/>
              <w:jc w:val="right"/>
            </w:pPr>
            <w:r>
              <w:t xml:space="preserve">789 (2.8%)</w:t>
            </w:r>
          </w:p>
        </w:tc>
        <w:tc>
          <w:tcPr/>
          <w:p>
            <w:pPr>
              <w:pStyle w:val="Compact"/>
              <w:jc w:val="right"/>
            </w:pPr>
            <w:r>
              <w:t xml:space="preserve">616 (1.7%)</w:t>
            </w:r>
          </w:p>
        </w:tc>
        <w:tc>
          <w:tcPr/>
          <w:p>
            <w:pPr>
              <w:pStyle w:val="Compact"/>
              <w:jc w:val="right"/>
            </w:pPr>
            <w:r>
              <w:t xml:space="preserve">426 (100%)</w:t>
            </w:r>
          </w:p>
        </w:tc>
        <w:tc>
          <w:tcPr/>
          <w:p>
            <w:pPr>
              <w:pStyle w:val="Compact"/>
              <w:jc w:val="right"/>
            </w:pPr>
            <w:r>
              <w:t xml:space="preserve">—</w:t>
            </w:r>
          </w:p>
        </w:tc>
        <w:tc>
          <w:tcPr/>
          <w:p>
            <w:pPr>
              <w:pStyle w:val="Compact"/>
              <w:jc w:val="right"/>
            </w:pPr>
            <w:r>
              <w:t xml:space="preserve">4,110 (10.3%)</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Only fish detected at UNT Lane Rd. Catadromous; present throughout watershed.</w:t>
            </w:r>
          </w:p>
        </w:tc>
      </w:tr>
      <w:tr>
        <w:tc>
          <w:tcPr/>
          <w:p>
            <w:pPr>
              <w:pStyle w:val="Compact"/>
              <w:jc w:val="left"/>
            </w:pPr>
            <w:r>
              <w:rPr>
                <w:iCs/>
                <w:i/>
              </w:rPr>
              <w:t xml:space="preserve">Petromyzon marinus</w:t>
            </w:r>
            <w:r>
              <w:t xml:space="preserve"> </w:t>
            </w:r>
            <w:r>
              <w:t xml:space="preserve">(Sea Lamprey)</w:t>
            </w:r>
          </w:p>
        </w:tc>
        <w:tc>
          <w:tcPr/>
          <w:p>
            <w:pPr>
              <w:pStyle w:val="Compact"/>
              <w:jc w:val="right"/>
            </w:pPr>
            <w:r>
              <w:t xml:space="preserve">96 (*)</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Hyperoartia — not counted in fish totals. Native; confirms anadromous migratory connectivity at Sprague’s Falls.</w:t>
            </w:r>
          </w:p>
        </w:tc>
      </w:tr>
      <w:tr>
        <w:tc>
          <w:tcPr/>
          <w:p>
            <w:pPr>
              <w:pStyle w:val="Compact"/>
              <w:jc w:val="left"/>
            </w:pPr>
            <w:r>
              <w:rPr>
                <w:bCs/>
                <w:b/>
              </w:rPr>
              <w:t xml:space="preserve">NATIVE GENERALISTS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Semotilus corporalis</w:t>
            </w:r>
            <w:r>
              <w:t xml:space="preserve"> </w:t>
            </w:r>
            <w:r>
              <w:t xml:space="preserve">(Fallfish)</w:t>
            </w:r>
          </w:p>
        </w:tc>
        <w:tc>
          <w:tcPr/>
          <w:p>
            <w:pPr>
              <w:pStyle w:val="Compact"/>
              <w:jc w:val="right"/>
            </w:pPr>
            <w:r>
              <w:t xml:space="preserve">319 (1.1%)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8,844 (22.1%)</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Dominant at Rt 193. Largest native minnow; requires clean gravel for nest-building. Strong water quality indicator.</w:t>
            </w:r>
          </w:p>
        </w:tc>
      </w:tr>
      <w:tr>
        <w:tc>
          <w:tcPr/>
          <w:p>
            <w:pPr>
              <w:pStyle w:val="Compact"/>
              <w:jc w:val="left"/>
            </w:pPr>
            <w:r>
              <w:rPr>
                <w:iCs/>
                <w:i/>
              </w:rPr>
              <w:t xml:space="preserve">Semotilus atromaculatus</w:t>
            </w:r>
            <w:r>
              <w:t xml:space="preserve"> </w:t>
            </w:r>
            <w:r>
              <w:t xml:space="preserve">(Creek Chub)</w:t>
            </w:r>
          </w:p>
        </w:tc>
        <w:tc>
          <w:tcPr/>
          <w:p>
            <w:pPr>
              <w:pStyle w:val="Compact"/>
              <w:jc w:val="right"/>
            </w:pPr>
            <w:r>
              <w:t xml:space="preserve">4,965 (17.4%)</w:t>
            </w:r>
          </w:p>
        </w:tc>
        <w:tc>
          <w:tcPr/>
          <w:p>
            <w:pPr>
              <w:pStyle w:val="Compact"/>
              <w:jc w:val="right"/>
            </w:pPr>
            <w:r>
              <w:t xml:space="preserve">8,857 (24.9%)</w:t>
            </w:r>
          </w:p>
        </w:tc>
        <w:tc>
          <w:tcPr/>
          <w:p>
            <w:pPr>
              <w:pStyle w:val="Compact"/>
              <w:jc w:val="right"/>
            </w:pPr>
            <w:r>
              <w:t xml:space="preserve">—</w:t>
            </w:r>
          </w:p>
        </w:tc>
        <w:tc>
          <w:tcPr/>
          <w:p>
            <w:pPr>
              <w:pStyle w:val="Compact"/>
              <w:jc w:val="right"/>
            </w:pPr>
            <w:r>
              <w:t xml:space="preserve">5,841 (100%)</w:t>
            </w:r>
          </w:p>
        </w:tc>
        <w:tc>
          <w:tcPr/>
          <w:p>
            <w:pPr>
              <w:pStyle w:val="Compact"/>
              <w:jc w:val="right"/>
            </w:pPr>
            <w:r>
              <w:t xml:space="preserve">1,135 (2.8%)</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Only fish at McCoy Brook (pH 3.54). Acid-tolerant; present at all sites with adequate flow.</w:t>
            </w:r>
          </w:p>
        </w:tc>
      </w:tr>
      <w:tr>
        <w:tc>
          <w:tcPr/>
          <w:p>
            <w:pPr>
              <w:pStyle w:val="Compact"/>
              <w:jc w:val="left"/>
            </w:pPr>
            <w:r>
              <w:rPr>
                <w:iCs/>
                <w:i/>
              </w:rPr>
              <w:t xml:space="preserve">Lepomis auritus</w:t>
            </w:r>
            <w:r>
              <w:t xml:space="preserve"> </w:t>
            </w:r>
            <w:r>
              <w:t xml:space="preserve">/</w:t>
            </w:r>
            <w:r>
              <w:t xml:space="preserve"> </w:t>
            </w:r>
            <w:r>
              <w:rPr>
                <w:iCs/>
                <w:i/>
              </w:rPr>
              <w:t xml:space="preserve">Lepomis</w:t>
            </w:r>
            <w:r>
              <w:t xml:space="preserve"> </w:t>
            </w:r>
            <w:r>
              <w:t xml:space="preserve">spp. (Redbreast Sunfish)</w:t>
            </w:r>
          </w:p>
        </w:tc>
        <w:tc>
          <w:tcPr/>
          <w:p>
            <w:pPr>
              <w:pStyle w:val="Compact"/>
              <w:jc w:val="right"/>
            </w:pPr>
            <w:r>
              <w:t xml:space="preserve">8,811 (31.0%)</w:t>
            </w:r>
          </w:p>
        </w:tc>
        <w:tc>
          <w:tcPr/>
          <w:p>
            <w:pPr>
              <w:pStyle w:val="Compact"/>
              <w:jc w:val="right"/>
            </w:pPr>
            <w:r>
              <w:t xml:space="preserve">3,509 (9.9%)</w:t>
            </w:r>
          </w:p>
        </w:tc>
        <w:tc>
          <w:tcPr/>
          <w:p>
            <w:pPr>
              <w:pStyle w:val="Compact"/>
              <w:jc w:val="right"/>
            </w:pPr>
            <w:r>
              <w:t xml:space="preserve">—</w:t>
            </w:r>
          </w:p>
        </w:tc>
        <w:tc>
          <w:tcPr/>
          <w:p>
            <w:pPr>
              <w:pStyle w:val="Compact"/>
              <w:jc w:val="right"/>
            </w:pPr>
            <w:r>
              <w:t xml:space="preserve">—</w:t>
            </w:r>
          </w:p>
        </w:tc>
        <w:tc>
          <w:tcPr/>
          <w:p>
            <w:pPr>
              <w:pStyle w:val="Compact"/>
              <w:jc w:val="right"/>
            </w:pPr>
            <w:r>
              <w:t xml:space="preserve">5,240 (13.1%)</w:t>
            </w:r>
          </w:p>
        </w:tc>
        <w:tc>
          <w:tcPr/>
          <w:p>
            <w:pPr>
              <w:pStyle w:val="Compact"/>
              <w:jc w:val="center"/>
            </w:pPr>
            <w:r>
              <w:t xml:space="preserve">100%</w:t>
            </w:r>
          </w:p>
        </w:tc>
        <w:tc>
          <w:tcPr/>
          <w:p>
            <w:pPr>
              <w:pStyle w:val="Compact"/>
              <w:jc w:val="center"/>
            </w:pPr>
            <w:r>
              <w:t xml:space="preserve">1–3</w:t>
            </w:r>
          </w:p>
        </w:tc>
        <w:tc>
          <w:tcPr/>
          <w:p>
            <w:pPr>
              <w:pStyle w:val="Compact"/>
              <w:jc w:val="left"/>
            </w:pPr>
            <w:r>
              <w:t xml:space="preserve">Dominant at Sprague’s Falls. Benthic omnivore; requires stable, clean substrate.</w:t>
            </w:r>
          </w:p>
        </w:tc>
      </w:tr>
      <w:tr>
        <w:tc>
          <w:tcPr/>
          <w:p>
            <w:pPr>
              <w:pStyle w:val="Compact"/>
              <w:jc w:val="left"/>
            </w:pPr>
            <w:r>
              <w:rPr>
                <w:iCs/>
                <w:i/>
              </w:rPr>
              <w:t xml:space="preserve">Catostomus commersonii</w:t>
            </w:r>
            <w:r>
              <w:t xml:space="preserve"> </w:t>
            </w:r>
            <w:r>
              <w:t xml:space="preserve">(White Sucker)</w:t>
            </w:r>
          </w:p>
        </w:tc>
        <w:tc>
          <w:tcPr/>
          <w:p>
            <w:pPr>
              <w:pStyle w:val="Compact"/>
              <w:jc w:val="right"/>
            </w:pPr>
            <w:r>
              <w:t xml:space="preserve">5,596 (19.7%)</w:t>
            </w:r>
          </w:p>
        </w:tc>
        <w:tc>
          <w:tcPr/>
          <w:p>
            <w:pPr>
              <w:pStyle w:val="Compact"/>
              <w:jc w:val="right"/>
            </w:pPr>
            <w:r>
              <w:t xml:space="preserve">344 (1.0%)</w:t>
            </w:r>
          </w:p>
        </w:tc>
        <w:tc>
          <w:tcPr/>
          <w:p>
            <w:pPr>
              <w:pStyle w:val="Compact"/>
              <w:jc w:val="right"/>
            </w:pPr>
            <w:r>
              <w:t xml:space="preserve">—</w:t>
            </w:r>
          </w:p>
        </w:tc>
        <w:tc>
          <w:tcPr/>
          <w:p>
            <w:pPr>
              <w:pStyle w:val="Compact"/>
              <w:jc w:val="right"/>
            </w:pPr>
            <w:r>
              <w:t xml:space="preserve">—</w:t>
            </w:r>
          </w:p>
        </w:tc>
        <w:tc>
          <w:tcPr/>
          <w:p>
            <w:pPr>
              <w:pStyle w:val="Compact"/>
              <w:jc w:val="right"/>
            </w:pPr>
            <w:r>
              <w:t xml:space="preserve">3,402 (8.5%)</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Tolerant generalist; indicates sufficient stream volume and substrate diversity.</w:t>
            </w:r>
          </w:p>
        </w:tc>
      </w:tr>
      <w:tr>
        <w:tc>
          <w:tcPr/>
          <w:p>
            <w:pPr>
              <w:pStyle w:val="Compact"/>
              <w:jc w:val="left"/>
            </w:pPr>
            <w:r>
              <w:rPr>
                <w:iCs/>
                <w:i/>
              </w:rPr>
              <w:t xml:space="preserve">Pungitius</w:t>
            </w:r>
            <w:r>
              <w:t xml:space="preserve"> </w:t>
            </w:r>
            <w:r>
              <w:t xml:space="preserve">spp. (Ninespine Stickleback)</w:t>
            </w:r>
          </w:p>
        </w:tc>
        <w:tc>
          <w:tcPr/>
          <w:p>
            <w:pPr>
              <w:pStyle w:val="Compact"/>
              <w:jc w:val="right"/>
            </w:pPr>
            <w:r>
              <w:t xml:space="preserve">2,906 (10.2%)</w:t>
            </w:r>
          </w:p>
        </w:tc>
        <w:tc>
          <w:tcPr/>
          <w:p>
            <w:pPr>
              <w:pStyle w:val="Compact"/>
              <w:jc w:val="right"/>
            </w:pPr>
            <w:r>
              <w:t xml:space="preserve">12,451 (35.1%)</w:t>
            </w:r>
          </w:p>
        </w:tc>
        <w:tc>
          <w:tcPr/>
          <w:p>
            <w:pPr>
              <w:pStyle w:val="Compact"/>
              <w:jc w:val="right"/>
            </w:pPr>
            <w:r>
              <w:t xml:space="preserve">—</w:t>
            </w:r>
          </w:p>
        </w:tc>
        <w:tc>
          <w:tcPr/>
          <w:p>
            <w:pPr>
              <w:pStyle w:val="Compact"/>
              <w:jc w:val="right"/>
            </w:pPr>
            <w:r>
              <w:t xml:space="preserve">—</w:t>
            </w:r>
          </w:p>
        </w:tc>
        <w:tc>
          <w:tcPr/>
          <w:p>
            <w:pPr>
              <w:pStyle w:val="Compact"/>
              <w:jc w:val="right"/>
            </w:pPr>
            <w:r>
              <w:t xml:space="preserve">449 (1.1%)</w:t>
            </w:r>
          </w:p>
        </w:tc>
        <w:tc>
          <w:tcPr/>
          <w:p>
            <w:pPr>
              <w:pStyle w:val="Compact"/>
              <w:jc w:val="center"/>
            </w:pPr>
            <w:r>
              <w:t xml:space="preserve">100%</w:t>
            </w:r>
          </w:p>
        </w:tc>
        <w:tc>
          <w:tcPr/>
          <w:p>
            <w:pPr>
              <w:pStyle w:val="Compact"/>
              <w:jc w:val="center"/>
            </w:pPr>
            <w:r>
              <w:t xml:space="preserve">2–7</w:t>
            </w:r>
          </w:p>
        </w:tc>
        <w:tc>
          <w:tcPr/>
          <w:p>
            <w:pPr>
              <w:pStyle w:val="Compact"/>
              <w:jc w:val="left"/>
            </w:pPr>
            <w:r>
              <w:t xml:space="preserve">Dominant at Crotch Camp. Ninespine (</w:t>
            </w:r>
            <w:r>
              <w:rPr>
                <w:iCs/>
                <w:i/>
              </w:rPr>
              <w:t xml:space="preserve">P. pungitius</w:t>
            </w:r>
            <w:r>
              <w:t xml:space="preserve">) most likely in ME; multi-species ESV unresolved.</w:t>
            </w:r>
          </w:p>
        </w:tc>
      </w:tr>
      <w:tr>
        <w:tc>
          <w:tcPr/>
          <w:p>
            <w:pPr>
              <w:pStyle w:val="Compact"/>
              <w:jc w:val="left"/>
            </w:pPr>
            <w:r>
              <w:rPr>
                <w:iCs/>
                <w:i/>
              </w:rPr>
              <w:t xml:space="preserve">Chrosomus neogaeus</w:t>
            </w:r>
            <w:r>
              <w:t xml:space="preserve"> </w:t>
            </w:r>
            <w:r>
              <w:t xml:space="preserve">(Finescale Dace)</w:t>
            </w:r>
          </w:p>
        </w:tc>
        <w:tc>
          <w:tcPr/>
          <w:p>
            <w:pPr>
              <w:pStyle w:val="Compact"/>
              <w:jc w:val="right"/>
            </w:pPr>
            <w:r>
              <w:t xml:space="preserve">2,086 (7.3%)</w:t>
            </w:r>
          </w:p>
        </w:tc>
        <w:tc>
          <w:tcPr/>
          <w:p>
            <w:pPr>
              <w:pStyle w:val="Compact"/>
              <w:jc w:val="right"/>
            </w:pPr>
            <w:r>
              <w:t xml:space="preserve">2,026 (5.7%)</w:t>
            </w:r>
          </w:p>
        </w:tc>
        <w:tc>
          <w:tcPr/>
          <w:p>
            <w:pPr>
              <w:pStyle w:val="Compact"/>
              <w:jc w:val="right"/>
            </w:pPr>
            <w:r>
              <w:t xml:space="preserve">—</w:t>
            </w:r>
          </w:p>
        </w:tc>
        <w:tc>
          <w:tcPr/>
          <w:p>
            <w:pPr>
              <w:pStyle w:val="Compact"/>
              <w:jc w:val="right"/>
            </w:pPr>
            <w:r>
              <w:t xml:space="preserve">—</w:t>
            </w:r>
          </w:p>
        </w:tc>
        <w:tc>
          <w:tcPr/>
          <w:p>
            <w:pPr>
              <w:pStyle w:val="Compact"/>
              <w:jc w:val="right"/>
            </w:pPr>
            <w:r>
              <w:t xml:space="preserve">250 (0.6%)</w:t>
            </w:r>
          </w:p>
        </w:tc>
        <w:tc>
          <w:tcPr/>
          <w:p>
            <w:pPr>
              <w:pStyle w:val="Compact"/>
              <w:jc w:val="center"/>
            </w:pPr>
            <w:r>
              <w:t xml:space="preserve">99–100%</w:t>
            </w:r>
          </w:p>
        </w:tc>
        <w:tc>
          <w:tcPr/>
          <w:p>
            <w:pPr>
              <w:pStyle w:val="Compact"/>
              <w:jc w:val="center"/>
            </w:pPr>
            <w:r>
              <w:t xml:space="preserve">1</w:t>
            </w:r>
          </w:p>
        </w:tc>
        <w:tc>
          <w:tcPr/>
          <w:p>
            <w:pPr>
              <w:pStyle w:val="Compact"/>
              <w:jc w:val="left"/>
            </w:pPr>
            <w:r>
              <w:t xml:space="preserve">Sentinel of pristine soft-water habitat; strongly associated with wild Brook Trout streams.</w:t>
            </w:r>
          </w:p>
        </w:tc>
      </w:tr>
      <w:tr>
        <w:tc>
          <w:tcPr/>
          <w:p>
            <w:pPr>
              <w:pStyle w:val="Compact"/>
              <w:jc w:val="left"/>
            </w:pPr>
            <w:r>
              <w:rPr>
                <w:iCs/>
                <w:i/>
              </w:rPr>
              <w:t xml:space="preserve">Luxilus</w:t>
            </w:r>
            <w:r>
              <w:t xml:space="preserve"> </w:t>
            </w:r>
            <w:r>
              <w:t xml:space="preserve">spp. (Shiner)</w:t>
            </w:r>
          </w:p>
        </w:tc>
        <w:tc>
          <w:tcPr/>
          <w:p>
            <w:pPr>
              <w:pStyle w:val="Compact"/>
              <w:jc w:val="right"/>
            </w:pPr>
            <w:r>
              <w:t xml:space="preserve">1,618 (5.7%)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2,043 (5.1%)</w:t>
            </w:r>
          </w:p>
        </w:tc>
        <w:tc>
          <w:tcPr/>
          <w:p>
            <w:pPr>
              <w:pStyle w:val="Compact"/>
              <w:jc w:val="center"/>
            </w:pPr>
            <w:r>
              <w:t xml:space="preserve">100%</w:t>
            </w:r>
          </w:p>
        </w:tc>
        <w:tc>
          <w:tcPr/>
          <w:p>
            <w:pPr>
              <w:pStyle w:val="Compact"/>
              <w:jc w:val="center"/>
            </w:pPr>
            <w:r>
              <w:t xml:space="preserve">2–4</w:t>
            </w:r>
          </w:p>
        </w:tc>
        <w:tc>
          <w:tcPr/>
          <w:p>
            <w:pPr>
              <w:pStyle w:val="Compact"/>
              <w:jc w:val="left"/>
            </w:pPr>
            <w:r>
              <w:t xml:space="preserve">Unresolved at species level across multiple ESVs.</w:t>
            </w:r>
          </w:p>
        </w:tc>
      </w:tr>
      <w:tr>
        <w:tc>
          <w:tcPr/>
          <w:p>
            <w:pPr>
              <w:pStyle w:val="Compact"/>
              <w:jc w:val="left"/>
            </w:pPr>
            <w:r>
              <w:rPr>
                <w:iCs/>
                <w:i/>
              </w:rPr>
              <w:t xml:space="preserve">Notemigonus crysoleucas</w:t>
            </w:r>
            <w:r>
              <w:t xml:space="preserve"> </w:t>
            </w:r>
            <w:r>
              <w:t xml:space="preserve">(Golden Shiner)</w:t>
            </w:r>
          </w:p>
        </w:tc>
        <w:tc>
          <w:tcPr/>
          <w:p>
            <w:pPr>
              <w:pStyle w:val="Compact"/>
              <w:jc w:val="right"/>
            </w:pPr>
            <w:r>
              <w:t xml:space="preserve">632 (2.2%)</w:t>
            </w:r>
          </w:p>
        </w:tc>
        <w:tc>
          <w:tcPr/>
          <w:p>
            <w:pPr>
              <w:pStyle w:val="Compact"/>
              <w:jc w:val="right"/>
            </w:pPr>
            <w:r>
              <w:t xml:space="preserve">1,142 (3.2%)</w:t>
            </w:r>
          </w:p>
        </w:tc>
        <w:tc>
          <w:tcPr/>
          <w:p>
            <w:pPr>
              <w:pStyle w:val="Compact"/>
              <w:jc w:val="right"/>
            </w:pPr>
            <w:r>
              <w:t xml:space="preserve">—</w:t>
            </w:r>
          </w:p>
        </w:tc>
        <w:tc>
          <w:tcPr/>
          <w:p>
            <w:pPr>
              <w:pStyle w:val="Compact"/>
              <w:jc w:val="right"/>
            </w:pPr>
            <w:r>
              <w:t xml:space="preserve">—</w:t>
            </w:r>
          </w:p>
        </w:tc>
        <w:tc>
          <w:tcPr/>
          <w:p>
            <w:pPr>
              <w:pStyle w:val="Compact"/>
              <w:jc w:val="right"/>
            </w:pPr>
            <w:r>
              <w:t xml:space="preserve">675 (1.7%)</w:t>
            </w:r>
          </w:p>
        </w:tc>
        <w:tc>
          <w:tcPr/>
          <w:p>
            <w:pPr>
              <w:pStyle w:val="Compact"/>
              <w:jc w:val="center"/>
            </w:pPr>
            <w:r>
              <w:t xml:space="preserve">100%</w:t>
            </w:r>
          </w:p>
        </w:tc>
        <w:tc>
          <w:tcPr/>
          <w:p>
            <w:pPr>
              <w:pStyle w:val="Compact"/>
              <w:jc w:val="center"/>
            </w:pPr>
            <w:r>
              <w:t xml:space="preserve">1</w:t>
            </w:r>
          </w:p>
        </w:tc>
        <w:tc>
          <w:tcPr/>
          <w:p>
            <w:pPr>
              <w:pStyle w:val="Compact"/>
            </w:pPr>
          </w:p>
        </w:tc>
      </w:tr>
      <w:tr>
        <w:tc>
          <w:tcPr/>
          <w:p>
            <w:pPr>
              <w:pStyle w:val="Compact"/>
              <w:jc w:val="left"/>
            </w:pPr>
            <w:r>
              <w:rPr>
                <w:iCs/>
                <w:i/>
              </w:rPr>
              <w:t xml:space="preserve">Esox</w:t>
            </w:r>
            <w:r>
              <w:t xml:space="preserve"> </w:t>
            </w:r>
            <w:r>
              <w:t xml:space="preserve">spp. (Pickerel / Pike)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1,413 (3.5%)</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2-way tie. Chain Pickerel (</w:t>
            </w:r>
            <w:r>
              <w:rPr>
                <w:iCs/>
                <w:i/>
              </w:rPr>
              <w:t xml:space="preserve">E. niger</w:t>
            </w:r>
            <w:r>
              <w:t xml:space="preserve">) most likely in Washington County, ME.</w:t>
            </w:r>
          </w:p>
        </w:tc>
      </w:tr>
      <w:tr>
        <w:tc>
          <w:tcPr/>
          <w:p>
            <w:pPr>
              <w:pStyle w:val="Compact"/>
              <w:jc w:val="left"/>
            </w:pPr>
            <w:r>
              <w:rPr>
                <w:iCs/>
                <w:i/>
              </w:rPr>
              <w:t xml:space="preserve">Rhinichthys atratulus</w:t>
            </w:r>
            <w:r>
              <w:t xml:space="preserve"> </w:t>
            </w:r>
            <w:r>
              <w:t xml:space="preserve">(Blacknose Dace)</w:t>
            </w:r>
          </w:p>
        </w:tc>
        <w:tc>
          <w:tcPr/>
          <w:p>
            <w:pPr>
              <w:pStyle w:val="Compact"/>
              <w:jc w:val="right"/>
            </w:pPr>
            <w:r>
              <w:t xml:space="preserve">77 (0.3%)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327 (0.8%)</w:t>
            </w:r>
          </w:p>
        </w:tc>
        <w:tc>
          <w:tcPr/>
          <w:p>
            <w:pPr>
              <w:pStyle w:val="Compact"/>
              <w:jc w:val="center"/>
            </w:pPr>
            <w:r>
              <w:t xml:space="preserve">100%</w:t>
            </w:r>
          </w:p>
        </w:tc>
        <w:tc>
          <w:tcPr/>
          <w:p>
            <w:pPr>
              <w:pStyle w:val="Compact"/>
              <w:jc w:val="center"/>
            </w:pPr>
            <w:r>
              <w:t xml:space="preserve">1</w:t>
            </w:r>
          </w:p>
        </w:tc>
        <w:tc>
          <w:tcPr/>
          <w:p>
            <w:pPr>
              <w:pStyle w:val="Compact"/>
            </w:pPr>
          </w:p>
        </w:tc>
      </w:tr>
      <w:tr>
        <w:tc>
          <w:tcPr/>
          <w:p>
            <w:pPr>
              <w:pStyle w:val="Compact"/>
              <w:jc w:val="left"/>
            </w:pPr>
            <w:r>
              <w:rPr>
                <w:iCs/>
                <w:i/>
              </w:rPr>
              <w:t xml:space="preserve">Micropterus</w:t>
            </w:r>
            <w:r>
              <w:t xml:space="preserve"> </w:t>
            </w:r>
            <w:r>
              <w:t xml:space="preserve">spp. (Bass)</w:t>
            </w:r>
          </w:p>
        </w:tc>
        <w:tc>
          <w:tcPr/>
          <w:p>
            <w:pPr>
              <w:pStyle w:val="Compact"/>
              <w:jc w:val="right"/>
            </w:pPr>
            <w:r>
              <w:t xml:space="preserve">82 (0.3%)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599 (1.5%)</w:t>
            </w:r>
          </w:p>
        </w:tc>
        <w:tc>
          <w:tcPr/>
          <w:p>
            <w:pPr>
              <w:pStyle w:val="Compact"/>
              <w:jc w:val="center"/>
            </w:pPr>
            <w:r>
              <w:t xml:space="preserve">100%</w:t>
            </w:r>
          </w:p>
        </w:tc>
        <w:tc>
          <w:tcPr/>
          <w:p>
            <w:pPr>
              <w:pStyle w:val="Compact"/>
              <w:jc w:val="center"/>
            </w:pPr>
            <w:r>
              <w:t xml:space="preserve">2–3</w:t>
            </w:r>
          </w:p>
        </w:tc>
        <w:tc>
          <w:tcPr/>
          <w:p>
            <w:pPr>
              <w:pStyle w:val="Compact"/>
              <w:jc w:val="left"/>
            </w:pPr>
            <w:r>
              <w:t xml:space="preserve">Largemouth / Smallmouth unresolved.</w:t>
            </w:r>
          </w:p>
        </w:tc>
      </w:tr>
      <w:tr>
        <w:tc>
          <w:tcPr/>
          <w:p>
            <w:pPr>
              <w:pStyle w:val="Compact"/>
              <w:jc w:val="left"/>
            </w:pPr>
            <w:r>
              <w:rPr>
                <w:iCs/>
                <w:i/>
              </w:rPr>
              <w:t xml:space="preserve">Perca flavescens</w:t>
            </w:r>
            <w:r>
              <w:t xml:space="preserve"> </w:t>
            </w:r>
            <w:r>
              <w:t xml:space="preserve">(Yellow Perch)</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288 (0.7%)</w:t>
            </w:r>
          </w:p>
        </w:tc>
        <w:tc>
          <w:tcPr/>
          <w:p>
            <w:pPr>
              <w:pStyle w:val="Compact"/>
              <w:jc w:val="center"/>
            </w:pPr>
            <w:r>
              <w:t xml:space="preserve">100%</w:t>
            </w:r>
          </w:p>
        </w:tc>
        <w:tc>
          <w:tcPr/>
          <w:p>
            <w:pPr>
              <w:pStyle w:val="Compact"/>
              <w:jc w:val="center"/>
            </w:pPr>
            <w:r>
              <w:t xml:space="preserve">1</w:t>
            </w:r>
          </w:p>
        </w:tc>
        <w:tc>
          <w:tcPr/>
          <w:p>
            <w:pPr>
              <w:pStyle w:val="Compact"/>
            </w:pPr>
          </w:p>
        </w:tc>
      </w:tr>
      <w:tr>
        <w:tc>
          <w:tcPr/>
          <w:p>
            <w:pPr>
              <w:pStyle w:val="Compact"/>
              <w:jc w:val="left"/>
            </w:pPr>
            <w:r>
              <w:rPr>
                <w:iCs/>
                <w:i/>
              </w:rPr>
              <w:t xml:space="preserve">Ameiurus</w:t>
            </w:r>
            <w:r>
              <w:t xml:space="preserve"> </w:t>
            </w:r>
            <w:r>
              <w:t xml:space="preserve">spp. (Bullhead)</w:t>
            </w:r>
          </w:p>
        </w:tc>
        <w:tc>
          <w:tcPr/>
          <w:p>
            <w:pPr>
              <w:pStyle w:val="Compact"/>
              <w:jc w:val="right"/>
            </w:pPr>
            <w:r>
              <w:t xml:space="preserve">46 (0.2%)</w:t>
            </w:r>
          </w:p>
        </w:tc>
        <w:tc>
          <w:tcPr/>
          <w:p>
            <w:pPr>
              <w:pStyle w:val="Compact"/>
              <w:jc w:val="right"/>
            </w:pPr>
            <w:r>
              <w:t xml:space="preserve">473 (1.3%)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Yellow or Brown Bullhead; unresolved.</w:t>
            </w:r>
          </w:p>
        </w:tc>
      </w:tr>
      <w:tr>
        <w:tc>
          <w:tcPr/>
          <w:p>
            <w:pPr>
              <w:pStyle w:val="Compact"/>
              <w:jc w:val="left"/>
            </w:pPr>
            <w:r>
              <w:rPr>
                <w:bCs/>
                <w:b/>
              </w:rPr>
              <w:t xml:space="preserve">MARINE / ANOMALOUS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Brevoortia</w:t>
            </w:r>
            <w:r>
              <w:t xml:space="preserve"> </w:t>
            </w:r>
            <w:r>
              <w:t xml:space="preserve">spp. (Menhaden)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171 (0.4%)</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Marine; 2-spp unresolved. Tidal eDNA signal at mainstem; ecologically plausible.</w:t>
            </w:r>
          </w:p>
        </w:tc>
      </w:tr>
      <w:tr>
        <w:tc>
          <w:tcPr/>
          <w:p>
            <w:pPr>
              <w:pStyle w:val="Compact"/>
              <w:jc w:val="left"/>
            </w:pPr>
            <w:r>
              <w:t xml:space="preserve">Gadidae spp. (Cod family)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233 (0.6%)</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2-spp unresolved. Burbot (</w:t>
            </w:r>
            <w:r>
              <w:rPr>
                <w:iCs/>
                <w:i/>
              </w:rPr>
              <w:t xml:space="preserve">Lota lota</w:t>
            </w:r>
            <w:r>
              <w:t xml:space="preserve">), a freshwater gadid, is native to ME and the most ecologically plausible match.</w:t>
            </w:r>
          </w:p>
        </w:tc>
      </w:tr>
      <w:tr>
        <w:tc>
          <w:tcPr/>
          <w:p>
            <w:pPr>
              <w:pStyle w:val="Compact"/>
              <w:jc w:val="left"/>
            </w:pPr>
            <w:r>
              <w:rPr>
                <w:iCs/>
                <w:i/>
              </w:rPr>
              <w:t xml:space="preserve">Scomber scombrus</w:t>
            </w:r>
            <w:r>
              <w:t xml:space="preserve"> </w:t>
            </w:r>
            <w:r>
              <w:t xml:space="preserve">(Atlantic Mackerel)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136 (0.3%)</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Marine pelagic; low read count. Possible tidal eDNA or trace contamination.</w:t>
            </w:r>
          </w:p>
        </w:tc>
      </w:tr>
      <w:tr>
        <w:tc>
          <w:tcPr/>
          <w:p>
            <w:pPr>
              <w:pStyle w:val="Compact"/>
              <w:jc w:val="left"/>
            </w:pPr>
            <w:r>
              <w:rPr>
                <w:iCs/>
                <w:i/>
              </w:rPr>
              <w:t xml:space="preserve">Ictiobus</w:t>
            </w:r>
            <w:r>
              <w:t xml:space="preserve"> </w:t>
            </w:r>
            <w:r>
              <w:t xml:space="preserve">spp. (Buffalo)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136 (0.3%)</w:t>
            </w:r>
          </w:p>
        </w:tc>
        <w:tc>
          <w:tcPr/>
          <w:p>
            <w:pPr>
              <w:pStyle w:val="Compact"/>
              <w:jc w:val="center"/>
            </w:pPr>
            <w:r>
              <w:t xml:space="preserve">100%</w:t>
            </w:r>
          </w:p>
        </w:tc>
        <w:tc>
          <w:tcPr/>
          <w:p>
            <w:pPr>
              <w:pStyle w:val="Compact"/>
              <w:jc w:val="center"/>
            </w:pPr>
            <w:r>
              <w:t xml:space="preserve">3</w:t>
            </w:r>
          </w:p>
        </w:tc>
        <w:tc>
          <w:tcPr/>
          <w:p>
            <w:pPr>
              <w:pStyle w:val="Compact"/>
              <w:jc w:val="left"/>
            </w:pPr>
            <w:r>
              <w:t xml:space="preserve">Freshwater buffalo; not native to Maine or New England. Database artifact likely.</w:t>
            </w:r>
          </w:p>
        </w:tc>
      </w:tr>
    </w:tbl>
    <w:p>
      <w:pPr>
        <w:pStyle w:val="BodyText"/>
      </w:pPr>
      <w:r>
        <w:t xml:space="preserve">(*) Sea Lamprey reads (96) are excluded from the Sprague’s Falls Actinopteri total of 28,465; lamprey are Hyperoartia, not ray-finned fish.</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2026-05-01T17:35:17Z</dcterms:created>
  <dcterms:modified xsi:type="dcterms:W3CDTF">2026-05-01T17:35:17Z</dcterms:modified>
</cp:coreProperties>
</file>

<file path=docProps/custom.xml><?xml version="1.0" encoding="utf-8"?>
<Properties xmlns="http://schemas.openxmlformats.org/officeDocument/2006/custom-properties" xmlns:vt="http://schemas.openxmlformats.org/officeDocument/2006/docPropsVTypes"/>
</file>