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arraguagus-watershed-edna-report"/>
    <w:p>
      <w:pPr>
        <w:pStyle w:val="Heading1"/>
      </w:pPr>
      <w:r>
        <w:t xml:space="preserve">Narraguagus Watershed eDNA Report</w:t>
      </w:r>
    </w:p>
    <w:bookmarkStart w:id="22" w:name="deblois-maine-november-2023"/>
    <w:p>
      <w:pPr>
        <w:pStyle w:val="Heading2"/>
      </w:pPr>
      <w:r>
        <w:t xml:space="preserve">Deblois, Maine — November 2023</w:t>
      </w:r>
    </w:p>
    <w:p>
      <w:r>
        <w:pict>
          <v:rect style="width:0;height:1.5pt" o:hralign="center" o:hrstd="t" o:hr="t"/>
        </w:pict>
      </w:r>
    </w:p>
    <w:bookmarkStart w:id="20" w:name="a-note-on-interpretation"/>
    <w:p>
      <w:pPr>
        <w:pStyle w:val="Heading3"/>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all samples were also analyzed for algae using the 23S rRNA barcode. Results were processed in MS Excel and later using Artificial Intelligence (Claude) for analysis.</w:t>
      </w:r>
    </w:p>
    <w:p>
      <w:r>
        <w:pict>
          <v:rect style="width:0;height:1.5pt" o:hralign="center" o:hrstd="t" o:hr="t"/>
        </w:pict>
      </w:r>
    </w:p>
    <w:bookmarkEnd w:id="20"/>
    <w:bookmarkStart w:id="21" w:name="how-to-read-this-report"/>
    <w:p>
      <w:pPr>
        <w:pStyle w:val="Heading3"/>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was calculated separately for fish communities,</w:t>
      </w:r>
      <w:r>
        <w:t xml:space="preserve"> </w:t>
      </w:r>
      <w:r>
        <w:rPr>
          <w:bCs/>
          <w:b/>
        </w:rPr>
        <w:t xml:space="preserve">H(f)</w:t>
      </w:r>
      <w:r>
        <w:t xml:space="preserve">, and algal communities,</w:t>
      </w:r>
      <w:r>
        <w:t xml:space="preserve"> </w:t>
      </w:r>
      <w:r>
        <w:rPr>
          <w:bCs/>
          <w:b/>
        </w:rPr>
        <w:t xml:space="preserve">H(a)</w:t>
      </w:r>
      <w:r>
        <w:t xml:space="preserve">, using the Shannon index: H = −Σ pᵢ ln(pᵢ), where pᵢ is the proportion of total accepted reads assigned to taxon i within a sample. The index increases when more taxa are detected and when read counts are more evenly distributed among taxa. In this eDNA context, Shannon diversity should be interpreted as a standardized measure of detected community diversity based on relative read representation, not as a direct census of organism abundance. Higher values may indicate a more diverse and evenly represented biological signal, but interpretation as environmental quality requires comparison among sites, seasons, controls, and supporting ecological evidence. Shannon diversity is a widely used community-diversity metric that can support ecological interpretation when compared across samples and paired with other evidence.</w:t>
      </w:r>
    </w:p>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Water chemistry</w:t>
      </w:r>
      <w:r>
        <w:t xml:space="preserve"> </w:t>
      </w:r>
      <w:r>
        <w:t xml:space="preserve">values are inferred from biological indicator species unless otherwise stated — directionally reliable but not a substitute for direct measurement.</w:t>
      </w:r>
    </w:p>
    <w:p>
      <w:r>
        <w:pict>
          <v:rect style="width:0;height:1.5pt" o:hralign="center" o:hrstd="t" o:hr="t"/>
        </w:pict>
      </w:r>
    </w:p>
    <w:bookmarkEnd w:id="21"/>
    <w:bookmarkEnd w:id="22"/>
    <w:bookmarkEnd w:id="23"/>
    <w:bookmarkStart w:id="52" w:name="maine-narraguagus-watershed-overview"/>
    <w:p>
      <w:pPr>
        <w:pStyle w:val="Heading1"/>
      </w:pPr>
      <w:r>
        <w:t xml:space="preserve">1. Maine — Narraguagus Watershed — Overview</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Here, two out of five locations have brook trout DNA and salmon DNA is found in one location. All five sites are analyzed using both fish (MiFish 12S) and algal (23S rRNA).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 Atlantic Salmon status: Detected.</w:t>
      </w:r>
    </w:p>
    <w:p>
      <w:r>
        <w:pict>
          <v:rect style="width:0;height:1.5pt" o:hralign="center" o:hrstd="t" o:hr="t"/>
        </w:pict>
      </w:r>
    </w:p>
    <w:bookmarkStart w:id="28" w:name="narraguagus-rt-193-ca66thtz.1"/>
    <w:p>
      <w:pPr>
        <w:pStyle w:val="Heading2"/>
      </w:pPr>
      <w:r>
        <w:t xml:space="preserve">Narraguagus Rt 193 | CA66THTZ.1</w:t>
      </w:r>
    </w:p>
    <w:p>
      <w:pPr>
        <w:pStyle w:val="FirstParagraph"/>
      </w:pPr>
      <w:r>
        <w:rPr>
          <w:bCs/>
          <w:b/>
        </w:rPr>
        <w:t xml:space="preserve">Fish: 19 species, H(f) = 2.16 (highest in ME) | Algae: 117 ESVs, H(a) = 3.86</w:t>
      </w:r>
    </w:p>
    <w:p>
      <w:pPr>
        <w:pStyle w:val="BodyText"/>
      </w:pPr>
      <w:r>
        <w:rPr>
          <w:bCs/>
          <w:b/>
        </w:rPr>
        <w:t xml:space="preserve">Brook Trout: Absent</w:t>
      </w:r>
    </w:p>
    <w:bookmarkStart w:id="24" w:name="sentinel-signal"/>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24"/>
    <w:bookmarkStart w:id="2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25"/>
    <w:bookmarkStart w:id="26" w:name="narrative"/>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w:t>
      </w:r>
      <w:r>
        <w:rPr>
          <w:iCs/>
          <w:i/>
        </w:rPr>
        <w:t xml:space="preserve">Alosa pseudoharengus</w:t>
      </w:r>
      <w:r>
        <w:t xml:space="preserve">, 26.3%) is the dominant taxon — ocean fish that ascend rivers in spring to spawn. Species identity confirmed at 100% ESV match.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w:t>
      </w:r>
      <w:r>
        <w:t xml:space="preserve"> </w:t>
      </w:r>
      <w:r>
        <w:rPr>
          <w:iCs/>
          <w:i/>
        </w:rPr>
        <w:t xml:space="preserve">Esox</w:t>
      </w:r>
      <w:r>
        <w:t xml:space="preserve"> </w:t>
      </w:r>
      <w:r>
        <w:t xml:space="preserve">spp. (3.6%), 19 species total — reflects a complete, multi-guild community from benthic feeders to apex predators. The</w:t>
      </w:r>
      <w:r>
        <w:t xml:space="preserve"> </w:t>
      </w:r>
      <w:r>
        <w:rPr>
          <w:iCs/>
          <w:i/>
        </w:rPr>
        <w:t xml:space="preserve">Esox</w:t>
      </w:r>
      <w:r>
        <w:t xml:space="preserve"> </w:t>
      </w:r>
      <w:r>
        <w:t xml:space="preserve">detection is unresolved at species level; in Washington County, Maine, Chain Pickerel (</w:t>
      </w:r>
      <w:r>
        <w:rPr>
          <w:iCs/>
          <w:i/>
        </w:rPr>
        <w:t xml:space="preserve">E. niger</w:t>
      </w:r>
      <w:r>
        <w:t xml:space="preserve">) is the most likely candidate. H(f) = 2.16 is the highest fish Shannon Diversity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26"/>
    <w:bookmarkStart w:id="27" w:name="native-vs.-non-native"/>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bookmarkEnd w:id="27"/>
    <w:bookmarkEnd w:id="28"/>
    <w:bookmarkStart w:id="33" w:name="Xcbf2395242071db3af8730dfe8af325adeb5124"/>
    <w:p>
      <w:pPr>
        <w:pStyle w:val="Heading2"/>
      </w:pPr>
      <w:r>
        <w:t xml:space="preserve">West Branch Narraguagus River @ Sprague’s Falls | CY92PPTX.1</w:t>
      </w:r>
    </w:p>
    <w:p>
      <w:pPr>
        <w:pStyle w:val="FirstParagraph"/>
      </w:pPr>
      <w:r>
        <w:rPr>
          <w:bCs/>
          <w:b/>
        </w:rPr>
        <w:t xml:space="preserve">Fish: 14 species, H(f) = 1.94 | Algae: 201 ESVs, H(a) = 4.55 (highest in dataset)</w:t>
      </w:r>
    </w:p>
    <w:p>
      <w:pPr>
        <w:pStyle w:val="BodyText"/>
      </w:pPr>
      <w:r>
        <w:rPr>
          <w:bCs/>
          <w:b/>
        </w:rPr>
        <w:t xml:space="preserve">Brook Trout: Present</w:t>
      </w:r>
    </w:p>
    <w:bookmarkStart w:id="29" w:name="sentinel-signal-1"/>
    <w:p>
      <w:pPr>
        <w:pStyle w:val="Heading3"/>
      </w:pPr>
      <w:r>
        <w:t xml:space="preserve">Sentinel Signal</w:t>
      </w:r>
    </w:p>
    <w:p>
      <w:pPr>
        <w:pStyle w:val="FirstParagraph"/>
      </w:pPr>
      <w:r>
        <w:t xml:space="preserve">Finescale Dace +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29"/>
    <w:bookmarkStart w:id="3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30"/>
    <w:bookmarkStart w:id="31" w:name="narrative-1"/>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31"/>
    <w:bookmarkStart w:id="32" w:name="native-vs.-non-native-1"/>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bookmarkEnd w:id="32"/>
    <w:bookmarkEnd w:id="33"/>
    <w:bookmarkStart w:id="39" w:name="crotch-camp-brook-cntlvpx4.1"/>
    <w:p>
      <w:pPr>
        <w:pStyle w:val="Heading2"/>
      </w:pPr>
      <w:r>
        <w:t xml:space="preserve">Crotch Camp Brook | CNTLVPX4.1</w:t>
      </w:r>
    </w:p>
    <w:p>
      <w:pPr>
        <w:pStyle w:val="FirstParagraph"/>
      </w:pPr>
      <w:r>
        <w:rPr>
          <w:bCs/>
          <w:b/>
        </w:rPr>
        <w:t xml:space="preserve">Fish: 9 species, H(f) = 1.69 | Algae: 76 ESVs, H(a) = 2.30</w:t>
      </w:r>
    </w:p>
    <w:p>
      <w:pPr>
        <w:pStyle w:val="BodyText"/>
      </w:pPr>
      <w:r>
        <w:rPr>
          <w:bCs/>
          <w:b/>
        </w:rPr>
        <w:t xml:space="preserve">Brook Trout: Present</w:t>
      </w:r>
    </w:p>
    <w:bookmarkStart w:id="34" w:name="sentinel-signal-2"/>
    <w:p>
      <w:pPr>
        <w:pStyle w:val="Heading3"/>
      </w:pPr>
      <w:r>
        <w:t xml:space="preserve">Sentinel Signal</w:t>
      </w:r>
    </w:p>
    <w:p>
      <w:pPr>
        <w:pStyle w:val="FirstParagraph"/>
      </w:pPr>
      <w:r>
        <w:t xml:space="preserve">Synura at 74% dominance +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4"/>
    <w:bookmarkStart w:id="35"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35"/>
    <w:bookmarkStart w:id="36" w:name="narrative-2"/>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Brook Trout (16.9%), Redbreast Sunfish (9.9%).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36"/>
    <w:bookmarkStart w:id="38" w:name="native-vs.-non-native-2"/>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Brook Trout eDNA confirmed (</w:t>
      </w:r>
      <w:r>
        <w:rPr>
          <w:iCs/>
          <w:i/>
        </w:rPr>
        <w:t xml:space="preserve">Salvelinus</w:t>
      </w:r>
      <w:r>
        <w:t xml:space="preserve"> </w:t>
      </w:r>
      <w:r>
        <w:t xml:space="preserve">spp., 100% match).</w:t>
      </w:r>
      <w:r>
        <w:rPr>
          <w:rStyle w:val="FootnoteReference"/>
        </w:rPr>
        <w:footnoteReference w:id="37"/>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bookmarkEnd w:id="38"/>
    <w:bookmarkEnd w:id="39"/>
    <w:bookmarkStart w:id="44" w:name="unt-lane-rd-cnr7wzyj.1"/>
    <w:p>
      <w:pPr>
        <w:pStyle w:val="Heading2"/>
      </w:pPr>
      <w:r>
        <w:t xml:space="preserve">UNT Lane Rd | CNR7WZYJ.1</w:t>
      </w:r>
    </w:p>
    <w:p>
      <w:pPr>
        <w:pStyle w:val="FirstParagraph"/>
      </w:pPr>
      <w:r>
        <w:rPr>
          <w:bCs/>
          <w:b/>
        </w:rPr>
        <w:t xml:space="preserve">Fish: 1 species, H(f) = 0.00 | Algae: 77 ESVs, H(a) = 3.16</w:t>
      </w:r>
    </w:p>
    <w:p>
      <w:pPr>
        <w:pStyle w:val="BodyText"/>
      </w:pPr>
      <w:r>
        <w:rPr>
          <w:bCs/>
          <w:b/>
        </w:rPr>
        <w:t xml:space="preserve">Brook Trout: Absent</w:t>
      </w:r>
    </w:p>
    <w:bookmarkStart w:id="40" w:name="sentinel-signal-3"/>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40"/>
    <w:bookmarkStart w:id="41"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41"/>
    <w:bookmarkStart w:id="42" w:name="narrative-3"/>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H(a) = 3.16 with 77 ESVs is consistent with a functioning brook, not a chemically stressed one.</w:t>
      </w:r>
    </w:p>
    <w:bookmarkEnd w:id="42"/>
    <w:bookmarkStart w:id="43" w:name="native-vs.-non-native-3"/>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bookmarkEnd w:id="43"/>
    <w:bookmarkEnd w:id="44"/>
    <w:bookmarkStart w:id="49" w:name="mccoy-brook-cswee3dx.1"/>
    <w:p>
      <w:pPr>
        <w:pStyle w:val="Heading2"/>
      </w:pPr>
      <w:r>
        <w:t xml:space="preserve">McCoy Brook | CSWEE3DX.1</w:t>
      </w:r>
    </w:p>
    <w:p>
      <w:pPr>
        <w:pStyle w:val="FirstParagraph"/>
      </w:pPr>
      <w:r>
        <w:rPr>
          <w:bCs/>
          <w:b/>
        </w:rPr>
        <w:t xml:space="preserve">Fish: 1 species, H(f) = 0.00 | Algae: 91 ESVs, H(a) = 3.28 | Recorded pH: 3.54</w:t>
      </w:r>
    </w:p>
    <w:p>
      <w:pPr>
        <w:pStyle w:val="BodyText"/>
      </w:pPr>
      <w:r>
        <w:rPr>
          <w:bCs/>
          <w:b/>
        </w:rPr>
        <w:t xml:space="preserve">Brook Trout: Absent</w:t>
      </w:r>
    </w:p>
    <w:p>
      <w:pPr>
        <w:pStyle w:val="BodyText"/>
      </w:pPr>
      <w:r>
        <w:rPr>
          <w:bCs/>
          <w:b/>
        </w:rPr>
        <w:t xml:space="preserve">Note:</w:t>
      </w:r>
      <w:r>
        <w:t xml:space="preserve"> </w:t>
      </w:r>
      <w:r>
        <w:t xml:space="preserve">pH 3.54 is the most acidic sample in this study — it may also be among the most acidic waters in the state.</w:t>
      </w:r>
    </w:p>
    <w:bookmarkStart w:id="45" w:name="sentinel-signal-4"/>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45"/>
    <w:bookmarkStart w:id="46"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46"/>
    <w:bookmarkStart w:id="47" w:name="narrative-4"/>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47"/>
    <w:bookmarkStart w:id="48" w:name="native-vs.-non-native-4"/>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presumably the Worcester Peat Mine operation.</w:t>
      </w:r>
    </w:p>
    <w:p>
      <w:pPr>
        <w:pStyle w:val="BodyText"/>
      </w:pPr>
      <w:r>
        <w:t xml:space="preserve">An active industrial peat extraction operation upstream — Worcester Peat Mining — has been operating for well over a decade and is presumably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bookmarkEnd w:id="48"/>
    <w:bookmarkEnd w:id="49"/>
    <w:bookmarkStart w:id="50"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Brook Trout</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H(f) ranges from 0.00 (single-species sites) to 2.16. Shannon Diversity of zero does not mean biological death — McCoy Brook has Creek Chub, UNT Lane Rd has Eel — it means the entire detectable fish community is a single species, which is itself an ecological signal.</w:t>
      </w:r>
    </w:p>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 from headwater dace to mainstem salmon — on a complex algal foundation.</w:t>
      </w:r>
    </w:p>
    <w:p>
      <w:r>
        <w:pict>
          <v:rect style="width:0;height:1.5pt" o:hralign="center" o:hrstd="t" o:hr="t"/>
        </w:pict>
      </w:r>
    </w:p>
    <w:bookmarkEnd w:id="50"/>
    <w:bookmarkStart w:id="51" w:name="detailed-species-detection-table"/>
    <w:p>
      <w:pPr>
        <w:pStyle w:val="Heading2"/>
      </w:pPr>
      <w:r>
        <w:t xml:space="preserve">Detailed Species Detection Table</w:t>
      </w:r>
    </w:p>
    <w:p>
      <w:pPr>
        <w:pStyle w:val="FirstParagraph"/>
      </w:pPr>
      <w:r>
        <w:t xml:space="preserve">All five Narraguagus/Deblois sites. Read counts are fish-only (Actinopteri) unless noted. Percentages are per-site (reads ÷ total Actinopteri reads at that site). Site codes:</w:t>
      </w:r>
      <w:r>
        <w:t xml:space="preserve"> </w:t>
      </w:r>
      <w:r>
        <w:rPr>
          <w:bCs/>
          <w:b/>
        </w:rPr>
        <w:t xml:space="preserve">SF</w:t>
      </w:r>
      <w:r>
        <w:t xml:space="preserve"> </w:t>
      </w:r>
      <w:r>
        <w:t xml:space="preserve">= West Branch @ Sprague’s Falls (n = 28,465);</w:t>
      </w:r>
      <w:r>
        <w:t xml:space="preserve"> </w:t>
      </w:r>
      <w:r>
        <w:rPr>
          <w:bCs/>
          <w:b/>
        </w:rPr>
        <w:t xml:space="preserve">CC</w:t>
      </w:r>
      <w:r>
        <w:t xml:space="preserve"> </w:t>
      </w:r>
      <w:r>
        <w:t xml:space="preserve">= Crotch Camp Creek (n = 35,496);</w:t>
      </w:r>
      <w:r>
        <w:t xml:space="preserve"> </w:t>
      </w:r>
      <w:r>
        <w:rPr>
          <w:bCs/>
          <w:b/>
        </w:rPr>
        <w:t xml:space="preserve">UNT</w:t>
      </w:r>
      <w:r>
        <w:t xml:space="preserve"> </w:t>
      </w:r>
      <w:r>
        <w:t xml:space="preserve">= UNT Lane Rd Deblois (n = 426);</w:t>
      </w:r>
      <w:r>
        <w:t xml:space="preserve"> </w:t>
      </w:r>
      <w:r>
        <w:rPr>
          <w:bCs/>
          <w:b/>
        </w:rPr>
        <w:t xml:space="preserve">MB</w:t>
      </w:r>
      <w:r>
        <w:t xml:space="preserve"> </w:t>
      </w:r>
      <w:r>
        <w:t xml:space="preserve">= McCoy Brook (n = 5,841);</w:t>
      </w:r>
      <w:r>
        <w:t xml:space="preserve"> </w:t>
      </w:r>
      <w:r>
        <w:rPr>
          <w:bCs/>
          <w:b/>
        </w:rPr>
        <w:t xml:space="preserve">R193</w:t>
      </w:r>
      <w:r>
        <w:t xml:space="preserve"> </w:t>
      </w:r>
      <w:r>
        <w:t xml:space="preserve">= Narraguagus Rt 193 (n = 40,026). Dash (—) = not detected. Multiple ESVs for the same taxon are summed. Match % reflects the highest-scoring ESV.</w:t>
      </w:r>
    </w:p>
    <w:tbl>
      <w:tblPr>
        <w:tblStyle w:val="Table"/>
        <w:tblW w:type="pct" w:w="5000"/>
        <w:tblLook w:firstRow="1" w:lastRow="0" w:firstColumn="0" w:lastColumn="0" w:noHBand="0" w:noVBand="0" w:val="0020"/>
        <w:jc w:val="start"/>
        <w:tblLayout w:type="fixed"/>
      </w:tblPr>
      <w:tblGrid>
        <w:gridCol w:w="660"/>
        <w:gridCol w:w="880"/>
        <w:gridCol w:w="880"/>
        <w:gridCol w:w="880"/>
        <w:gridCol w:w="880"/>
        <w:gridCol w:w="880"/>
        <w:gridCol w:w="1100"/>
        <w:gridCol w:w="1100"/>
        <w:gridCol w:w="660"/>
      </w:tblGrid>
      <w:tr>
        <w:trPr>
          <w:tblHeader w:val="true"/>
        </w:trPr>
        <w:tc>
          <w:tcPr/>
          <w:p>
            <w:pPr>
              <w:pStyle w:val="Compact"/>
              <w:jc w:val="left"/>
            </w:pPr>
            <w:r>
              <w:t xml:space="preserve">Taxon</w:t>
            </w:r>
          </w:p>
        </w:tc>
        <w:tc>
          <w:tcPr/>
          <w:p>
            <w:pPr>
              <w:pStyle w:val="Compact"/>
              <w:jc w:val="right"/>
            </w:pPr>
            <w:r>
              <w:t xml:space="preserve">SF</w:t>
            </w:r>
          </w:p>
        </w:tc>
        <w:tc>
          <w:tcPr/>
          <w:p>
            <w:pPr>
              <w:pStyle w:val="Compact"/>
              <w:jc w:val="right"/>
            </w:pPr>
            <w:r>
              <w:t xml:space="preserve">CC</w:t>
            </w:r>
          </w:p>
        </w:tc>
        <w:tc>
          <w:tcPr/>
          <w:p>
            <w:pPr>
              <w:pStyle w:val="Compact"/>
              <w:jc w:val="right"/>
            </w:pPr>
            <w:r>
              <w:t xml:space="preserve">UNT</w:t>
            </w:r>
          </w:p>
        </w:tc>
        <w:tc>
          <w:tcPr/>
          <w:p>
            <w:pPr>
              <w:pStyle w:val="Compact"/>
              <w:jc w:val="right"/>
            </w:pPr>
            <w:r>
              <w:t xml:space="preserve">MB</w:t>
            </w:r>
          </w:p>
        </w:tc>
        <w:tc>
          <w:tcPr/>
          <w:p>
            <w:pPr>
              <w:pStyle w:val="Compact"/>
              <w:jc w:val="right"/>
            </w:pPr>
            <w:r>
              <w:t xml:space="preserve">R193</w:t>
            </w:r>
          </w:p>
        </w:tc>
        <w:tc>
          <w:tcPr/>
          <w:p>
            <w:pPr>
              <w:pStyle w:val="Compact"/>
              <w:jc w:val="center"/>
            </w:pPr>
            <w:r>
              <w:t xml:space="preserve">Match</w:t>
            </w:r>
          </w:p>
        </w:tc>
        <w:tc>
          <w:tcPr/>
          <w:p>
            <w:pPr>
              <w:pStyle w:val="Compact"/>
              <w:jc w:val="center"/>
            </w:pPr>
            <w:r>
              <w:t xml:space="preserve"># Spp</w:t>
            </w:r>
          </w:p>
        </w:tc>
        <w:tc>
          <w:tcPr/>
          <w:p>
            <w:pPr>
              <w:pStyle w:val="Compact"/>
              <w:jc w:val="left"/>
            </w:pPr>
            <w:r>
              <w:t xml:space="preserve">Notes</w:t>
            </w:r>
          </w:p>
        </w:tc>
      </w:tr>
      <w:tr>
        <w:tc>
          <w:tcPr/>
          <w:p>
            <w:pPr>
              <w:pStyle w:val="Compact"/>
              <w:jc w:val="left"/>
            </w:pPr>
            <w:r>
              <w:rPr>
                <w:bCs/>
                <w:b/>
              </w:rPr>
              <w:t xml:space="preserve">SENTINEL — SALMONIDS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Salvelinus</w:t>
            </w:r>
            <w:r>
              <w:t xml:space="preserve"> </w:t>
            </w:r>
            <w:r>
              <w:t xml:space="preserve">spp. (Brook Trout)</w:t>
            </w:r>
          </w:p>
        </w:tc>
        <w:tc>
          <w:tcPr/>
          <w:p>
            <w:pPr>
              <w:pStyle w:val="Compact"/>
              <w:jc w:val="right"/>
            </w:pPr>
            <w:r>
              <w:t xml:space="preserve">538 (1.9%)</w:t>
            </w:r>
          </w:p>
        </w:tc>
        <w:tc>
          <w:tcPr/>
          <w:p>
            <w:pPr>
              <w:pStyle w:val="Compact"/>
              <w:jc w:val="right"/>
            </w:pPr>
            <w:r>
              <w:t xml:space="preserve">5,992 (16.9%)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3</w:t>
            </w:r>
          </w:p>
        </w:tc>
        <w:tc>
          <w:tcPr/>
          <w:p>
            <w:pPr>
              <w:pStyle w:val="Compact"/>
              <w:jc w:val="left"/>
            </w:pPr>
            <w:r>
              <w:t xml:space="preserve">3-way tie: Brook Trout / Lake Trout / Arctic Char. Geography strongly favors Brook Trout at both sites.</w:t>
            </w:r>
          </w:p>
        </w:tc>
      </w:tr>
      <w:tr>
        <w:tc>
          <w:tcPr/>
          <w:p>
            <w:pPr>
              <w:pStyle w:val="Compact"/>
              <w:jc w:val="left"/>
            </w:pPr>
            <w:r>
              <w:rPr>
                <w:iCs/>
                <w:i/>
              </w:rPr>
              <w:t xml:space="preserve">Salmo salar</w:t>
            </w:r>
            <w:r>
              <w:t xml:space="preserve"> </w:t>
            </w:r>
            <w:r>
              <w:t xml:space="preserve">(Atlantic Salmon)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110 (0.3%)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Gulf of Maine DPS; federally endangered. Single ESV, unambiguous match.</w:t>
            </w:r>
          </w:p>
        </w:tc>
      </w:tr>
      <w:tr>
        <w:tc>
          <w:tcPr/>
          <w:p>
            <w:pPr>
              <w:pStyle w:val="Compact"/>
              <w:jc w:val="left"/>
            </w:pPr>
            <w:r>
              <w:rPr>
                <w:bCs/>
                <w:b/>
              </w:rPr>
              <w:t xml:space="preserve">ANADROMOUS SPECIES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Alosa pseudoharengus</w:t>
            </w:r>
            <w:r>
              <w:t xml:space="preserve"> </w:t>
            </w:r>
            <w:r>
              <w:t xml:space="preserve">(Alewife)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10,465 (26.1%)</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Dominant at Rt 193. Confirmed alewife by sequence (1-SNP diagnostic vs. blueback herring). Ocean corridor confirmed.</w:t>
            </w:r>
          </w:p>
        </w:tc>
      </w:tr>
      <w:tr>
        <w:tc>
          <w:tcPr/>
          <w:p>
            <w:pPr>
              <w:pStyle w:val="Compact"/>
              <w:jc w:val="left"/>
            </w:pPr>
            <w:r>
              <w:rPr>
                <w:iCs/>
                <w:i/>
              </w:rPr>
              <w:t xml:space="preserve">Anguilla rostrata</w:t>
            </w:r>
            <w:r>
              <w:t xml:space="preserve"> </w:t>
            </w:r>
            <w:r>
              <w:t xml:space="preserve">(American Eel)</w:t>
            </w:r>
          </w:p>
        </w:tc>
        <w:tc>
          <w:tcPr/>
          <w:p>
            <w:pPr>
              <w:pStyle w:val="Compact"/>
              <w:jc w:val="right"/>
            </w:pPr>
            <w:r>
              <w:t xml:space="preserve">789 (2.8%)</w:t>
            </w:r>
          </w:p>
        </w:tc>
        <w:tc>
          <w:tcPr/>
          <w:p>
            <w:pPr>
              <w:pStyle w:val="Compact"/>
              <w:jc w:val="right"/>
            </w:pPr>
            <w:r>
              <w:t xml:space="preserve">616 (1.7%)</w:t>
            </w:r>
          </w:p>
        </w:tc>
        <w:tc>
          <w:tcPr/>
          <w:p>
            <w:pPr>
              <w:pStyle w:val="Compact"/>
              <w:jc w:val="right"/>
            </w:pPr>
            <w:r>
              <w:t xml:space="preserve">426 (100%)</w:t>
            </w:r>
          </w:p>
        </w:tc>
        <w:tc>
          <w:tcPr/>
          <w:p>
            <w:pPr>
              <w:pStyle w:val="Compact"/>
              <w:jc w:val="right"/>
            </w:pPr>
            <w:r>
              <w:t xml:space="preserve">—</w:t>
            </w:r>
          </w:p>
        </w:tc>
        <w:tc>
          <w:tcPr/>
          <w:p>
            <w:pPr>
              <w:pStyle w:val="Compact"/>
              <w:jc w:val="right"/>
            </w:pPr>
            <w:r>
              <w:t xml:space="preserve">4,110 (10.3%)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Only fish detected at UNT Lane Rd. Catadromous; present throughout watershed.</w:t>
            </w:r>
          </w:p>
        </w:tc>
      </w:tr>
      <w:tr>
        <w:tc>
          <w:tcPr/>
          <w:p>
            <w:pPr>
              <w:pStyle w:val="Compact"/>
              <w:jc w:val="left"/>
            </w:pPr>
            <w:r>
              <w:rPr>
                <w:iCs/>
                <w:i/>
              </w:rPr>
              <w:t xml:space="preserve">Petromyzon marinus</w:t>
            </w:r>
            <w:r>
              <w:t xml:space="preserve"> </w:t>
            </w:r>
            <w:r>
              <w:t xml:space="preserve">(Sea Lamprey)</w:t>
            </w:r>
          </w:p>
        </w:tc>
        <w:tc>
          <w:tcPr/>
          <w:p>
            <w:pPr>
              <w:pStyle w:val="Compact"/>
              <w:jc w:val="right"/>
            </w:pPr>
            <w:r>
              <w:t xml:space="preserve">96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Hyperoartia — not counted in fish totals. Native; confirms anadromous migratory connectivity at Sprague’s Falls.</w:t>
            </w:r>
          </w:p>
        </w:tc>
      </w:tr>
      <w:tr>
        <w:tc>
          <w:tcPr/>
          <w:p>
            <w:pPr>
              <w:pStyle w:val="Compact"/>
              <w:jc w:val="left"/>
            </w:pPr>
            <w:r>
              <w:rPr>
                <w:bCs/>
                <w:b/>
              </w:rPr>
              <w:t xml:space="preserve">NATIVE GENERALISTS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Semotilus corporalis</w:t>
            </w:r>
            <w:r>
              <w:t xml:space="preserve"> </w:t>
            </w:r>
            <w:r>
              <w:t xml:space="preserve">(Fallfish)</w:t>
            </w:r>
          </w:p>
        </w:tc>
        <w:tc>
          <w:tcPr/>
          <w:p>
            <w:pPr>
              <w:pStyle w:val="Compact"/>
              <w:jc w:val="right"/>
            </w:pPr>
            <w:r>
              <w:t xml:space="preserve">319 (1.1%)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8,844 (22.1%)</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Dominant at Rt 193. Largest native minnow; requires clean gravel for nest-building. Strong water quality indicator.</w:t>
            </w:r>
          </w:p>
        </w:tc>
      </w:tr>
      <w:tr>
        <w:tc>
          <w:tcPr/>
          <w:p>
            <w:pPr>
              <w:pStyle w:val="Compact"/>
              <w:jc w:val="left"/>
            </w:pPr>
            <w:r>
              <w:rPr>
                <w:iCs/>
                <w:i/>
              </w:rPr>
              <w:t xml:space="preserve">Semotilus atromaculatus</w:t>
            </w:r>
            <w:r>
              <w:t xml:space="preserve"> </w:t>
            </w:r>
            <w:r>
              <w:t xml:space="preserve">(Creek Chub)</w:t>
            </w:r>
          </w:p>
        </w:tc>
        <w:tc>
          <w:tcPr/>
          <w:p>
            <w:pPr>
              <w:pStyle w:val="Compact"/>
              <w:jc w:val="right"/>
            </w:pPr>
            <w:r>
              <w:t xml:space="preserve">4,965 (17.4%)</w:t>
            </w:r>
          </w:p>
        </w:tc>
        <w:tc>
          <w:tcPr/>
          <w:p>
            <w:pPr>
              <w:pStyle w:val="Compact"/>
              <w:jc w:val="right"/>
            </w:pPr>
            <w:r>
              <w:t xml:space="preserve">8,857 (24.9%)</w:t>
            </w:r>
          </w:p>
        </w:tc>
        <w:tc>
          <w:tcPr/>
          <w:p>
            <w:pPr>
              <w:pStyle w:val="Compact"/>
              <w:jc w:val="right"/>
            </w:pPr>
            <w:r>
              <w:t xml:space="preserve">—</w:t>
            </w:r>
          </w:p>
        </w:tc>
        <w:tc>
          <w:tcPr/>
          <w:p>
            <w:pPr>
              <w:pStyle w:val="Compact"/>
              <w:jc w:val="right"/>
            </w:pPr>
            <w:r>
              <w:t xml:space="preserve">5,841 (100%)</w:t>
            </w:r>
          </w:p>
        </w:tc>
        <w:tc>
          <w:tcPr/>
          <w:p>
            <w:pPr>
              <w:pStyle w:val="Compact"/>
              <w:jc w:val="right"/>
            </w:pPr>
            <w:r>
              <w:t xml:space="preserve">1,135 (2.8%)</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Only fish at McCoy Brook (pH 3.54). Acid-tolerant; present at all sites with adequate flow.</w:t>
            </w:r>
          </w:p>
        </w:tc>
      </w:tr>
      <w:tr>
        <w:tc>
          <w:tcPr/>
          <w:p>
            <w:pPr>
              <w:pStyle w:val="Compact"/>
              <w:jc w:val="left"/>
            </w:pPr>
            <w:r>
              <w:rPr>
                <w:iCs/>
                <w:i/>
              </w:rPr>
              <w:t xml:space="preserve">Lepomis auritus</w:t>
            </w:r>
            <w:r>
              <w:t xml:space="preserve"> </w:t>
            </w:r>
            <w:r>
              <w:t xml:space="preserve">/</w:t>
            </w:r>
            <w:r>
              <w:t xml:space="preserve"> </w:t>
            </w:r>
            <w:r>
              <w:rPr>
                <w:iCs/>
                <w:i/>
              </w:rPr>
              <w:t xml:space="preserve">Lepomis</w:t>
            </w:r>
            <w:r>
              <w:t xml:space="preserve"> </w:t>
            </w:r>
            <w:r>
              <w:t xml:space="preserve">spp. (Redbreast Sunfish)</w:t>
            </w:r>
          </w:p>
        </w:tc>
        <w:tc>
          <w:tcPr/>
          <w:p>
            <w:pPr>
              <w:pStyle w:val="Compact"/>
              <w:jc w:val="right"/>
            </w:pPr>
            <w:r>
              <w:t xml:space="preserve">8,811 (31.0%)</w:t>
            </w:r>
          </w:p>
        </w:tc>
        <w:tc>
          <w:tcPr/>
          <w:p>
            <w:pPr>
              <w:pStyle w:val="Compact"/>
              <w:jc w:val="right"/>
            </w:pPr>
            <w:r>
              <w:t xml:space="preserve">3,509 (9.9%)</w:t>
            </w:r>
          </w:p>
        </w:tc>
        <w:tc>
          <w:tcPr/>
          <w:p>
            <w:pPr>
              <w:pStyle w:val="Compact"/>
              <w:jc w:val="right"/>
            </w:pPr>
            <w:r>
              <w:t xml:space="preserve">—</w:t>
            </w:r>
          </w:p>
        </w:tc>
        <w:tc>
          <w:tcPr/>
          <w:p>
            <w:pPr>
              <w:pStyle w:val="Compact"/>
              <w:jc w:val="right"/>
            </w:pPr>
            <w:r>
              <w:t xml:space="preserve">—</w:t>
            </w:r>
          </w:p>
        </w:tc>
        <w:tc>
          <w:tcPr/>
          <w:p>
            <w:pPr>
              <w:pStyle w:val="Compact"/>
              <w:jc w:val="right"/>
            </w:pPr>
            <w:r>
              <w:t xml:space="preserve">5,240 (13.1%)</w:t>
            </w:r>
          </w:p>
        </w:tc>
        <w:tc>
          <w:tcPr/>
          <w:p>
            <w:pPr>
              <w:pStyle w:val="Compact"/>
              <w:jc w:val="center"/>
            </w:pPr>
            <w:r>
              <w:t xml:space="preserve">100%</w:t>
            </w:r>
          </w:p>
        </w:tc>
        <w:tc>
          <w:tcPr/>
          <w:p>
            <w:pPr>
              <w:pStyle w:val="Compact"/>
              <w:jc w:val="center"/>
            </w:pPr>
            <w:r>
              <w:t xml:space="preserve">1–3</w:t>
            </w:r>
          </w:p>
        </w:tc>
        <w:tc>
          <w:tcPr/>
          <w:p>
            <w:pPr>
              <w:pStyle w:val="Compact"/>
              <w:jc w:val="left"/>
            </w:pPr>
            <w:r>
              <w:t xml:space="preserve">Dominant at Sprague’s Falls. Benthic omnivore; requires stable, clean substrate.</w:t>
            </w:r>
          </w:p>
        </w:tc>
      </w:tr>
      <w:tr>
        <w:tc>
          <w:tcPr/>
          <w:p>
            <w:pPr>
              <w:pStyle w:val="Compact"/>
              <w:jc w:val="left"/>
            </w:pPr>
            <w:r>
              <w:rPr>
                <w:iCs/>
                <w:i/>
              </w:rPr>
              <w:t xml:space="preserve">Catostomus commersonii</w:t>
            </w:r>
            <w:r>
              <w:t xml:space="preserve"> </w:t>
            </w:r>
            <w:r>
              <w:t xml:space="preserve">(White Sucker)</w:t>
            </w:r>
          </w:p>
        </w:tc>
        <w:tc>
          <w:tcPr/>
          <w:p>
            <w:pPr>
              <w:pStyle w:val="Compact"/>
              <w:jc w:val="right"/>
            </w:pPr>
            <w:r>
              <w:t xml:space="preserve">5,596 (19.7%)</w:t>
            </w:r>
          </w:p>
        </w:tc>
        <w:tc>
          <w:tcPr/>
          <w:p>
            <w:pPr>
              <w:pStyle w:val="Compact"/>
              <w:jc w:val="right"/>
            </w:pPr>
            <w:r>
              <w:t xml:space="preserve">344 (1.0%)</w:t>
            </w:r>
          </w:p>
        </w:tc>
        <w:tc>
          <w:tcPr/>
          <w:p>
            <w:pPr>
              <w:pStyle w:val="Compact"/>
              <w:jc w:val="right"/>
            </w:pPr>
            <w:r>
              <w:t xml:space="preserve">—</w:t>
            </w:r>
          </w:p>
        </w:tc>
        <w:tc>
          <w:tcPr/>
          <w:p>
            <w:pPr>
              <w:pStyle w:val="Compact"/>
              <w:jc w:val="right"/>
            </w:pPr>
            <w:r>
              <w:t xml:space="preserve">—</w:t>
            </w:r>
          </w:p>
        </w:tc>
        <w:tc>
          <w:tcPr/>
          <w:p>
            <w:pPr>
              <w:pStyle w:val="Compact"/>
              <w:jc w:val="right"/>
            </w:pPr>
            <w:r>
              <w:t xml:space="preserve">3,402 (8.5%)</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Tolerant generalist; indicates sufficient stream volume and substrate diversity.</w:t>
            </w:r>
          </w:p>
        </w:tc>
      </w:tr>
      <w:tr>
        <w:tc>
          <w:tcPr/>
          <w:p>
            <w:pPr>
              <w:pStyle w:val="Compact"/>
              <w:jc w:val="left"/>
            </w:pPr>
            <w:r>
              <w:rPr>
                <w:iCs/>
                <w:i/>
              </w:rPr>
              <w:t xml:space="preserve">Pungitius</w:t>
            </w:r>
            <w:r>
              <w:t xml:space="preserve"> </w:t>
            </w:r>
            <w:r>
              <w:t xml:space="preserve">spp. (Ninespine Stickleback)</w:t>
            </w:r>
          </w:p>
        </w:tc>
        <w:tc>
          <w:tcPr/>
          <w:p>
            <w:pPr>
              <w:pStyle w:val="Compact"/>
              <w:jc w:val="right"/>
            </w:pPr>
            <w:r>
              <w:t xml:space="preserve">2,906 (10.2%)</w:t>
            </w:r>
          </w:p>
        </w:tc>
        <w:tc>
          <w:tcPr/>
          <w:p>
            <w:pPr>
              <w:pStyle w:val="Compact"/>
              <w:jc w:val="right"/>
            </w:pPr>
            <w:r>
              <w:t xml:space="preserve">12,451 (35.1%)</w:t>
            </w:r>
          </w:p>
        </w:tc>
        <w:tc>
          <w:tcPr/>
          <w:p>
            <w:pPr>
              <w:pStyle w:val="Compact"/>
              <w:jc w:val="right"/>
            </w:pPr>
            <w:r>
              <w:t xml:space="preserve">—</w:t>
            </w:r>
          </w:p>
        </w:tc>
        <w:tc>
          <w:tcPr/>
          <w:p>
            <w:pPr>
              <w:pStyle w:val="Compact"/>
              <w:jc w:val="right"/>
            </w:pPr>
            <w:r>
              <w:t xml:space="preserve">—</w:t>
            </w:r>
          </w:p>
        </w:tc>
        <w:tc>
          <w:tcPr/>
          <w:p>
            <w:pPr>
              <w:pStyle w:val="Compact"/>
              <w:jc w:val="right"/>
            </w:pPr>
            <w:r>
              <w:t xml:space="preserve">449 (1.1%)</w:t>
            </w:r>
          </w:p>
        </w:tc>
        <w:tc>
          <w:tcPr/>
          <w:p>
            <w:pPr>
              <w:pStyle w:val="Compact"/>
              <w:jc w:val="center"/>
            </w:pPr>
            <w:r>
              <w:t xml:space="preserve">100%</w:t>
            </w:r>
          </w:p>
        </w:tc>
        <w:tc>
          <w:tcPr/>
          <w:p>
            <w:pPr>
              <w:pStyle w:val="Compact"/>
              <w:jc w:val="center"/>
            </w:pPr>
            <w:r>
              <w:t xml:space="preserve">2–7</w:t>
            </w:r>
          </w:p>
        </w:tc>
        <w:tc>
          <w:tcPr/>
          <w:p>
            <w:pPr>
              <w:pStyle w:val="Compact"/>
              <w:jc w:val="left"/>
            </w:pPr>
            <w:r>
              <w:t xml:space="preserve">Dominant at Crotch Camp. Ninespine (</w:t>
            </w:r>
            <w:r>
              <w:rPr>
                <w:iCs/>
                <w:i/>
              </w:rPr>
              <w:t xml:space="preserve">P. pungitius</w:t>
            </w:r>
            <w:r>
              <w:t xml:space="preserve">) most likely in ME; multi-species ESV unresolved.</w:t>
            </w:r>
          </w:p>
        </w:tc>
      </w:tr>
      <w:tr>
        <w:tc>
          <w:tcPr/>
          <w:p>
            <w:pPr>
              <w:pStyle w:val="Compact"/>
              <w:jc w:val="left"/>
            </w:pPr>
            <w:r>
              <w:rPr>
                <w:iCs/>
                <w:i/>
              </w:rPr>
              <w:t xml:space="preserve">Chrosomus neogaeus</w:t>
            </w:r>
            <w:r>
              <w:t xml:space="preserve"> </w:t>
            </w:r>
            <w:r>
              <w:t xml:space="preserve">(Finescale Dace)</w:t>
            </w:r>
          </w:p>
        </w:tc>
        <w:tc>
          <w:tcPr/>
          <w:p>
            <w:pPr>
              <w:pStyle w:val="Compact"/>
              <w:jc w:val="right"/>
            </w:pPr>
            <w:r>
              <w:t xml:space="preserve">2,086 (7.3%)</w:t>
            </w:r>
          </w:p>
        </w:tc>
        <w:tc>
          <w:tcPr/>
          <w:p>
            <w:pPr>
              <w:pStyle w:val="Compact"/>
              <w:jc w:val="right"/>
            </w:pPr>
            <w:r>
              <w:t xml:space="preserve">2,026 (5.7%)</w:t>
            </w:r>
          </w:p>
        </w:tc>
        <w:tc>
          <w:tcPr/>
          <w:p>
            <w:pPr>
              <w:pStyle w:val="Compact"/>
              <w:jc w:val="right"/>
            </w:pPr>
            <w:r>
              <w:t xml:space="preserve">—</w:t>
            </w:r>
          </w:p>
        </w:tc>
        <w:tc>
          <w:tcPr/>
          <w:p>
            <w:pPr>
              <w:pStyle w:val="Compact"/>
              <w:jc w:val="right"/>
            </w:pPr>
            <w:r>
              <w:t xml:space="preserve">—</w:t>
            </w:r>
          </w:p>
        </w:tc>
        <w:tc>
          <w:tcPr/>
          <w:p>
            <w:pPr>
              <w:pStyle w:val="Compact"/>
              <w:jc w:val="right"/>
            </w:pPr>
            <w:r>
              <w:t xml:space="preserve">250 (0.6%)</w:t>
            </w:r>
          </w:p>
        </w:tc>
        <w:tc>
          <w:tcPr/>
          <w:p>
            <w:pPr>
              <w:pStyle w:val="Compact"/>
              <w:jc w:val="center"/>
            </w:pPr>
            <w:r>
              <w:t xml:space="preserve">99–100%</w:t>
            </w:r>
          </w:p>
        </w:tc>
        <w:tc>
          <w:tcPr/>
          <w:p>
            <w:pPr>
              <w:pStyle w:val="Compact"/>
              <w:jc w:val="center"/>
            </w:pPr>
            <w:r>
              <w:t xml:space="preserve">1</w:t>
            </w:r>
          </w:p>
        </w:tc>
        <w:tc>
          <w:tcPr/>
          <w:p>
            <w:pPr>
              <w:pStyle w:val="Compact"/>
              <w:jc w:val="left"/>
            </w:pPr>
            <w:r>
              <w:t xml:space="preserve">Sentinel of pristine soft-water habitat; strongly associated with wild Brook Trout streams.</w:t>
            </w:r>
          </w:p>
        </w:tc>
      </w:tr>
      <w:tr>
        <w:tc>
          <w:tcPr/>
          <w:p>
            <w:pPr>
              <w:pStyle w:val="Compact"/>
              <w:jc w:val="left"/>
            </w:pPr>
            <w:r>
              <w:rPr>
                <w:iCs/>
                <w:i/>
              </w:rPr>
              <w:t xml:space="preserve">Luxilus</w:t>
            </w:r>
            <w:r>
              <w:t xml:space="preserve"> </w:t>
            </w:r>
            <w:r>
              <w:t xml:space="preserve">spp. (Shiner)</w:t>
            </w:r>
          </w:p>
        </w:tc>
        <w:tc>
          <w:tcPr/>
          <w:p>
            <w:pPr>
              <w:pStyle w:val="Compact"/>
              <w:jc w:val="right"/>
            </w:pPr>
            <w:r>
              <w:t xml:space="preserve">1,618 (5.7%)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2,043 (5.1%)</w:t>
            </w:r>
          </w:p>
        </w:tc>
        <w:tc>
          <w:tcPr/>
          <w:p>
            <w:pPr>
              <w:pStyle w:val="Compact"/>
              <w:jc w:val="center"/>
            </w:pPr>
            <w:r>
              <w:t xml:space="preserve">100%</w:t>
            </w:r>
          </w:p>
        </w:tc>
        <w:tc>
          <w:tcPr/>
          <w:p>
            <w:pPr>
              <w:pStyle w:val="Compact"/>
              <w:jc w:val="center"/>
            </w:pPr>
            <w:r>
              <w:t xml:space="preserve">2–4</w:t>
            </w:r>
          </w:p>
        </w:tc>
        <w:tc>
          <w:tcPr/>
          <w:p>
            <w:pPr>
              <w:pStyle w:val="Compact"/>
              <w:jc w:val="left"/>
            </w:pPr>
            <w:r>
              <w:t xml:space="preserve">Unresolved at species level across multiple ESVs.</w:t>
            </w:r>
          </w:p>
        </w:tc>
      </w:tr>
      <w:tr>
        <w:tc>
          <w:tcPr/>
          <w:p>
            <w:pPr>
              <w:pStyle w:val="Compact"/>
              <w:jc w:val="left"/>
            </w:pPr>
            <w:r>
              <w:rPr>
                <w:iCs/>
                <w:i/>
              </w:rPr>
              <w:t xml:space="preserve">Notemigonus crysoleucas</w:t>
            </w:r>
            <w:r>
              <w:t xml:space="preserve"> </w:t>
            </w:r>
            <w:r>
              <w:t xml:space="preserve">(Golden Shiner)</w:t>
            </w:r>
          </w:p>
        </w:tc>
        <w:tc>
          <w:tcPr/>
          <w:p>
            <w:pPr>
              <w:pStyle w:val="Compact"/>
              <w:jc w:val="right"/>
            </w:pPr>
            <w:r>
              <w:t xml:space="preserve">632 (2.2%)</w:t>
            </w:r>
          </w:p>
        </w:tc>
        <w:tc>
          <w:tcPr/>
          <w:p>
            <w:pPr>
              <w:pStyle w:val="Compact"/>
              <w:jc w:val="right"/>
            </w:pPr>
            <w:r>
              <w:t xml:space="preserve">1,142 (3.2%)</w:t>
            </w:r>
          </w:p>
        </w:tc>
        <w:tc>
          <w:tcPr/>
          <w:p>
            <w:pPr>
              <w:pStyle w:val="Compact"/>
              <w:jc w:val="right"/>
            </w:pPr>
            <w:r>
              <w:t xml:space="preserve">—</w:t>
            </w:r>
          </w:p>
        </w:tc>
        <w:tc>
          <w:tcPr/>
          <w:p>
            <w:pPr>
              <w:pStyle w:val="Compact"/>
              <w:jc w:val="right"/>
            </w:pPr>
            <w:r>
              <w:t xml:space="preserve">—</w:t>
            </w:r>
          </w:p>
        </w:tc>
        <w:tc>
          <w:tcPr/>
          <w:p>
            <w:pPr>
              <w:pStyle w:val="Compact"/>
              <w:jc w:val="right"/>
            </w:pPr>
            <w:r>
              <w:t xml:space="preserve">675 (1.7%)</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Esox</w:t>
            </w:r>
            <w:r>
              <w:t xml:space="preserve"> </w:t>
            </w:r>
            <w:r>
              <w:t xml:space="preserve">spp. (Pickerel / Pike)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1,413 (3.5%)</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2-way tie. Chain Pickerel (</w:t>
            </w:r>
            <w:r>
              <w:rPr>
                <w:iCs/>
                <w:i/>
              </w:rPr>
              <w:t xml:space="preserve">E. niger</w:t>
            </w:r>
            <w:r>
              <w:t xml:space="preserve">) most likely in Washington County, ME.</w:t>
            </w:r>
          </w:p>
        </w:tc>
      </w:tr>
      <w:tr>
        <w:tc>
          <w:tcPr/>
          <w:p>
            <w:pPr>
              <w:pStyle w:val="Compact"/>
              <w:jc w:val="left"/>
            </w:pPr>
            <w:r>
              <w:rPr>
                <w:iCs/>
                <w:i/>
              </w:rPr>
              <w:t xml:space="preserve">Rhinichthys atratulus</w:t>
            </w:r>
            <w:r>
              <w:t xml:space="preserve"> </w:t>
            </w:r>
            <w:r>
              <w:t xml:space="preserve">(Blacknose Dace)</w:t>
            </w:r>
          </w:p>
        </w:tc>
        <w:tc>
          <w:tcPr/>
          <w:p>
            <w:pPr>
              <w:pStyle w:val="Compact"/>
              <w:jc w:val="right"/>
            </w:pPr>
            <w:r>
              <w:t xml:space="preserve">77 (0.3%)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327 (0.8%)</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Micropterus</w:t>
            </w:r>
            <w:r>
              <w:t xml:space="preserve"> </w:t>
            </w:r>
            <w:r>
              <w:t xml:space="preserve">spp. (Bass)</w:t>
            </w:r>
          </w:p>
        </w:tc>
        <w:tc>
          <w:tcPr/>
          <w:p>
            <w:pPr>
              <w:pStyle w:val="Compact"/>
              <w:jc w:val="right"/>
            </w:pPr>
            <w:r>
              <w:t xml:space="preserve">82 (0.3%)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599 (1.5%)</w:t>
            </w:r>
          </w:p>
        </w:tc>
        <w:tc>
          <w:tcPr/>
          <w:p>
            <w:pPr>
              <w:pStyle w:val="Compact"/>
              <w:jc w:val="center"/>
            </w:pPr>
            <w:r>
              <w:t xml:space="preserve">100%</w:t>
            </w:r>
          </w:p>
        </w:tc>
        <w:tc>
          <w:tcPr/>
          <w:p>
            <w:pPr>
              <w:pStyle w:val="Compact"/>
              <w:jc w:val="center"/>
            </w:pPr>
            <w:r>
              <w:t xml:space="preserve">2–3</w:t>
            </w:r>
          </w:p>
        </w:tc>
        <w:tc>
          <w:tcPr/>
          <w:p>
            <w:pPr>
              <w:pStyle w:val="Compact"/>
              <w:jc w:val="left"/>
            </w:pPr>
            <w:r>
              <w:t xml:space="preserve">Largemouth / Smallmouth unresolved.</w:t>
            </w:r>
          </w:p>
        </w:tc>
      </w:tr>
      <w:tr>
        <w:tc>
          <w:tcPr/>
          <w:p>
            <w:pPr>
              <w:pStyle w:val="Compact"/>
              <w:jc w:val="left"/>
            </w:pPr>
            <w:r>
              <w:rPr>
                <w:iCs/>
                <w:i/>
              </w:rPr>
              <w:t xml:space="preserve">Perca flavescens</w:t>
            </w:r>
            <w:r>
              <w:t xml:space="preserve"> </w:t>
            </w:r>
            <w:r>
              <w:t xml:space="preserve">(Yellow Perch)</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288 (0.7%)</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Ameiurus</w:t>
            </w:r>
            <w:r>
              <w:t xml:space="preserve"> </w:t>
            </w:r>
            <w:r>
              <w:t xml:space="preserve">spp. (Bullhead)</w:t>
            </w:r>
          </w:p>
        </w:tc>
        <w:tc>
          <w:tcPr/>
          <w:p>
            <w:pPr>
              <w:pStyle w:val="Compact"/>
              <w:jc w:val="right"/>
            </w:pPr>
            <w:r>
              <w:t xml:space="preserve">46 (0.2%)</w:t>
            </w:r>
          </w:p>
        </w:tc>
        <w:tc>
          <w:tcPr/>
          <w:p>
            <w:pPr>
              <w:pStyle w:val="Compact"/>
              <w:jc w:val="right"/>
            </w:pPr>
            <w:r>
              <w:t xml:space="preserve">473 (1.3%)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Yellow or Brown Bullhead; unresolved.</w:t>
            </w:r>
          </w:p>
        </w:tc>
      </w:tr>
      <w:tr>
        <w:tc>
          <w:tcPr/>
          <w:p>
            <w:pPr>
              <w:pStyle w:val="Compact"/>
              <w:jc w:val="left"/>
            </w:pPr>
            <w:r>
              <w:rPr>
                <w:bCs/>
                <w:b/>
              </w:rPr>
              <w:t xml:space="preserve">MARINE / ANOMALOUS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Brevoortia</w:t>
            </w:r>
            <w:r>
              <w:t xml:space="preserve"> </w:t>
            </w:r>
            <w:r>
              <w:t xml:space="preserve">spp. (Menhaden)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171 (0.4%)</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Marine; 2-spp unresolved. Tidal eDNA signal at mainstem; ecologically plausible.</w:t>
            </w:r>
          </w:p>
        </w:tc>
      </w:tr>
      <w:tr>
        <w:tc>
          <w:tcPr/>
          <w:p>
            <w:pPr>
              <w:pStyle w:val="Compact"/>
              <w:jc w:val="left"/>
            </w:pPr>
            <w:r>
              <w:t xml:space="preserve">Gadidae spp. (Cod family)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233 (0.6%)</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2-spp unresolved. Burbot (</w:t>
            </w:r>
            <w:r>
              <w:rPr>
                <w:iCs/>
                <w:i/>
              </w:rPr>
              <w:t xml:space="preserve">Lota lota</w:t>
            </w:r>
            <w:r>
              <w:t xml:space="preserve">), a freshwater gadid, is native to ME and the most ecologically plausible match.</w:t>
            </w:r>
          </w:p>
        </w:tc>
      </w:tr>
      <w:tr>
        <w:tc>
          <w:tcPr/>
          <w:p>
            <w:pPr>
              <w:pStyle w:val="Compact"/>
              <w:jc w:val="left"/>
            </w:pPr>
            <w:r>
              <w:rPr>
                <w:iCs/>
                <w:i/>
              </w:rPr>
              <w:t xml:space="preserve">Scomber scombrus</w:t>
            </w:r>
            <w:r>
              <w:t xml:space="preserve"> </w:t>
            </w:r>
            <w:r>
              <w:t xml:space="preserve">(Atlantic Mackerel)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136 (0.3%)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Marine pelagic; low read count. Possible tidal eDNA or trace contamination.</w:t>
            </w:r>
          </w:p>
        </w:tc>
      </w:tr>
      <w:tr>
        <w:tc>
          <w:tcPr/>
          <w:p>
            <w:pPr>
              <w:pStyle w:val="Compact"/>
              <w:jc w:val="left"/>
            </w:pPr>
            <w:r>
              <w:rPr>
                <w:iCs/>
                <w:i/>
              </w:rPr>
              <w:t xml:space="preserve">Ictiobus</w:t>
            </w:r>
            <w:r>
              <w:t xml:space="preserve"> </w:t>
            </w:r>
            <w:r>
              <w:t xml:space="preserve">spp. (Buffalo)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136 (0.3%)</w:t>
            </w:r>
          </w:p>
        </w:tc>
        <w:tc>
          <w:tcPr/>
          <w:p>
            <w:pPr>
              <w:pStyle w:val="Compact"/>
              <w:jc w:val="center"/>
            </w:pPr>
            <w:r>
              <w:t xml:space="preserve">100%</w:t>
            </w:r>
          </w:p>
        </w:tc>
        <w:tc>
          <w:tcPr/>
          <w:p>
            <w:pPr>
              <w:pStyle w:val="Compact"/>
              <w:jc w:val="center"/>
            </w:pPr>
            <w:r>
              <w:t xml:space="preserve">3</w:t>
            </w:r>
          </w:p>
        </w:tc>
        <w:tc>
          <w:tcPr/>
          <w:p>
            <w:pPr>
              <w:pStyle w:val="Compact"/>
              <w:jc w:val="left"/>
            </w:pPr>
            <w:r>
              <w:t xml:space="preserve">Freshwater buffalo; not native to Maine or New England. Database artifact likely.</w:t>
            </w:r>
          </w:p>
        </w:tc>
      </w:tr>
    </w:tbl>
    <w:p>
      <w:pPr>
        <w:pStyle w:val="BodyText"/>
      </w:pPr>
      <w:r>
        <w:t xml:space="preserve">(*) Sea Lamprey reads (96) are excluded from the Sprague’s Falls Actinopteri total of 28,465; lamprey are Hyperoartia, not ray-finned fish.</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MiFish 12S cannot distinguish Brook Trout (</w:t>
      </w:r>
      <w:r>
        <w:rPr>
          <w:iCs/>
          <w:i/>
        </w:rPr>
        <w:t xml:space="preserve">S. fontinalis</w:t>
      </w:r>
      <w:r>
        <w:t xml:space="preserve">), Lake Trout (</w:t>
      </w:r>
      <w:r>
        <w:rPr>
          <w:iCs/>
          <w:i/>
        </w:rPr>
        <w:t xml:space="preserve">S. namaycush</w:t>
      </w:r>
      <w:r>
        <w:t xml:space="preserve">), or Arctic Char (</w:t>
      </w:r>
      <w:r>
        <w:rPr>
          <w:iCs/>
          <w:i/>
        </w:rPr>
        <w:t xml:space="preserve">S. alpinus</w:t>
      </w:r>
      <w:r>
        <w:t xml:space="preserve">) at this locus. Geographic context — small, cold, phosphorus-limited headwater tributary in Washington County, ME — strongly favors Brook Trout. Lake Trout prefer deep lakes; Arctic Char is documented in only a handful of Maine coldwater ponds.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2026-05-01T18:10:00Z</dcterms:created>
  <dcterms:modified xsi:type="dcterms:W3CDTF">2026-05-01T18:10:00Z</dcterms:modified>
</cp:coreProperties>
</file>

<file path=docProps/custom.xml><?xml version="1.0" encoding="utf-8"?>
<Properties xmlns="http://schemas.openxmlformats.org/officeDocument/2006/custom-properties" xmlns:vt="http://schemas.openxmlformats.org/officeDocument/2006/docPropsVTypes"/>
</file>