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bout-this-report"/>
    <w:p>
      <w:pPr>
        <w:pStyle w:val="Heading2"/>
      </w:pPr>
      <w:r>
        <w:t xml:space="preserve">About This Report</w:t>
      </w:r>
    </w:p>
    <w:p>
      <w:pPr>
        <w:pStyle w:val="FirstParagraph"/>
      </w:pPr>
      <w:r>
        <w:t xml:space="preserve">This report covers</w:t>
      </w:r>
      <w:r>
        <w:t xml:space="preserve"> </w:t>
      </w:r>
      <w:r>
        <w:rPr>
          <w:bCs/>
          <w:b/>
        </w:rPr>
        <w:t xml:space="preserve">17 water samples</w:t>
      </w:r>
      <w:r>
        <w:t xml:space="preserve"> </w:t>
      </w:r>
      <w:r>
        <w:t xml:space="preserve">across 12 distinct sites in and around the Sawmill Brook / Cat Brook watershed in Manchester-by-the-Sea, MA, spanning November 2023 through June 2025. It also includes one marine sample at Proctor Point Dock (Manchester Harbor, June 2025), which provides ecological context for the watershed’s coastal outlet.</w:t>
      </w:r>
    </w:p>
    <w:p>
      <w:pPr>
        <w:pStyle w:val="BodyText"/>
      </w:pPr>
      <w:r>
        <w:t xml:space="preserve">The Manchester-by-the-Sea Brook Trout Monitoring Program (MBTS) tracks ecological recovery of Sawmill Brook — a small suburban coastal stream that drains southwest into Manchester Harbor. The sampling network covers the full longitudinal gradient: from Second Pond and Cat Brook headwaters through the main stem, past the tidal limit at Fire Station, to the estuarine School Street reach. Three Fresh Brook samples (a tributary flowing separately to Manchester Harbor) are included.</w:t>
      </w:r>
    </w:p>
    <w:p>
      <w:pPr>
        <w:pStyle w:val="BodyText"/>
      </w:pPr>
      <w:r>
        <w:t xml:space="preserve">Brook Trout (</w:t>
      </w:r>
      <w:r>
        <w:rPr>
          <w:iCs/>
          <w:i/>
        </w:rPr>
        <w:t xml:space="preserve">Salvelinus fontinalis</w:t>
      </w:r>
      <w:r>
        <w:t xml:space="preserve">) are the primary monitoring target. Their presence or absence at each site tells a story about water quality, thermal conditions, and habitat connectivity. All other species detected — from Golden Shiner to Mummichog to</w:t>
      </w:r>
      <w:r>
        <w:t xml:space="preserve"> </w:t>
      </w:r>
      <w:r>
        <w:rPr>
          <w:iCs/>
          <w:i/>
        </w:rPr>
        <w:t xml:space="preserve">Esox</w:t>
      </w:r>
      <w:r>
        <w:t xml:space="preserve"> </w:t>
      </w:r>
      <w:r>
        <w:t xml:space="preserve">spp. — are interpreted in relation to that central question: is this watershed livable for Brook Trout, and what is limiting or sustaining their population?</w:t>
      </w:r>
    </w:p>
    <w:p>
      <w:r>
        <w:pict>
          <v:rect style="width:0;height:1.5pt" o:hralign="center" o:hrstd="t" o:hr="t"/>
        </w:pict>
      </w:r>
    </w:p>
    <w:bookmarkEnd w:id="22"/>
    <w:bookmarkStart w:id="23" w:name="how-to-read-this-report"/>
    <w:p>
      <w:pPr>
        <w:pStyle w:val="Heading2"/>
      </w:pPr>
      <w:r>
        <w:t xml:space="preserve">How to Read This Report</w:t>
      </w:r>
    </w:p>
    <w:p>
      <w:pPr>
        <w:pStyle w:val="FirstParagraph"/>
      </w:pPr>
      <w:r>
        <w:t xml:space="preserve">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Read counts</w:t>
      </w:r>
      <w:r>
        <w:t xml:space="preserve"> </w:t>
      </w:r>
      <w:r>
        <w:t xml:space="preserve">are proportional, not absolute. A species at 1% with 10,000 total reads (100 reads) is more reliable than a species at 1% with 500 total reads (5 reads). Read count footnotes are provided where this distinction matters.</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All field pH readings in this dataset were made with a</w:t>
      </w:r>
      <w:r>
        <w:t xml:space="preserve"> </w:t>
      </w:r>
      <w:r>
        <w:rPr>
          <w:bCs/>
          <w:b/>
        </w:rPr>
        <w:t xml:space="preserve">Vivosun handheld pH meter (uncalibrated)</w:t>
      </w:r>
      <w:r>
        <w:t xml:space="preserve"> </w:t>
      </w:r>
      <w:r>
        <w:t xml:space="preserve">and should be treated as approximate (±0.5–1.0 pH unit).</w:t>
      </w:r>
    </w:p>
    <w:p>
      <w:pPr>
        <w:pStyle w:val="BodyText"/>
      </w:pPr>
      <w:r>
        <w:rPr>
          <w:bCs/>
          <w:b/>
        </w:rPr>
        <w:t xml:space="preserve">Site order:</w:t>
      </w:r>
      <w:r>
        <w:t xml:space="preserve"> </w:t>
      </w:r>
      <w:r>
        <w:t xml:space="preserve">Sites are presented upstream-to-downstream where possible, followed by Fresh Brook, then Proctor Point marine reference.</w:t>
      </w:r>
    </w:p>
    <w:p>
      <w:r>
        <w:pict>
          <v:rect style="width:0;height:1.5pt" o:hralign="center" o:hrstd="t" o:hr="t"/>
        </w:pict>
      </w:r>
    </w:p>
    <w:bookmarkEnd w:id="23"/>
    <w:bookmarkStart w:id="24"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4 sites</w:t>
            </w:r>
          </w:p>
        </w:tc>
        <w:tc>
          <w:tcPr/>
          <w:p>
            <w:pPr>
              <w:pStyle w:val="Compact"/>
              <w:jc w:val="left"/>
            </w:pPr>
            <w:r>
              <w:t xml:space="preserve">Golf Course (Nov 2023), Below School St (Nov 2023 + Aug 2024), Atwater (Jun 2025), Below Lincoln Pool (Jun 2025)</w:t>
            </w:r>
          </w:p>
        </w:tc>
        <w:tc>
          <w:tcPr/>
          <w:p>
            <w:pPr>
              <w:pStyle w:val="Compact"/>
              <w:jc w:val="left"/>
            </w:pPr>
            <w:r>
              <w:t xml:space="preserve">Persistent multi-site presence across two years</w:t>
            </w:r>
          </w:p>
        </w:tc>
      </w:tr>
      <w:tr>
        <w:tc>
          <w:tcPr/>
          <w:p>
            <w:pPr>
              <w:pStyle w:val="Compact"/>
              <w:jc w:val="left"/>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 detected</w:t>
            </w:r>
          </w:p>
        </w:tc>
        <w:tc>
          <w:tcPr/>
          <w:p>
            <w:pPr>
              <w:pStyle w:val="Compact"/>
              <w:jc w:val="left"/>
            </w:pPr>
            <w:r>
              <w:t xml:space="preserve">Second Pond (Oct 2024)</w:t>
            </w:r>
          </w:p>
        </w:tc>
        <w:tc>
          <w:tcPr/>
          <w:p>
            <w:pPr>
              <w:pStyle w:val="Compact"/>
              <w:jc w:val="left"/>
            </w:pPr>
            <w:r>
              <w:t xml:space="preserve">Likely native pickerel (Chain or Redfin); Northern Pike assignment anomalous — verify by electrofishing before acting</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4"/>
    <w:bookmarkStart w:id="25"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likely; Northern Pike possible but unconfirmed</w:t>
            </w:r>
          </w:p>
        </w:tc>
        <w:tc>
          <w:tcPr/>
          <w:p>
            <w:pPr>
              <w:pStyle w:val="Compact"/>
              <w:jc w:val="left"/>
            </w:pPr>
            <w:r>
              <w:t xml:space="preserve">Database anomaly — verify by electrofishing</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Cannot distinguish native</w:t>
            </w:r>
            <w:r>
              <w:t xml:space="preserve"> </w:t>
            </w:r>
            <w:r>
              <w:rPr>
                <w:iCs/>
                <w:i/>
              </w:rPr>
              <w:t xml:space="preserve">Chara/Nitella</w:t>
            </w:r>
            <w:r>
              <w:t xml:space="preserve"> </w:t>
            </w:r>
            <w:r>
              <w:t xml:space="preserve">from invasive</w:t>
            </w:r>
            <w:r>
              <w:t xml:space="preserve"> </w:t>
            </w:r>
            <w:r>
              <w:rPr>
                <w:iCs/>
                <w:i/>
              </w:rPr>
              <w:t xml:space="preserve">Nitellopsis</w:t>
            </w:r>
            <w:r>
              <w:t xml:space="preserve"> </w:t>
            </w:r>
            <w:r>
              <w:t xml:space="preserve">without field ID</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5"/>
    <w:bookmarkEnd w:id="26"/>
    <w:bookmarkStart w:id="12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1"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7"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7"/>
    <w:bookmarkStart w:id="28"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28"/>
    <w:bookmarkStart w:id="29"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29"/>
    <w:bookmarkStart w:id="30"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0"/>
    <w:bookmarkEnd w:id="31"/>
    <w:bookmarkStart w:id="36"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2"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2"/>
    <w:bookmarkStart w:id="33"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3"/>
    <w:bookmarkStart w:id="34"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4"/>
    <w:bookmarkStart w:id="35"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bookmarkEnd w:id="35"/>
    <w:bookmarkEnd w:id="36"/>
    <w:bookmarkStart w:id="41"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37"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7"/>
    <w:bookmarkStart w:id="3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38"/>
    <w:bookmarkStart w:id="39"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39"/>
    <w:bookmarkStart w:id="40"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0"/>
    <w:bookmarkEnd w:id="41"/>
    <w:bookmarkStart w:id="42"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2"/>
    <w:bookmarkStart w:id="59" w:name="X5b8f638f8cf74c8533972122a274082540184d9"/>
    <w:p>
      <w:pPr>
        <w:pStyle w:val="Heading2"/>
      </w:pPr>
      <w:r>
        <w:t xml:space="preserve">Sawmill Brook — Three Sites (Manchester-by-the-Sea, MA)</w:t>
      </w:r>
    </w:p>
    <w:bookmarkStart w:id="43"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43"/>
    <w:bookmarkStart w:id="49"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4"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4"/>
    <w:bookmarkStart w:id="45"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5"/>
    <w:bookmarkStart w:id="46"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6"/>
    <w:bookmarkStart w:id="47"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7"/>
    <w:bookmarkStart w:id="48"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48"/>
    <w:bookmarkEnd w:id="49"/>
    <w:bookmarkStart w:id="54"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0"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0"/>
    <w:bookmarkStart w:id="51"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1"/>
    <w:bookmarkStart w:id="52"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2"/>
    <w:bookmarkStart w:id="53"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3"/>
    <w:bookmarkEnd w:id="54"/>
    <w:bookmarkStart w:id="58"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5"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5"/>
    <w:bookmarkStart w:id="56"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6"/>
    <w:bookmarkStart w:id="57"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57"/>
    <w:bookmarkEnd w:id="58"/>
    <w:bookmarkEnd w:id="59"/>
    <w:bookmarkStart w:id="65"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0"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0"/>
    <w:bookmarkStart w:id="61"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1"/>
    <w:bookmarkStart w:id="62"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2"/>
    <w:bookmarkStart w:id="63"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3"/>
    <w:bookmarkStart w:id="64"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4"/>
    <w:bookmarkEnd w:id="65"/>
    <w:bookmarkStart w:id="72"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66"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66"/>
    <w:bookmarkStart w:id="67"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67"/>
    <w:bookmarkStart w:id="68"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68"/>
    <w:bookmarkStart w:id="69"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69"/>
    <w:bookmarkStart w:id="70"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70"/>
    <w:bookmarkStart w:id="71"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bookmarkEnd w:id="71"/>
    <w:bookmarkEnd w:id="72"/>
    <w:bookmarkStart w:id="79"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3"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3"/>
    <w:bookmarkStart w:id="74"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4"/>
    <w:bookmarkStart w:id="75"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5"/>
    <w:bookmarkStart w:id="76"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6"/>
    <w:bookmarkStart w:id="77"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77"/>
    <w:bookmarkStart w:id="78"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78"/>
    <w:bookmarkEnd w:id="79"/>
    <w:bookmarkStart w:id="86"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0"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0"/>
    <w:bookmarkStart w:id="81"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1"/>
    <w:bookmarkStart w:id="82"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2"/>
    <w:bookmarkStart w:id="83"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3"/>
    <w:bookmarkStart w:id="84"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84"/>
    <w:bookmarkStart w:id="85"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5"/>
    <w:bookmarkEnd w:id="86"/>
    <w:bookmarkStart w:id="90"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87"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87"/>
    <w:bookmarkStart w:id="88"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88"/>
    <w:bookmarkStart w:id="89"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89"/>
    <w:bookmarkEnd w:id="90"/>
    <w:bookmarkStart w:id="92"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bookmarkStart w:id="91"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13.0</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3.2</w:t>
            </w:r>
          </w:p>
        </w:tc>
        <w:tc>
          <w:tcPr/>
          <w:p>
            <w:pPr>
              <w:pStyle w:val="Compact"/>
              <w:jc w:val="left"/>
            </w:pPr>
            <w:r>
              <w:t xml:space="preserve">Winter baseline</w:t>
            </w:r>
          </w:p>
        </w:tc>
      </w:tr>
    </w:tbl>
    <w:p>
      <w:pPr>
        <w:pStyle w:val="BodyText"/>
      </w:pPr>
      <w:r>
        <w:t xml:space="preserve">pH 6.50 and 13.0°C on the eDNA sample date are both within acceptable range for Brook Trout (thermal optimum 12–16°C;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1"/>
    <w:bookmarkEnd w:id="92"/>
    <w:bookmarkStart w:id="98"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93"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3"/>
    <w:bookmarkStart w:id="94"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4"/>
    <w:bookmarkStart w:id="95"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95"/>
    <w:bookmarkStart w:id="96"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6"/>
    <w:bookmarkStart w:id="97"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17.1</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rPr>
                <w:bCs/>
                <w:b/>
              </w:rPr>
              <w:t xml:space="preserve">24.4</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2.7</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(24.4°C), Atwater Ave water temperature is at or beyond the acute lethal threshold for Brook Trout (death commonly reported above 23–24°C).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7"/>
    <w:bookmarkEnd w:id="98"/>
    <w:bookmarkStart w:id="104"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99" w:name="sentinel-signal-12"/>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99"/>
    <w:bookmarkStart w:id="100"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100"/>
    <w:bookmarkStart w:id="101" w:name="narrative-12"/>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101"/>
    <w:bookmarkStart w:id="102" w:name="algal-community-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102"/>
    <w:bookmarkStart w:id="103" w:name="native-vs.-non-native-10"/>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bookmarkEnd w:id="103"/>
    <w:bookmarkEnd w:id="104"/>
    <w:bookmarkStart w:id="111"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105" w:name="sentinel-signal-13"/>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105"/>
    <w:bookmarkStart w:id="106"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106"/>
    <w:bookmarkStart w:id="107" w:name="narrative-13"/>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107"/>
    <w:bookmarkStart w:id="108" w:name="algal-community-6"/>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108"/>
    <w:bookmarkStart w:id="109" w:name="native-vs.-non-native-11"/>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bookmarkEnd w:id="109"/>
    <w:bookmarkStart w:id="110" w:name="X463039ffb343bc4e477b2e8accc795b51c533e3"/>
    <w:p>
      <w:pPr>
        <w:pStyle w:val="Heading3"/>
      </w:pPr>
      <w:r>
        <w:t xml:space="preserve">Field Measurements — Fresh Brook, Wellfleet (Vivosun pH meter†)</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Temp °C</w:t>
            </w:r>
          </w:p>
        </w:tc>
        <w:tc>
          <w:tcPr/>
          <w:p>
            <w:pPr>
              <w:pStyle w:val="Compact"/>
              <w:jc w:val="left"/>
            </w:pPr>
            <w:r>
              <w:t xml:space="preserve">Note</w:t>
            </w:r>
          </w:p>
        </w:tc>
      </w:tr>
      <w:tr>
        <w:tc>
          <w:tcPr/>
          <w:p>
            <w:pPr>
              <w:pStyle w:val="Compact"/>
              <w:jc w:val="left"/>
            </w:pPr>
            <w:r>
              <w:t xml:space="preserve">Jul 28, 2024</w:t>
            </w:r>
          </w:p>
        </w:tc>
        <w:tc>
          <w:tcPr/>
          <w:p>
            <w:pPr>
              <w:pStyle w:val="Compact"/>
              <w:jc w:val="left"/>
            </w:pPr>
            <w:r>
              <w:t xml:space="preserve">Below impoundment</w:t>
            </w:r>
          </w:p>
        </w:tc>
        <w:tc>
          <w:tcPr/>
          <w:p>
            <w:pPr>
              <w:pStyle w:val="Compact"/>
              <w:jc w:val="left"/>
            </w:pPr>
            <w:r>
              <w:t xml:space="preserve">5.75</w:t>
            </w:r>
          </w:p>
        </w:tc>
        <w:tc>
          <w:tcPr/>
          <w:p>
            <w:pPr>
              <w:pStyle w:val="Compact"/>
              <w:jc w:val="left"/>
            </w:pPr>
            <w:r>
              <w:t xml:space="preserve">68.5</w:t>
            </w:r>
          </w:p>
        </w:tc>
        <w:tc>
          <w:tcPr/>
          <w:p>
            <w:pPr>
              <w:pStyle w:val="Compact"/>
              <w:jc w:val="left"/>
            </w:pPr>
            <w:r>
              <w:rPr>
                <w:bCs/>
                <w:b/>
              </w:rPr>
              <w:t xml:space="preserve">20.3</w:t>
            </w:r>
          </w:p>
        </w:tc>
        <w:tc>
          <w:tcPr/>
          <w:p>
            <w:pPr>
              <w:pStyle w:val="Compact"/>
              <w:jc w:val="left"/>
            </w:pPr>
            <w:r>
              <w:t xml:space="preserve">⚠️ At Brook Trout thermal limit</w:t>
            </w:r>
          </w:p>
        </w:tc>
      </w:tr>
      <w:tr>
        <w:tc>
          <w:tcPr/>
          <w:p>
            <w:pPr>
              <w:pStyle w:val="Compact"/>
              <w:jc w:val="left"/>
            </w:pPr>
            <w:r>
              <w:t xml:space="preserve">Jul 28, 2024</w:t>
            </w:r>
          </w:p>
        </w:tc>
        <w:tc>
          <w:tcPr/>
          <w:p>
            <w:pPr>
              <w:pStyle w:val="Compact"/>
              <w:jc w:val="left"/>
            </w:pPr>
            <w:r>
              <w:t xml:space="preserve">At impoundment</w:t>
            </w:r>
          </w:p>
        </w:tc>
        <w:tc>
          <w:tcPr/>
          <w:p>
            <w:pPr>
              <w:pStyle w:val="Compact"/>
              <w:jc w:val="left"/>
            </w:pPr>
            <w:r>
              <w:t xml:space="preserve">5.57</w:t>
            </w:r>
          </w:p>
        </w:tc>
        <w:tc>
          <w:tcPr/>
          <w:p>
            <w:pPr>
              <w:pStyle w:val="Compact"/>
              <w:jc w:val="left"/>
            </w:pPr>
            <w:r>
              <w:t xml:space="preserve">75.0</w:t>
            </w:r>
          </w:p>
        </w:tc>
        <w:tc>
          <w:tcPr/>
          <w:p>
            <w:pPr>
              <w:pStyle w:val="Compact"/>
              <w:jc w:val="left"/>
            </w:pPr>
            <w:r>
              <w:rPr>
                <w:bCs/>
                <w:b/>
              </w:rPr>
              <w:t xml:space="preserve">23.9</w:t>
            </w:r>
          </w:p>
        </w:tc>
        <w:tc>
          <w:tcPr/>
          <w:p>
            <w:pPr>
              <w:pStyle w:val="Compact"/>
              <w:jc w:val="left"/>
            </w:pPr>
            <w:r>
              <w:t xml:space="preserve">⚠️ Lethal range for Brook Trout</w:t>
            </w:r>
          </w:p>
        </w:tc>
      </w:tr>
    </w:tbl>
    <w:p>
      <w:pPr>
        <w:pStyle w:val="BlockText"/>
      </w:pPr>
      <w:r>
        <w:t xml:space="preserve">⚠️</w:t>
      </w:r>
      <w:r>
        <w:t xml:space="preserve"> </w:t>
      </w:r>
      <w:r>
        <w:rPr>
          <w:bCs/>
          <w:b/>
        </w:rPr>
        <w:t xml:space="preserve">Thermal and pH double-stressor — At Impoundment, July 2024.</w:t>
      </w:r>
      <w:r>
        <w:t xml:space="preserve"> </w:t>
      </w:r>
      <w:r>
        <w:t xml:space="preserve">75°F (23.9°C) is at or beyond the acute lethal threshold for Brook Trout (~23–24°C). Combined with pH 5.57 — itself near the lower adult tolerance limit (~5.0) — the impoundment presents a two-stressor environment hostile to Brook Trout. The August eDNA sample confirming Brook Trout absence is consistent with these conditions. Below the impoundment, 68.5°F (20.3°C) is right at the thermal limit, and pH 5.75 remains on the low side. The Synurophyte algal community (68%) in the August sample reflects cold water quality that was characteristic of this stream</w:t>
      </w:r>
      <w:r>
        <w:t xml:space="preserve"> </w:t>
      </w:r>
      <w:r>
        <w:rPr>
          <w:iCs/>
          <w:i/>
        </w:rPr>
        <w:t xml:space="preserve">before</w:t>
      </w:r>
      <w:r>
        <w:t xml:space="preserve"> </w:t>
      </w:r>
      <w:r>
        <w:t xml:space="preserve">impoundment altered the thermal regime — the algal signal may represent upstream refugia conditions rather than the sampled reach.</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110"/>
    <w:bookmarkEnd w:id="111"/>
    <w:bookmarkStart w:id="11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11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112"/>
    <w:bookmarkStart w:id="113" w:name="sentinel-signal-14"/>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113"/>
    <w:bookmarkStart w:id="11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114"/>
    <w:bookmarkStart w:id="11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115"/>
    <w:bookmarkStart w:id="116" w:name="narrative-14"/>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bookmarkEnd w:id="116"/>
    <w:bookmarkEnd w:id="117"/>
    <w:bookmarkStart w:id="122"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18" w:name="sentinel-signal-1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18"/>
    <w:bookmarkStart w:id="119"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19"/>
    <w:bookmarkStart w:id="120" w:name="narrative-15"/>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20"/>
    <w:bookmarkStart w:id="121" w:name="native-vs.-non-native-1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21"/>
    <w:bookmarkEnd w:id="122"/>
    <w:bookmarkEnd w:id="123"/>
    <w:bookmarkStart w:id="124" w:name="X59784cc5e000a43598ed06a62acc0f059afb8f9"/>
    <w:p>
      <w:pPr>
        <w:pStyle w:val="Heading1"/>
      </w:pPr>
      <w:r>
        <w:t xml:space="preserve">Appendix A — Brook Trout Detections: Sawmill / Cat Brook Sites</w:t>
      </w:r>
    </w:p>
    <w:bookmarkEnd w:id="124"/>
    <w:bookmarkStart w:id="130" w:name="Xeb7b060d1e6179fce2f31433d2e5e45ce9c152d"/>
    <w:p>
      <w:pPr>
        <w:pStyle w:val="Heading1"/>
      </w:pPr>
      <w:r>
        <w:t xml:space="preserve">Appendix: Cross-Batch Brook Trout &amp; Atlantic Salmon Summary</w:t>
      </w:r>
    </w:p>
    <w:bookmarkStart w:id="125"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25"/>
    <w:bookmarkStart w:id="126" w:name="Xfbc067fc0f5d7d1f90a62d5ace41a44292e1398"/>
    <w:p>
      <w:pPr>
        <w:pStyle w:val="Heading2"/>
      </w:pPr>
      <w:r>
        <w:t xml:space="preserve">Cross-Batch Summary — Brook Trout and Atlantic Salmon</w:t>
      </w:r>
    </w:p>
    <w:bookmarkEnd w:id="126"/>
    <w:bookmarkStart w:id="127"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27"/>
    <w:bookmarkStart w:id="128"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28"/>
    <w:bookmarkStart w:id="129"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29"/>
    <w:bookmarkEnd w:id="130"/>
    <w:bookmarkStart w:id="140" w:name="X2c66044a21b71fdd0e94d15a03ec2222fc66359"/>
    <w:p>
      <w:pPr>
        <w:pStyle w:val="Heading1"/>
      </w:pPr>
      <w:r>
        <w:t xml:space="preserve">Appendix B — Non-Aquatic eDNA &amp; Cormorant Dietary Artifacts</w:t>
      </w:r>
    </w:p>
    <w:bookmarkStart w:id="131" w:name="Xfb050cfee7f1ecf7ad79739242fb3b0b996c06e"/>
    <w:p>
      <w:pPr>
        <w:pStyle w:val="Heading2"/>
      </w:pPr>
      <w:r>
        <w:t xml:space="preserve">Non-Aquatic eDNA Detections — Summary and Methodological Note</w:t>
      </w:r>
    </w:p>
    <w:bookmarkEnd w:id="131"/>
    <w:bookmarkStart w:id="1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132"/>
    <w:bookmarkStart w:id="1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133"/>
    <w:bookmarkStart w:id="1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134"/>
    <w:bookmarkStart w:id="135"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135"/>
    <w:bookmarkStart w:id="136" w:name="jvb5403-algal-summary"/>
    <w:p>
      <w:pPr>
        <w:pStyle w:val="Heading2"/>
      </w:pPr>
      <w:r>
        <w:t xml:space="preserve">JVB5403 Algal Summary</w:t>
      </w:r>
    </w:p>
    <w:bookmarkEnd w:id="136"/>
    <w:bookmarkStart w:id="137"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137"/>
    <w:bookmarkStart w:id="138" w:name="jvb3988-jvb4678-algal-summary"/>
    <w:p>
      <w:pPr>
        <w:pStyle w:val="Heading2"/>
      </w:pPr>
      <w:r>
        <w:t xml:space="preserve">JVB3988 + JVB4678 Algal Summary</w:t>
      </w:r>
    </w:p>
    <w:bookmarkEnd w:id="138"/>
    <w:bookmarkStart w:id="139"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2026-04-24T05:13:42Z</dcterms:created>
  <dcterms:modified xsi:type="dcterms:W3CDTF">2026-04-24T05:13:42Z</dcterms:modified>
</cp:coreProperties>
</file>

<file path=docProps/custom.xml><?xml version="1.0" encoding="utf-8"?>
<Properties xmlns="http://schemas.openxmlformats.org/officeDocument/2006/custom-properties" xmlns:vt="http://schemas.openxmlformats.org/officeDocument/2006/docPropsVTypes"/>
</file>