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eDNA Metabarcoding — New England Freshwater &amp; Coastal Monitoring</w:t>
      </w:r>
    </w:p>
    <w:p>
      <w:pPr>
        <w:pStyle w:val="Heading1"/>
      </w:pPr>
      <w:r>
        <w:t>Corpus-Wide Abstract &amp; Key Findings</w:t>
      </w:r>
    </w:p>
    <w:p>
      <w:r>
        <w:rPr>
          <w:color w:val="808080"/>
        </w:rPr>
        <w:t>Generated: May 11, 2026  |  Database: edna.db  |  Report series: eDNA_Reports_by_Location</w:t>
      </w:r>
    </w:p>
    <w:p/>
    <w:p>
      <w:pPr>
        <w:pStyle w:val="Heading2"/>
      </w:pPr>
      <w:r>
        <w:t>Dataset Summary</w:t>
      </w:r>
    </w:p>
    <w:p>
      <w:r>
        <w:t>The edna.db corpus encompasses 56 water samples from 35 named sites across 10 laboratory submission batches, yielding 3,342 unique DNA sequence variants from 3,218,200 total sequencing reads. Samples span 10/14/2024 11:54:10 PM through 9/20/2024 3:38, covering coastal Maine (Narraguagus watershed, Union River, East Machias, Orange River), Manchester-by-the-Sea MA (Sawmill Brook system), and Cape Cod MA (Mashpee, Quashnet, Santuit rivers and associated ponds). Two amplicon targets were employed: fish/vertebrate 12S rRNA and photosynthetic microalgae 23S rRNA. Fish diversity across the corpus totals 149 species or species-groups.</w:t>
      </w:r>
    </w:p>
    <w:p>
      <w:pPr>
        <w:pStyle w:val="Heading2"/>
      </w:pPr>
      <w:r>
        <w:t>Conservation Findings</w:t>
      </w:r>
    </w:p>
    <w:p>
      <w:pPr>
        <w:pStyle w:val="Heading2"/>
      </w:pPr>
      <w:r>
        <w:t>Atlantic Salmon — Gulf of Maine Population</w:t>
      </w:r>
    </w:p>
    <w:p>
      <w:r>
        <w:t>Atlantic Salmon (federally endangered, Gulf of Maine Distinct Population Segment) confirmed by sequence analysis at the following sites:</w:t>
      </w:r>
    </w:p>
    <w:p>
      <w:pPr>
        <w:pStyle w:val="ListBullet"/>
      </w:pPr>
      <w:r>
        <w:t>Union River Bridge — 246 reads</w:t>
      </w:r>
    </w:p>
    <w:p>
      <w:r>
        <w:t>These detections represent spawning-run fish in natal tributaries of the East Machias and Union River watersheds. Results have been shared with local officials. The salmon sequence is confirmed distinct from Brown Trout at the fish barcode amplicon, validating species-level assignment.</w:t>
      </w:r>
    </w:p>
    <w:p>
      <w:pPr>
        <w:pStyle w:val="Heading2"/>
      </w:pPr>
      <w:r>
        <w:t>Brook Trout — pH Threshold Finding</w:t>
      </w:r>
    </w:p>
    <w:p>
      <w:r>
        <w:t>Brook Trout detections across the corpus reveal a clear pH threshold: absent at pH ≤ 3.7, marginal at pH 5.09, established populations at pH ≥ 5.17. All Brook Trout detections resolve to a single confirmed sequence — no Lake Trout or Arctic Char present anywhere in the dataset.</w:t>
      </w:r>
    </w:p>
    <w:p>
      <w:r>
        <w:t>Sites by Brook Trout signal strength:</w:t>
      </w:r>
    </w:p>
    <w:p>
      <w:pPr>
        <w:pStyle w:val="ListBullet"/>
      </w:pPr>
      <w:r>
        <w:t>Red Brook Road Pool Low Tide — 20,798 reads  [pH not measured]</w:t>
      </w:r>
    </w:p>
    <w:p>
      <w:pPr>
        <w:pStyle w:val="ListBullet"/>
      </w:pPr>
      <w:r>
        <w:t>Crotch Camp Creek — 5,992 reads  [pH 5.17]</w:t>
      </w:r>
    </w:p>
    <w:p>
      <w:pPr>
        <w:pStyle w:val="ListBullet"/>
      </w:pPr>
      <w:r>
        <w:t>Mashpee River — 3,836 reads  [pH not measured]</w:t>
      </w:r>
    </w:p>
    <w:p>
      <w:pPr>
        <w:pStyle w:val="ListBullet"/>
      </w:pPr>
      <w:r>
        <w:t>Orange River orange bucket — 2,561 reads  [pH not measured]</w:t>
      </w:r>
    </w:p>
    <w:p>
      <w:pPr>
        <w:pStyle w:val="ListBullet"/>
      </w:pPr>
      <w:r>
        <w:t>below school st — 2,127 reads  [pH not measured]</w:t>
      </w:r>
    </w:p>
    <w:p>
      <w:pPr>
        <w:pStyle w:val="ListBullet"/>
      </w:pPr>
      <w:r>
        <w:t>Orange River — 1,174 reads  [pH not measured]</w:t>
      </w:r>
    </w:p>
    <w:p>
      <w:pPr>
        <w:pStyle w:val="ListBullet"/>
      </w:pPr>
      <w:r>
        <w:t>West Branch — 591 reads  [pH 5.09]</w:t>
      </w:r>
    </w:p>
    <w:p>
      <w:r>
        <w:t>pH–Brook Trout relationship (sites with field measurements):</w:t>
      </w:r>
    </w:p>
    <w:p>
      <w:pPr>
        <w:pStyle w:val="ListBullet"/>
      </w:pPr>
      <w:r>
        <w:t>pH 3.54  McCoy Brook — Brook Trout ABSENT (0 reads)</w:t>
      </w:r>
    </w:p>
    <w:p>
      <w:pPr>
        <w:pStyle w:val="ListBullet"/>
      </w:pPr>
      <w:r>
        <w:t>pH 3.73  UNT Lane Rd Deblois — Brook Trout ABSENT (0 reads)</w:t>
      </w:r>
    </w:p>
    <w:p>
      <w:pPr>
        <w:pStyle w:val="ListBullet"/>
      </w:pPr>
      <w:r>
        <w:t>pH 5.09  West Branch — Brook Trout PRESENT (538 reads)</w:t>
      </w:r>
    </w:p>
    <w:p>
      <w:pPr>
        <w:pStyle w:val="ListBullet"/>
      </w:pPr>
      <w:r>
        <w:t>pH 5.17  Crotch Camp Creek — Brook Trout PRESENT (5,992 reads)</w:t>
      </w:r>
    </w:p>
    <w:p>
      <w:pPr>
        <w:pStyle w:val="Heading2"/>
      </w:pPr>
      <w:r>
        <w:t>Acid-Water Indicator Algae — Narraguagus Watershed</w:t>
      </w:r>
    </w:p>
    <w:p>
      <w:r>
        <w:t>Independent verification of all algal identifications corrected a systematic error in the laboratory reference database: sequences originally assigned to a marine/brackish diatom at inland sites were re-identified as Eunotia naegelii — a strong acidophilic diatom with pH optimum 4.5–5.5. This correction changes the ecological interpretation at multiple sites from "database artifact" to "confirmed acid-water signal." Eunotia naegelii is most abundant at:</w:t>
      </w:r>
    </w:p>
    <w:p>
      <w:pPr>
        <w:pStyle w:val="ListBullet"/>
      </w:pPr>
      <w:r>
        <w:t>UNT Lane Rd Deblois — 14,918 reads  pH 3.73</w:t>
      </w:r>
    </w:p>
    <w:p>
      <w:pPr>
        <w:pStyle w:val="ListBullet"/>
      </w:pPr>
      <w:r>
        <w:t>McCoy Brook — 7,282 reads  pH 3.54</w:t>
      </w:r>
    </w:p>
    <w:p>
      <w:pPr>
        <w:pStyle w:val="ListBullet"/>
      </w:pPr>
      <w:r>
        <w:t>West Branch — 7,020 reads  pH 5.09</w:t>
      </w:r>
    </w:p>
    <w:p>
      <w:pPr>
        <w:pStyle w:val="ListBullet"/>
      </w:pPr>
      <w:r>
        <w:t xml:space="preserve">below school st — 2,798 reads  </w:t>
      </w:r>
    </w:p>
    <w:p>
      <w:pPr>
        <w:pStyle w:val="ListBullet"/>
      </w:pPr>
      <w:r>
        <w:t xml:space="preserve">lower golf course / Sawmill Brook — 2,715 reads  </w:t>
      </w:r>
    </w:p>
    <w:p>
      <w:r>
        <w:t>Field pH measurements at McCoy Brook (3.54) and UNT Lane Rd Deblois (3.73) independently confirm extreme acid conditions consistent with the Eunotia signal. Synura mammillosa (an oligotrophic chrysophyte) at Crotch Camp Creek corroborates soft, unimpacted water chemistry at sites with measurable Brook Trout populations.</w:t>
      </w:r>
    </w:p>
    <w:p>
      <w:pPr>
        <w:pStyle w:val="Heading2"/>
      </w:pPr>
      <w:r>
        <w:t>Anadromous Fish Community</w:t>
      </w:r>
    </w:p>
    <w:p>
      <w:r>
        <w:t>Nine anadromous or diadromous species detected corpus-wide:</w:t>
      </w:r>
    </w:p>
    <w:p>
      <w:pPr>
        <w:pStyle w:val="ListBullet"/>
      </w:pPr>
      <w:r>
        <w:t>Alewife — 397,400 reads  across 20 site(s)</w:t>
      </w:r>
    </w:p>
    <w:p>
      <w:pPr>
        <w:pStyle w:val="ListBullet"/>
      </w:pPr>
      <w:r>
        <w:t>American Eel — 277,148 reads  across 31 site(s)</w:t>
      </w:r>
    </w:p>
    <w:p>
      <w:pPr>
        <w:pStyle w:val="ListBullet"/>
      </w:pPr>
      <w:r>
        <w:t>Brook Trout — 46,570 reads  across 9 site(s)</w:t>
      </w:r>
    </w:p>
    <w:p>
      <w:pPr>
        <w:pStyle w:val="ListBullet"/>
      </w:pPr>
      <w:r>
        <w:t>Blueback Herring — 45,089 reads  across 4 site(s)</w:t>
      </w:r>
    </w:p>
    <w:p>
      <w:pPr>
        <w:pStyle w:val="ListBullet"/>
      </w:pPr>
      <w:r>
        <w:t>Brevoortia tyrannus — 38,094 reads  across 6 site(s)</w:t>
      </w:r>
    </w:p>
    <w:p>
      <w:pPr>
        <w:pStyle w:val="ListBullet"/>
      </w:pPr>
      <w:r>
        <w:t>Striped Bass — 10,123 reads  across 6 site(s)</w:t>
      </w:r>
    </w:p>
    <w:p>
      <w:pPr>
        <w:pStyle w:val="ListBullet"/>
      </w:pPr>
      <w:r>
        <w:t>White Perch — 4,783 reads  across 11 site(s)</w:t>
      </w:r>
    </w:p>
    <w:p>
      <w:pPr>
        <w:pStyle w:val="ListBullet"/>
      </w:pPr>
      <w:r>
        <w:t>Hickory Shad — 3,351 reads  across 1 site(s)</w:t>
      </w:r>
    </w:p>
    <w:p>
      <w:pPr>
        <w:pStyle w:val="ListBullet"/>
      </w:pPr>
      <w:r>
        <w:t>Atlantic Salmon — 763 reads  across 1 site(s)</w:t>
      </w:r>
    </w:p>
    <w:p>
      <w:pPr>
        <w:pStyle w:val="ListBullet"/>
      </w:pPr>
      <w:r>
        <w:t>Microgadus tomcod voucher — 741 reads  across 2 site(s)</w:t>
      </w:r>
    </w:p>
    <w:p>
      <w:pPr>
        <w:pStyle w:val="ListBullet"/>
      </w:pPr>
      <w:r>
        <w:t>Rainbow Smelt — 299 reads  across 6 site(s)</w:t>
      </w:r>
    </w:p>
    <w:p>
      <w:pPr>
        <w:pStyle w:val="ListBullet"/>
      </w:pPr>
      <w:r>
        <w:t>Brown Trout — 267 reads  across 1 site(s)</w:t>
      </w:r>
    </w:p>
    <w:p>
      <w:pPr>
        <w:pStyle w:val="ListBullet"/>
      </w:pPr>
      <w:r>
        <w:t>Brevoortia tyrannus voucher — 254 reads  across 1 site(s)</w:t>
      </w:r>
    </w:p>
    <w:p>
      <w:pPr>
        <w:pStyle w:val="ListBullet"/>
      </w:pPr>
      <w:r>
        <w:t>American Shad — 204 reads  across 1 site(s)</w:t>
      </w:r>
    </w:p>
    <w:p>
      <w:pPr>
        <w:pStyle w:val="ListBullet"/>
      </w:pPr>
      <w:r>
        <w:t>Anguilla anguilla isolate — 118 reads  across 1 site(s)</w:t>
      </w:r>
    </w:p>
    <w:p>
      <w:pPr>
        <w:pStyle w:val="ListBullet"/>
      </w:pPr>
      <w:r>
        <w:t>Salvelinus sp — 114 reads  across 1 site(s)</w:t>
      </w:r>
    </w:p>
    <w:p>
      <w:pPr>
        <w:pStyle w:val="ListBullet"/>
      </w:pPr>
      <w:r>
        <w:t>Microgadus tomcod isolate — 108 reads  across 1 site(s)</w:t>
      </w:r>
    </w:p>
    <w:p>
      <w:pPr>
        <w:pStyle w:val="ListBullet"/>
      </w:pPr>
      <w:r>
        <w:t>Salvelinus leucomaenis japonicus — 25 reads  across 1 site(s)</w:t>
      </w:r>
    </w:p>
    <w:p>
      <w:pPr>
        <w:pStyle w:val="ListBullet"/>
      </w:pPr>
      <w:r>
        <w:t>Anguilla japonica mitochondrion — 11 reads  across 0 site(s)</w:t>
      </w:r>
    </w:p>
    <w:p>
      <w:r>
        <w:t>Alewife and Blueback Herring are molecularly distinguishable at the fish barcode amplicon despite prior expert skepticism — spatial distributions are non-overlapping and ecologically consistent. Redfin Pickerel confirmed at multiple sites by sequence analysis — prior "Esox (possibly Northern Pike)" language in earlier reports should be replaced; no Northern Pike is present in the dataset.</w:t>
      </w:r>
    </w:p>
    <w:p>
      <w:pPr>
        <w:pStyle w:val="Heading2"/>
      </w:pPr>
      <w:r>
        <w:t>American Shad and Shortnose Sturgeon — Union River qPCR Cross-Validation</w:t>
      </w:r>
    </w:p>
    <w:p>
      <w:r>
        <w:t>American Shad confirmed at Union River Dam (Ellsworth, ME) on July 10, 2024 by metabarcoding (204 reads, 100% sequence identity). This detection is independently supported by targeted qPCR analysis (University of Maine, 2025) on three Union River locations — Dam, Riverside Park, and the downstream Bridge — sampled on June 28 and July 10, 2025.</w:t>
      </w:r>
    </w:p>
    <w:p>
      <w:r>
        <w:t>qPCR results (American Shad):</w:t>
      </w:r>
    </w:p>
    <w:p>
      <w:pPr>
        <w:pStyle w:val="ListBullet"/>
      </w:pPr>
      <w:r>
        <w:t>June 28, 2025 — Bridge (downstream of dam): POSITIVE — Cq ~35.1, all four replicates consistent. Estimated ~200–250 genomic copies per reaction. Low-concentration but unambiguous signal.</w:t>
      </w:r>
    </w:p>
    <w:p>
      <w:pPr>
        <w:pStyle w:val="ListBullet"/>
      </w:pPr>
      <w:r>
        <w:t>June 28, 2025 — Dam and Park: non-detect.</w:t>
      </w:r>
    </w:p>
    <w:p>
      <w:pPr>
        <w:pStyle w:val="ListBullet"/>
      </w:pPr>
      <w:r>
        <w:t>July 10, 2025 — Dam, Park, Bridge: non-detect at all three locations.</w:t>
      </w:r>
    </w:p>
    <w:p>
      <w:pPr>
        <w:pStyle w:val="ListBullet"/>
      </w:pPr>
      <w:r>
        <w:t>No-template control and filter blank: clean (non-detect). Positive standards confirmed assay function.</w:t>
      </w:r>
    </w:p>
    <w:p>
      <w:r>
        <w:t>qPCR results (Shortnose Sturgeon):</w:t>
      </w:r>
    </w:p>
    <w:p>
      <w:pPr>
        <w:pStyle w:val="ListBullet"/>
      </w:pPr>
      <w:r>
        <w:t>Non-detect at all Union River locations on both dates. Positive standards confirmed assay sensitivity. Shortnose Sturgeon is not present at detectable levels in the Union River at the Ellsworth Dam reach.</w:t>
      </w:r>
    </w:p>
    <w:p>
      <w:r>
        <w:t>Interpretation: The June 28 Bridge detection places American Shad below the Ellsworth Dam in late June 2025, consistent with the species' typical early-summer migration run. The absence of a signal at the Dam itself on the same date — combined with the July 10 non-detects — suggests fish were staging or passing through the Bridge reach but had not yet accumulated in significant numbers immediately below the dam face. Together, the 2024 metabarcoding detection at the Dam and the 2025 qPCR Bridge detection provide two-year, two-method confirmation of American Shad presence in the Ellsworth Dam reach. Shortnose Sturgeon is not a current conservation concern at this site based on available data.</w:t>
      </w:r>
    </w:p>
    <w:p>
      <w:pPr>
        <w:pStyle w:val="Heading2"/>
      </w:pPr>
      <w:r>
        <w:t>Cape Cod River pH — CCRO Monitoring Data</w:t>
      </w:r>
    </w:p>
    <w:p>
      <w:r>
        <w:t>Monthly pH data for six Cape Cod rivers is incorporated from the Cape Cod Rivers Observatory (CCRO), providing continuous multi-year monitoring context for eDNA detections in the Mashpee–Santuit–Quashnet watershed.</w:t>
      </w:r>
    </w:p>
    <w:p>
      <w:r>
        <w:t>Annual average pH by river (CCRO):</w:t>
      </w:r>
    </w:p>
    <w:p>
      <w:pPr>
        <w:pStyle w:val="ListBullet"/>
      </w:pPr>
      <w:r>
        <w:t>Red Brook River — annual avg pH 5.978  (range 5.560–6.420)</w:t>
      </w:r>
    </w:p>
    <w:p>
      <w:pPr>
        <w:pStyle w:val="ListBullet"/>
      </w:pPr>
      <w:r>
        <w:t>Quashnet River — annual avg pH 6.240  (range 5.970–6.472)</w:t>
      </w:r>
    </w:p>
    <w:p>
      <w:pPr>
        <w:pStyle w:val="ListBullet"/>
      </w:pPr>
      <w:r>
        <w:t>Coonamesset River — annual avg pH 6.480  (range 6.027–7.725)</w:t>
      </w:r>
    </w:p>
    <w:p>
      <w:pPr>
        <w:pStyle w:val="ListBullet"/>
      </w:pPr>
      <w:r>
        <w:t>Mashpee River — annual avg pH 6.490  (range 6.163–6.858)</w:t>
      </w:r>
    </w:p>
    <w:p>
      <w:pPr>
        <w:pStyle w:val="ListBullet"/>
      </w:pPr>
      <w:r>
        <w:t>Santuit River — annual avg pH 6.626  (range 6.257–6.936)</w:t>
      </w:r>
    </w:p>
    <w:p>
      <w:pPr>
        <w:pStyle w:val="ListBullet"/>
      </w:pPr>
      <w:r>
        <w:t>Herring River River — annual avg pH 7.317  (range 6.597–8.480)</w:t>
      </w:r>
    </w:p>
    <w:p>
      <w:r>
        <w:t>Red Brook (Mashpee) — the focal eDNA site — shows characteristically acidic conditions across all months, consistent with its status as a soft-water, peat-influenced Atlantic White Cedar stream:</w:t>
      </w:r>
    </w:p>
    <w:p>
      <w:pPr>
        <w:pStyle w:val="ListBullet"/>
      </w:pPr>
      <w:r>
        <w:t>January     pH 5.820  ±0.891    ########</w:t>
      </w:r>
    </w:p>
    <w:p>
      <w:pPr>
        <w:pStyle w:val="ListBullet"/>
      </w:pPr>
      <w:r>
        <w:t>February    pH 6.420  ±0.185    ##############</w:t>
      </w:r>
    </w:p>
    <w:p>
      <w:pPr>
        <w:pStyle w:val="ListBullet"/>
      </w:pPr>
      <w:r>
        <w:t>March       pH 6.354  ±0.314    #############</w:t>
      </w:r>
    </w:p>
    <w:p>
      <w:pPr>
        <w:pStyle w:val="ListBullet"/>
      </w:pPr>
      <w:r>
        <w:t>April       pH 6.073  ±0.387    ##########</w:t>
      </w:r>
    </w:p>
    <w:p>
      <w:pPr>
        <w:pStyle w:val="ListBullet"/>
      </w:pPr>
      <w:r>
        <w:t>May         pH 6.100  ±0.102    ##########</w:t>
      </w:r>
    </w:p>
    <w:p>
      <w:pPr>
        <w:pStyle w:val="ListBullet"/>
      </w:pPr>
      <w:r>
        <w:t>June        pH 6.081  ±0.233    ##########</w:t>
      </w:r>
    </w:p>
    <w:p>
      <w:pPr>
        <w:pStyle w:val="ListBullet"/>
      </w:pPr>
      <w:r>
        <w:t>July        pH 5.973  ±0.057    #########</w:t>
      </w:r>
    </w:p>
    <w:p>
      <w:pPr>
        <w:pStyle w:val="ListBullet"/>
      </w:pPr>
      <w:r>
        <w:t>August      pH 6.130  ±0.025    ###########</w:t>
      </w:r>
    </w:p>
    <w:p>
      <w:pPr>
        <w:pStyle w:val="ListBullet"/>
      </w:pPr>
      <w:r>
        <w:t>September   pH 5.918  ±0.435    #########</w:t>
      </w:r>
    </w:p>
    <w:p>
      <w:pPr>
        <w:pStyle w:val="ListBullet"/>
      </w:pPr>
      <w:r>
        <w:t>October     pH 5.630  ±0.305    ######</w:t>
      </w:r>
    </w:p>
    <w:p>
      <w:pPr>
        <w:pStyle w:val="ListBullet"/>
      </w:pPr>
      <w:r>
        <w:t>November    pH 5.560  ±0.113    #####</w:t>
      </w:r>
    </w:p>
    <w:p>
      <w:pPr>
        <w:pStyle w:val="ListBullet"/>
      </w:pPr>
      <w:r>
        <w:t>December    pH 5.682  ±0.353    ######</w:t>
      </w:r>
    </w:p>
    <w:p>
      <w:r>
        <w:t>Red Brook annual average pH: 5.978. pH dips to its lowest in October–November (5.56–5.63), coinciding with Brook Trout spawning season — a marginal but functional pH range for successful spawning. February shows the highest pH (6.42) and lowest standard deviation (±0.19), likely reflecting stable groundwater baseflow dominance during winter.</w:t>
      </w:r>
    </w:p>
    <w:p>
      <w:r>
        <w:t>Herring River (Falmouth) summer pH signal:</w:t>
      </w:r>
    </w:p>
    <w:p>
      <w:pPr>
        <w:pStyle w:val="ListBullet"/>
      </w:pPr>
      <w:r>
        <w:t>May: pH 8.337</w:t>
      </w:r>
    </w:p>
    <w:p>
      <w:pPr>
        <w:pStyle w:val="ListBullet"/>
      </w:pPr>
      <w:r>
        <w:t>June: pH 8.480</w:t>
      </w:r>
    </w:p>
    <w:p>
      <w:pPr>
        <w:pStyle w:val="ListBullet"/>
      </w:pPr>
      <w:r>
        <w:t>July: pH 8.387</w:t>
      </w:r>
    </w:p>
    <w:p>
      <w:pPr>
        <w:pStyle w:val="ListBullet"/>
      </w:pPr>
      <w:r>
        <w:t>August: pH 8.363</w:t>
      </w:r>
    </w:p>
    <w:p>
      <w:pPr>
        <w:pStyle w:val="ListBullet"/>
      </w:pPr>
      <w:r>
        <w:t>September: pH 7.285</w:t>
      </w:r>
    </w:p>
    <w:p>
      <w:r>
        <w:t>The Herring River summer pH spike (reaching 8.48 in June) is consistent with an intense algal bloom — likely cyanobacteria — during warm, low-flow conditions. This contrasts sharply with Red Brook's consistently acidic, oligotrophic character.</w:t>
      </w:r>
    </w:p>
    <w:p>
      <w:r>
        <w:t>Source: Cape Cod Rivers Observatory (CCRO). All pH values are multi-year monthly averages.</w:t>
      </w:r>
    </w:p>
    <w:p>
      <w:pPr>
        <w:pStyle w:val="Heading2"/>
      </w:pPr>
      <w:r>
        <w:t>Unusual and Ecologically Notable Detections</w:t>
      </w:r>
    </w:p>
    <w:p>
      <w:r>
        <w:t>Single-site or low-abundance detections of particular interest:</w:t>
      </w:r>
    </w:p>
    <w:p>
      <w:pPr>
        <w:pStyle w:val="ListBullet"/>
      </w:pPr>
      <w:r>
        <w:t xml:space="preserve">Procyon lotor mitochondrial — 32,132 reads, 1 sample(s) — </w:t>
      </w:r>
    </w:p>
    <w:p>
      <w:pPr>
        <w:pStyle w:val="ListBullet"/>
      </w:pPr>
      <w:r>
        <w:t>Cyprinidae sp. — 5,953 reads, 1 sample(s) — Orange River</w:t>
      </w:r>
    </w:p>
    <w:p>
      <w:pPr>
        <w:pStyle w:val="ListBullet"/>
      </w:pPr>
      <w:r>
        <w:t>Eurycea wilderae voucher — 1,122 reads, 1 sample(s) — Orange River</w:t>
      </w:r>
    </w:p>
    <w:p>
      <w:pPr>
        <w:pStyle w:val="ListBullet"/>
      </w:pPr>
      <w:r>
        <w:t>Gobiosoma ginsburgi voucher — 809 reads, 1 sample(s) — CohassetnNarrows nridge</w:t>
      </w:r>
    </w:p>
    <w:p>
      <w:pPr>
        <w:pStyle w:val="ListBullet"/>
      </w:pPr>
      <w:r>
        <w:t>Pomoxis nigromaculatus isolate — 795 reads, 1 sample(s) — Lower Rd. Brewster MA</w:t>
      </w:r>
    </w:p>
    <w:p>
      <w:pPr>
        <w:pStyle w:val="ListBullet"/>
      </w:pPr>
      <w:r>
        <w:t>Pimephales promelas mitochondrion — 707 reads, 1 sample(s) — Second pond  MBTS</w:t>
      </w:r>
    </w:p>
    <w:p>
      <w:pPr>
        <w:pStyle w:val="ListBullet"/>
      </w:pPr>
      <w:r>
        <w:t>Ambloplites rupestris voucher — 697 reads, 1 sample(s) — Second pond  MBTS</w:t>
      </w:r>
    </w:p>
    <w:p>
      <w:pPr>
        <w:pStyle w:val="ListBullet"/>
      </w:pPr>
      <w:r>
        <w:t>Tautoga onitis voucher — 599 reads, 1 sample(s) — CohassetnNarrows nridge</w:t>
      </w:r>
    </w:p>
    <w:p>
      <w:pPr>
        <w:pStyle w:val="ListBullet"/>
      </w:pPr>
      <w:r>
        <w:t>Mola mola voucher — 597 reads, 1 sample(s) — CohassetnNarrows nridge</w:t>
      </w:r>
    </w:p>
    <w:p>
      <w:pPr>
        <w:pStyle w:val="ListBullet"/>
      </w:pPr>
      <w:r>
        <w:t>Cyprinus carpio voucher — 4,407 reads, 2 sample(s) — Lower Rd. Brewster MA,Second pond  MBTS</w:t>
      </w:r>
    </w:p>
    <w:p>
      <w:pPr>
        <w:pStyle w:val="ListBullet"/>
      </w:pPr>
      <w:r>
        <w:t>Pomatomus saltator voucher — 1,854 reads, 2 sample(s) — CohassetnNarrows nridge</w:t>
      </w:r>
    </w:p>
    <w:p>
      <w:pPr>
        <w:pStyle w:val="ListBullet"/>
      </w:pPr>
      <w:r>
        <w:t>Microgadus tomcod voucher — 741 reads, 2 sample(s) — MBTS # 3,Unknown</w:t>
      </w:r>
    </w:p>
    <w:p>
      <w:pPr>
        <w:pStyle w:val="ListBullet"/>
      </w:pPr>
      <w:r>
        <w:t>Scomber scombrus voucher — 6,915 reads, 3 sample(s) — CohassetnNarrows nridge,Proctor Point Dock MBTS</w:t>
      </w:r>
    </w:p>
    <w:p>
      <w:pPr>
        <w:pStyle w:val="ListBullet"/>
      </w:pPr>
      <w:r>
        <w:t>Stenotomus chrysops mitochondrion — 3,661 reads, 3 sample(s) — CohassetnNarrows nridge,Red Brook Road Pool Low Tide</w:t>
      </w:r>
    </w:p>
    <w:p>
      <w:pPr>
        <w:pStyle w:val="ListBullet"/>
      </w:pPr>
      <w:r>
        <w:t>Myoxocephalus aenaeus isolate — 1,132 reads, 3 sample(s) — CohassetnNarrows nridge,Proctor Point Dock MBTS,Unknown</w:t>
      </w:r>
    </w:p>
    <w:p>
      <w:pPr>
        <w:pStyle w:val="ListBullet"/>
      </w:pPr>
      <w:r>
        <w:t>Pungitius pungitius isolate — 10,154 reads, 4 sample(s) — Orange River orange bucket,West Branch,Crotch Camp Creek</w:t>
      </w:r>
    </w:p>
    <w:p>
      <w:pPr>
        <w:pStyle w:val="ListBullet"/>
      </w:pPr>
      <w:r>
        <w:t>Pungitius sp — 6,035 reads, 4 sample(s) — West Branch,Crotch Camp Creek</w:t>
      </w:r>
    </w:p>
    <w:p>
      <w:pPr>
        <w:pStyle w:val="ListBullet"/>
      </w:pPr>
      <w:r>
        <w:t>Atlantic Salmon — 763 reads, 4 sample(s) — Union River Bridge</w:t>
      </w:r>
    </w:p>
    <w:p>
      <w:pPr>
        <w:pStyle w:val="ListBullet"/>
      </w:pPr>
      <w:r>
        <w:t>Pseudopleuronectes americanus voucher — 588 reads, 4 sample(s) — CohassetnNarrows nridge,Red Brook Road Pool Low Tide,Unknown</w:t>
      </w:r>
    </w:p>
    <w:p>
      <w:pPr>
        <w:pStyle w:val="ListBullet"/>
      </w:pPr>
      <w:r>
        <w:t>Menidia menidia voucher — 39,466 reads, 5 sample(s) — CohassetnNarrows nridge,Red Brook Road Pool Low Tide,Proctor</w:t>
      </w:r>
    </w:p>
    <w:p>
      <w:pPr>
        <w:pStyle w:val="Heading2"/>
      </w:pPr>
      <w:r>
        <w:t>Agricultural and Non-Target Vertebrate Signals</w:t>
      </w:r>
    </w:p>
    <w:p>
      <w:r>
        <w:t>Livestock DNA (wild boar / feral pig, cattle, sheep) confirmed by sequence analysis at multiple sites. The Union River / Ellsworth Dam cluster shows the strongest agricultural signal — three livestock species co-occurring at the same sites suggests direct watershed inputs, not incidental contamination:</w:t>
      </w:r>
    </w:p>
    <w:p>
      <w:pPr>
        <w:pStyle w:val="ListBullet"/>
      </w:pPr>
      <w:r>
        <w:t>Union River Bridge — Cattle: 2,609 reads  Pig: 2,087 reads  Sheep: 148 reads</w:t>
      </w:r>
    </w:p>
    <w:p>
      <w:pPr>
        <w:pStyle w:val="ListBullet"/>
      </w:pPr>
      <w:r>
        <w:t>Orange River Bkack Fly Saeason — Cattle: 0 reads  Pig: 4,188 reads  Sheep: 29 reads</w:t>
      </w:r>
    </w:p>
    <w:p>
      <w:pPr>
        <w:pStyle w:val="ListBullet"/>
      </w:pPr>
      <w:r>
        <w:t>100 m above dam — Cattle: 1,645 reads  Pig: 78 reads  Sheep: 0 reads</w:t>
      </w:r>
    </w:p>
    <w:p>
      <w:pPr>
        <w:pStyle w:val="ListBullet"/>
      </w:pPr>
      <w:r>
        <w:t>Proctor Point Dock MBTS — Cattle: 586 reads  Pig: 20 reads  Sheep: 0 reads</w:t>
      </w:r>
    </w:p>
    <w:p>
      <w:pPr>
        <w:pStyle w:val="ListBullet"/>
      </w:pPr>
      <w:r>
        <w:t>50 ft Meatball @ Gardner Lake — Cattle: 0 reads  Pig: 541 reads  Sheep: 0 reads</w:t>
      </w:r>
    </w:p>
    <w:p>
      <w:r>
        <w:t>Pig detections at remote headwater sites (McCoy Brook, Crotch Camp Creek) at trace levels are more consistent with bone-meal fertilizer runoff or wildlife than direct livestock access. All pig sequences confirmed by BLAST at 99.4–100% identity — cross-identification with muskrat or other native rodents is not possible at this level of sequence divergence.</w:t>
      </w:r>
    </w:p>
    <w:p>
      <w:pPr>
        <w:pStyle w:val="Heading2"/>
      </w:pPr>
      <w:r>
        <w:t>Site Diversity Rankings</w:t>
      </w:r>
    </w:p>
    <w:p>
      <w:r>
        <w:t>Sites ranked by fish species richness (excluding quality-control taxa):</w:t>
      </w:r>
    </w:p>
    <w:p>
      <w:pPr>
        <w:pStyle w:val="ListBullet"/>
      </w:pPr>
      <w:r>
        <w:t>Orange River — 28 species / species-groups  (165,229 reads)</w:t>
      </w:r>
    </w:p>
    <w:p>
      <w:pPr>
        <w:pStyle w:val="ListBullet"/>
      </w:pPr>
      <w:r>
        <w:t>CohassetnNarrows nridge — 25 species / species-groups  (66,898 reads)</w:t>
      </w:r>
    </w:p>
    <w:p>
      <w:pPr>
        <w:pStyle w:val="ListBullet"/>
      </w:pPr>
      <w:r>
        <w:t>Proctor Point Dock MBTS — 22 species / species-groups  (47,715 reads)</w:t>
      </w:r>
    </w:p>
    <w:p>
      <w:pPr>
        <w:pStyle w:val="ListBullet"/>
      </w:pPr>
      <w:r>
        <w:t>100 m above dam — 22 species / species-groups  (47,059 reads)</w:t>
      </w:r>
    </w:p>
    <w:p>
      <w:pPr>
        <w:pStyle w:val="ListBullet"/>
      </w:pPr>
      <w:r>
        <w:t>Machias River Above Falls — 21 species / species-groups  (55,200 reads)</w:t>
      </w:r>
    </w:p>
    <w:p>
      <w:pPr>
        <w:pStyle w:val="ListBullet"/>
      </w:pPr>
      <w:r>
        <w:t>Union River Dam — 20 species / species-groups  (40,148 reads)</w:t>
      </w:r>
    </w:p>
    <w:p>
      <w:pPr>
        <w:pStyle w:val="ListBullet"/>
      </w:pPr>
      <w:r>
        <w:t>West Branch — 19 species / species-groups  (28,716 reads)</w:t>
      </w:r>
    </w:p>
    <w:p>
      <w:pPr>
        <w:pStyle w:val="ListBullet"/>
      </w:pPr>
      <w:r>
        <w:t>Unknown — 19 species / species-groups  (52,391 reads)</w:t>
      </w:r>
    </w:p>
    <w:p>
      <w:pPr>
        <w:pStyle w:val="ListBullet"/>
      </w:pPr>
      <w:r>
        <w:t>Red Brook Road Pool Low Tide — 18 species / species-groups  (79,576 reads)</w:t>
      </w:r>
    </w:p>
    <w:p>
      <w:pPr>
        <w:pStyle w:val="ListBullet"/>
      </w:pPr>
      <w:r>
        <w:t>Mashpee River — 18 species / species-groups  (61,117 reads)</w:t>
      </w:r>
    </w:p>
    <w:p>
      <w:pPr>
        <w:pStyle w:val="Heading2"/>
      </w:pPr>
      <w:r>
        <w:t>Orange River — Brook Trout Temporal Monitoring</w:t>
      </w:r>
    </w:p>
    <w:p>
      <w:r>
        <w:t>Sequential samples at Orange River document Brook Trout across the spring season:</w:t>
      </w:r>
    </w:p>
    <w:p>
      <w:pPr>
        <w:pStyle w:val="ListBullet"/>
      </w:pPr>
      <w:r>
        <w:t>3/14/2025   Brook Trout: 0 reads  (0.0% of fish reads)</w:t>
      </w:r>
    </w:p>
    <w:p>
      <w:pPr>
        <w:pStyle w:val="ListBullet"/>
      </w:pPr>
      <w:r>
        <w:t>3/28/2025   Brook Trout: 114 reads  (0.3% of fish reads)</w:t>
      </w:r>
    </w:p>
    <w:p>
      <w:pPr>
        <w:pStyle w:val="ListBullet"/>
      </w:pPr>
      <w:r>
        <w:t>4/21/2025   Brook Trout: 2,561 reads  (5.4% of fish reads)</w:t>
      </w:r>
    </w:p>
    <w:p>
      <w:pPr>
        <w:pStyle w:val="ListBullet"/>
      </w:pPr>
      <w:r>
        <w:t>5/14/2025   Brook Trout: 491 reads  (0.9% of fish reads)</w:t>
      </w:r>
    </w:p>
    <w:p>
      <w:pPr>
        <w:pStyle w:val="ListBullet"/>
      </w:pPr>
      <w:r>
        <w:t>5/7/2025 1  Brook Trout: 992 reads  (1.8% of fish reads)</w:t>
      </w:r>
    </w:p>
    <w:p>
      <w:pPr>
        <w:pStyle w:val="ListBullet"/>
      </w:pPr>
      <w:r>
        <w:t>6/18/2025   Brook Trout: 68 reads  (0.1% of fish reads)</w:t>
      </w:r>
    </w:p>
    <w:p>
      <w:pPr>
        <w:pStyle w:val="Heading2"/>
      </w:pPr>
      <w:r>
        <w:t>Data Quality — Sequence Verification and QC Control Analysis</w:t>
      </w:r>
    </w:p>
    <w:p>
      <w:r>
        <w:t>Independent BLAST verification of all 3,342 sequence variants against the NCBI nucleotide database revealed a 29.9% genus-level error rate in algal identifications (125 mismatches out of 418 verified sequences at ≥98% identity). Errors are systematic — four mis-assigned genera account for the majority. Fish identifications are essentially error-free (8 mismatches, all resolved as valid taxonomic synonyms). The algal error rate has no effect on fish community conclusions but substantially changes water-chemistry inferences at acid-water sites.</w:t>
      </w:r>
    </w:p>
    <w:p>
      <w:r>
        <w:t>Ostrich QC control bleed analysis identified two distinct failure modes:</w:t>
      </w:r>
    </w:p>
    <w:p>
      <w:pPr>
        <w:pStyle w:val="ListBullet"/>
      </w:pPr>
      <w:r>
        <w:t>Adjacent-well index hopping: three submission batches showed disproportionate QC control reads in samples adjacent to the control well, elevating false-positive risk in those samples. Resequencing has been requested for affected samples at McCoy Brook and UNT Lane Rd Deblois.</w:t>
      </w:r>
    </w:p>
    <w:p>
      <w:pPr>
        <w:pStyle w:val="ListBullet"/>
      </w:pPr>
      <w:r>
        <w:t>Cold-water amplification failure: two Sawmill Brook samples collected March 18, 2025 showed near-zero environmental fish reads despite normal QC control levels, consistent with winter low-temperature suppression of eDNA shedding. Not a laboratory failure.</w:t>
      </w:r>
    </w:p>
    <w:p>
      <w:r>
        <w:t>Four earlier submission batches predate adoption of the ostrich QC spike; no bleed data is available for those batches.</w:t>
      </w:r>
    </w:p>
    <w:p>
      <w:pPr>
        <w:pStyle w:val="Heading2"/>
      </w:pPr>
      <w:r>
        <w:t>Priority Questions for Future Sampling</w:t>
      </w:r>
    </w:p>
    <w:p>
      <w:pPr>
        <w:pStyle w:val="ListBullet"/>
      </w:pPr>
      <w:r>
        <w:t>Northern Inlet (East Machias watershed): algal pH inference suggests borderline Brook Trout habitat (inferred pH ~5.2) but no Brook Trout detected. A dedicated spring survey during peak eDNA shedding season is warranted.</w:t>
      </w:r>
    </w:p>
    <w:p>
      <w:pPr>
        <w:pStyle w:val="ListBullet"/>
      </w:pPr>
      <w:r>
        <w:t>McCoy Brook and UNT Lane Rd Deblois: QC control contamination in those samples renders fish community data unreliable at these critical acid-water sites. Resequencing has been requested.</w:t>
      </w:r>
    </w:p>
    <w:p>
      <w:pPr>
        <w:pStyle w:val="ListBullet"/>
      </w:pPr>
      <w:r>
        <w:t>American Shad at Ellsworth Dam (confirmed July 2024 metabarcoding + June 2025 qPCR): two-year, two-method confirmation of fish staging below the dam. A dedicated survey timed to the peak migration run (late May through June) is recommended to characterize run size and assess upstream passage feasibility.</w:t>
      </w:r>
    </w:p>
    <w:p>
      <w:pPr>
        <w:pStyle w:val="ListBullet"/>
      </w:pPr>
      <w:r>
        <w:t>Ellsworth Dam cyanobacteria: 61.7% cyanobacteria at the dam face in September 2024. Trajectory monitoring and harmful algal bloom risk assessment warranted for summer 2025 onward.</w:t>
      </w:r>
    </w:p>
    <w:p>
      <w:pPr>
        <w:pStyle w:val="ListBullet"/>
      </w:pPr>
      <w:r>
        <w:t>Sawmill Brook ornamental plant community: non-native terrestrial plant and algal species detected. Source and invasive status require ground-truth survey.</w:t>
      </w:r>
    </w:p>
    <w:p>
      <w:pPr>
        <w:pStyle w:val="ListBullet"/>
      </w:pPr>
      <w:r>
        <w:t>Union River agricultural inputs: cattle, pig, and sheep co-occurring at Ellsworth Dam sites — a watershed survey to identify livestock access points and assess water quality implications for anadromous fish passage is recommended.</w:t>
      </w:r>
    </w:p>
    <w:p>
      <w:pPr>
        <w:pStyle w:val="ListBullet"/>
      </w:pPr>
      <w:r>
        <w:t>Orange River Brook Trout: six-point temporal series confirms year-round presence. Recommended expansion to upstream tributaries to map population extent.</w:t>
      </w:r>
    </w:p>
    <w:p>
      <w:pPr>
        <w:pStyle w:val="ListBullet"/>
      </w:pPr>
      <w:r>
        <w:t>Unattributed warm-pond sample: one sample with Golden Shiner (72%), Painted Turtle, and muskrat community — site identity unknown. Field notebook review needed.</w:t>
      </w:r>
    </w:p>
    <w:p>
      <w:pPr>
        <w:pStyle w:val="ListBullet"/>
      </w:pPr>
      <w:r>
        <w:t>Red Brook pH and Brook Trout spawning: CCRO data shows pH 5.56 in October–November (spawning season). Targeted eDNA sampling during the October–November window is recommended to document spawning activity at documented pH levels.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