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shared with local officials.</w:t>
      </w:r>
      <w:r>
        <w:t xml:space="preserve"> </w:t>
      </w:r>
      <w:r>
        <w:rPr>
          <w:iCs/>
          <w:i/>
        </w:rPr>
        <w:t xml:space="preserve">Esox</w:t>
      </w:r>
      <w:r>
        <w:t xml:space="preserve"> </w:t>
      </w:r>
      <w:r>
        <w:t xml:space="preserve">spp. (db:</w:t>
      </w:r>
      <w:r>
        <w:t xml:space="preserve"> </w:t>
      </w:r>
      <w:r>
        <w:rPr>
          <w:iCs/>
          <w:i/>
        </w:rPr>
        <w:t xml:space="preserve">Esox lucius</w:t>
      </w:r>
      <w:r>
        <w:t xml:space="preserve">) detected at Second Pond, Manchester-by-the-Sea — likely native pickerel; species-level assignment anomalous; verify before reporting.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Esox spp. detected (db: E. lucius — verify)</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Shannon index interpretation: H = 0.00 → single species; 0.01–0.30 → near-monoculture (&gt;90% one species); 0.30–0.80 → low diversity (2–3 species dominant); 0.80–1.40 → moderate (4–6 species); 1.40–2.00 → good (6–10 species); 2.00–2.50 → high (10–15+ species); 2.50+ → very high (richest communities)</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iCs/>
          <w:i/>
          <w:bCs/>
          <w:b/>
        </w:rPr>
        <w:t xml:space="preserve">Esox</w:t>
      </w:r>
      <w:r>
        <w:rPr>
          <w:bCs/>
          <w:b/>
        </w:rPr>
        <w:t xml:space="preserve"> </w:t>
      </w:r>
      <w:r>
        <w:rPr>
          <w:bCs/>
          <w:b/>
        </w:rPr>
        <w:t xml:space="preserve">spp. (db:</w:t>
      </w:r>
      <w:r>
        <w:rPr>
          <w:bCs/>
          <w:b/>
        </w:rPr>
        <w:t xml:space="preserve"> </w:t>
      </w:r>
      <w:r>
        <w:rPr>
          <w:iCs/>
          <w:i/>
          <w:bCs/>
          <w:b/>
        </w:rPr>
        <w:t xml:space="preserve">Esox lucius</w:t>
      </w:r>
      <w:r>
        <w:rPr>
          <w:bCs/>
          <w:b/>
        </w:rPr>
        <w:t xml:space="preserve">)</w:t>
      </w:r>
      <w:r>
        <w:t xml:space="preserve"> </w:t>
      </w:r>
      <w:r>
        <w:t xml:space="preserve">— species-level assignment to Northern Pike is considered anomalous for coastal MA pond habitat; likely native Chain or Redfin Pickerel. Verify by electrofishing or species-specific PCR before any reporting or management action. Local officials have been made aware of the detection.</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lockText"/>
      </w:pPr>
      <w:r>
        <w:rPr>
          <w:bCs/>
          <w:b/>
        </w:rPr>
        <w:t xml:space="preserve">Note on pH data:</w:t>
      </w:r>
      <w:r>
        <w:t xml:space="preserve"> </w:t>
      </w:r>
      <w:r>
        <w:t xml:space="preserve">The Deblois / Narraguagus sampling is the</w:t>
      </w:r>
      <w:r>
        <w:t xml:space="preserve"> </w:t>
      </w:r>
      <w:r>
        <w:rPr>
          <w:bCs/>
          <w:b/>
        </w:rPr>
        <w:t xml:space="preserve">only study in this dataset where field-measured pH values exist.</w:t>
      </w:r>
      <w:r>
        <w:t xml:space="preserve"> </w:t>
      </w:r>
      <w:r>
        <w:t xml:space="preserve">All other sites in this document rely exclusively on algal biological indicators to infer pH — a directionally reliable but indirect method. Field pH readings here were made with a</w:t>
      </w:r>
      <w:r>
        <w:t xml:space="preserve"> </w:t>
      </w:r>
      <w:r>
        <w:rPr>
          <w:bCs/>
          <w:b/>
        </w:rPr>
        <w:t xml:space="preserve">Vivosun handheld pH meter (uncalibrated)</w:t>
      </w:r>
      <w:r>
        <w:t xml:space="preserve"> </w:t>
      </w:r>
      <w:r>
        <w:t xml:space="preserve">and should be treated as approximate (±0.5–1.0 pH unit). Even with that caveat, these are the only directly observed pH numbers in the entire dataset.</w:t>
      </w:r>
    </w:p>
    <w:p>
      <w:pPr>
        <w:pStyle w:val="FirstParagraph"/>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H(f) = 0.00 | Algae: 91 ESVs, H(a) =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H(f) = 1.69 | Algae: 76 ESVs, H(a) = 2.30</w:t>
      </w:r>
    </w:p>
    <w:bookmarkStart w:id="39" w:name="sentinel-signal-1"/>
    <w:p>
      <w:pPr>
        <w:pStyle w:val="Heading3"/>
      </w:pPr>
      <w:r>
        <w:t xml:space="preserve">Sentinel Signal</w:t>
      </w:r>
    </w:p>
    <w:p>
      <w:pPr>
        <w:pStyle w:val="FirstParagraph"/>
      </w:pPr>
      <w:r>
        <w:rPr>
          <w:iCs/>
          <w:i/>
        </w:rPr>
        <w:t xml:space="preserve">Synura</w:t>
      </w:r>
      <w:r>
        <w:t xml:space="preserve"> </w:t>
      </w:r>
      <w:r>
        <w:t xml:space="preserve">spp. at 75.9%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 Of 19 Synura ESVs detected, one resolves to species level:</w:t>
      </w:r>
      <w:r>
        <w:t xml:space="preserve"> </w:t>
      </w:r>
      <w:r>
        <w:rPr>
          <w:iCs/>
          <w:i/>
          <w:bCs/>
          <w:b/>
        </w:rPr>
        <w:t xml:space="preserve">Synura truttae</w:t>
      </w:r>
      <w:r>
        <w:t xml:space="preserve"> </w:t>
      </w:r>
      <w:r>
        <w:t xml:space="preserve">— a colonial chrysophyte named for</w:t>
      </w:r>
      <w:r>
        <w:t xml:space="preserve"> </w:t>
      </w:r>
      <w:r>
        <w:rPr>
          <w:iCs/>
          <w:i/>
        </w:rPr>
        <w:t xml:space="preserve">Salmo trutta</w:t>
      </w:r>
      <w:r>
        <w:t xml:space="preserve"> </w:t>
      </w:r>
      <w:r>
        <w:t xml:space="preserve">(Brown Trout), first described from cold Scottish trout streams. Its presence here alongside Brook Trout at pH 5.17 is ecologically coherent and taxonomically notable.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spp. (Colonial Synurophyte) accounts for 75.9% of all algal reads across 19 ESVs.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Of the 19 Synura ESVs detected at this site, only one resolves to species level:</w:t>
      </w:r>
      <w:r>
        <w:t xml:space="preserve"> </w:t>
      </w:r>
      <w:r>
        <w:rPr>
          <w:iCs/>
          <w:i/>
          <w:bCs/>
          <w:b/>
        </w:rPr>
        <w:t xml:space="preserve">Synura truttae</w:t>
      </w:r>
      <w:r>
        <w:t xml:space="preserve"> </w:t>
      </w:r>
      <w:r>
        <w:t xml:space="preserve">(591 reads, 1.46% of total library). This species was first described from oligotrophic, slightly acidic Scottish streams where</w:t>
      </w:r>
      <w:r>
        <w:t xml:space="preserve"> </w:t>
      </w:r>
      <w:r>
        <w:rPr>
          <w:iCs/>
          <w:i/>
        </w:rPr>
        <w:t xml:space="preserve">Salmo trutta</w:t>
      </w:r>
      <w:r>
        <w:t xml:space="preserve"> </w:t>
      </w:r>
      <w:r>
        <w:t xml:space="preserve">(Brown Trout) is the defining vertebrate — its specific epithet literally means</w:t>
      </w:r>
      <w:r>
        <w:t xml:space="preserve"> </w:t>
      </w:r>
      <w:r>
        <w:t xml:space="preserve">“</w:t>
      </w:r>
      <w:r>
        <w:t xml:space="preserve">of the trout.</w:t>
      </w:r>
      <w:r>
        <w:t xml:space="preserve">”</w:t>
      </w:r>
      <w:r>
        <w:t xml:space="preserve"> </w:t>
      </w:r>
      <w:r>
        <w:t xml:space="preserve">Its occurrence here at pH 5.17 alongside</w:t>
      </w:r>
      <w:r>
        <w:t xml:space="preserve"> </w:t>
      </w:r>
      <w:r>
        <w:rPr>
          <w:iCs/>
          <w:i/>
        </w:rPr>
        <w:t xml:space="preserve">Salvelinus fontinalis</w:t>
      </w:r>
      <w:r>
        <w:t xml:space="preserve"> </w:t>
      </w:r>
      <w:r>
        <w:t xml:space="preserve">(Brook Trout) is exactly the ecological context for which the species was named.</w:t>
      </w:r>
      <w:r>
        <w:t xml:space="preserve"> </w:t>
      </w:r>
      <w:r>
        <w:rPr>
          <w:iCs/>
          <w:i/>
        </w:rPr>
        <w:t xml:space="preserve">Synura truttae</w:t>
      </w:r>
      <w:r>
        <w:t xml:space="preserve"> </w:t>
      </w:r>
      <w:r>
        <w:t xml:space="preserve">is diagnostic of clean, cold, soft, low-phosphorus water — its presence is a molecular confirmation of what the field pH and the fish community already indicate. The remaining 18 Synura ESVs resolve only to genus level (</w:t>
      </w:r>
      <w:r>
        <w:rPr>
          <w:iCs/>
          <w:i/>
        </w:rPr>
        <w:t xml:space="preserve">Synura</w:t>
      </w:r>
      <w:r>
        <w:t xml:space="preserve"> </w:t>
      </w:r>
      <w:r>
        <w:t xml:space="preserve">spp.), but the community as a whole tells the same story.</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H(f) = 0.00 | Algae: 77 ESVs, H(a) =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rPr>
          <w:bCs/>
          <w:b/>
        </w:rPr>
        <w:t xml:space="preserve">pH 3.73 is the most ecologically significant single measurement in this dataset.</w:t>
      </w:r>
      <w:r>
        <w:t xml:space="preserve"> </w:t>
      </w:r>
      <w:r>
        <w:t xml:space="preserve">The previous interpretation —</w:t>
      </w:r>
      <w:r>
        <w:t xml:space="preserve"> </w:t>
      </w:r>
      <w:r>
        <w:t xml:space="preserve">“</w:t>
      </w:r>
      <w:r>
        <w:t xml:space="preserve">habitat-limited or seasonally undersampled</w:t>
      </w:r>
      <w:r>
        <w:t xml:space="preserve">”</w:t>
      </w:r>
      <w:r>
        <w:t xml:space="preserve"> </w:t>
      </w:r>
      <w:r>
        <w:t xml:space="preserve">— must be discarded entirely. pH 3.73 is at or below the threshold where most freshwater fish cannot survive: Brook Trout are excluded below approximately pH 4.5–5.0, most cyprinids below pH 5.5–6.0. The single-species result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(H(a) =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H(f) = 1.94 | Algae: 201 ESVs, H(a) =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H(f) = 2.16 (highest in ME) | Algae: 117 ESVs, H(a) =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 — Vivosun handheld pH meter (uncalibrated)</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H(f) =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local officials are aware of this finding).</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H(f) = 1.64 · 17 species |</w:t>
      </w:r>
      <w:r>
        <w:t xml:space="preserve"> </w:t>
      </w:r>
      <w:r>
        <w:rPr>
          <w:bCs/>
          <w:b/>
        </w:rPr>
        <w:t xml:space="preserve">Algae:</w:t>
      </w:r>
      <w:r>
        <w:t xml:space="preserve"> </w:t>
      </w:r>
      <w:r>
        <w:t xml:space="preserve">H(a) =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H(f) = 1.54 · 15 species |</w:t>
      </w:r>
      <w:r>
        <w:t xml:space="preserve"> </w:t>
      </w:r>
      <w:r>
        <w:rPr>
          <w:bCs/>
          <w:b/>
        </w:rPr>
        <w:t xml:space="preserve">Algae:</w:t>
      </w:r>
      <w:r>
        <w:t xml:space="preserve"> </w:t>
      </w:r>
      <w:r>
        <w:t xml:space="preserve">H(a) =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H(a) =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H(f) = 1.03 · 11 species |</w:t>
      </w:r>
      <w:r>
        <w:t xml:space="preserve"> </w:t>
      </w:r>
      <w:r>
        <w:rPr>
          <w:bCs/>
          <w:b/>
        </w:rPr>
        <w:t xml:space="preserve">Algae:</w:t>
      </w:r>
      <w:r>
        <w:t xml:space="preserve"> </w:t>
      </w:r>
      <w:r>
        <w:t xml:space="preserve">H(a) =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H(f) = 0.78 · 11 species |</w:t>
      </w:r>
      <w:r>
        <w:t xml:space="preserve"> </w:t>
      </w:r>
      <w:r>
        <w:rPr>
          <w:bCs/>
          <w:b/>
        </w:rPr>
        <w:t xml:space="preserve">Algae:</w:t>
      </w:r>
      <w:r>
        <w:t xml:space="preserve"> </w:t>
      </w:r>
      <w:r>
        <w:t xml:space="preserve">H(a) =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H(f) =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H(a) =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H(f) =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H(f) =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H(f) =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H(f) =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H(f) =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Local officials are aware of these detections.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H(f) = 1.31 · 13 species |</w:t>
      </w:r>
      <w:r>
        <w:t xml:space="preserve"> </w:t>
      </w:r>
      <w:r>
        <w:rPr>
          <w:bCs/>
          <w:b/>
        </w:rPr>
        <w:t xml:space="preserve">Algae:</w:t>
      </w:r>
      <w:r>
        <w:t xml:space="preserve"> </w:t>
      </w:r>
      <w:r>
        <w:t xml:space="preserve">H(a) =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H(f) = 1.26 · 4 species · ~8,200 reads</w:t>
      </w:r>
      <w:r>
        <w:t xml:space="preserve"> </w:t>
      </w:r>
      <w:r>
        <w:rPr>
          <w:bCs/>
          <w:b/>
        </w:rPr>
        <w:t xml:space="preserve">Algae:</w:t>
      </w:r>
      <w:r>
        <w:t xml:space="preserve"> </w:t>
      </w:r>
      <w:r>
        <w:t xml:space="preserve">H(a) =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H(f) = 0.97 · 3 species · ~8,900 reads</w:t>
      </w:r>
      <w:r>
        <w:t xml:space="preserve"> </w:t>
      </w:r>
      <w:r>
        <w:rPr>
          <w:bCs/>
          <w:b/>
        </w:rPr>
        <w:t xml:space="preserve">Algae:</w:t>
      </w:r>
      <w:r>
        <w:t xml:space="preserve"> </w:t>
      </w:r>
      <w:r>
        <w:t xml:space="preserve">H(a) =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H(f) =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H(a) =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(H(a) =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H(f) = 0.53 · 6 species · 17,912 reads</w:t>
      </w:r>
      <w:r>
        <w:t xml:space="preserve"> </w:t>
      </w:r>
      <w:r>
        <w:rPr>
          <w:bCs/>
          <w:b/>
        </w:rPr>
        <w:t xml:space="preserve">Algae:</w:t>
      </w:r>
      <w:r>
        <w:t xml:space="preserve"> </w:t>
      </w:r>
      <w:r>
        <w:t xml:space="preserve">H(a) =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H(f) = 1.16 · 9 species/genera · 12,155 reads ·</w:t>
      </w:r>
      <w:r>
        <w:t xml:space="preserve"> </w:t>
      </w:r>
      <w:r>
        <w:rPr>
          <w:bCs/>
          <w:b/>
        </w:rPr>
        <w:t xml:space="preserve">Atlantic Salmon 1.0% confirmed</w:t>
      </w:r>
      <w:r>
        <w:t xml:space="preserve"> </w:t>
      </w:r>
      <w:r>
        <w:rPr>
          <w:bCs/>
          <w:b/>
        </w:rPr>
        <w:t xml:space="preserve">Algae:</w:t>
      </w:r>
      <w:r>
        <w:t xml:space="preserve"> </w:t>
      </w:r>
      <w:r>
        <w:t xml:space="preserve">H(a) =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Local officials have been made aware of this finding.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Local officials have been made aware of this finding.</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H(f) = 1.05 · 7 species/genera · 7,609 reads</w:t>
      </w:r>
      <w:r>
        <w:t xml:space="preserve"> </w:t>
      </w:r>
      <w:r>
        <w:rPr>
          <w:bCs/>
          <w:b/>
        </w:rPr>
        <w:t xml:space="preserve">Algae:</w:t>
      </w:r>
      <w:r>
        <w:t xml:space="preserve"> </w:t>
      </w:r>
      <w:r>
        <w:t xml:space="preserve">H(a) =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H(f) = 0.38 · 4 species · 4,876 reads ·</w:t>
      </w:r>
      <w:r>
        <w:t xml:space="preserve"> </w:t>
      </w:r>
      <w:r>
        <w:rPr>
          <w:bCs/>
          <w:b/>
        </w:rPr>
        <w:t xml:space="preserve">Atlantic Salmon 1.7% confirmed</w:t>
      </w:r>
      <w:r>
        <w:t xml:space="preserve"> </w:t>
      </w:r>
      <w:r>
        <w:rPr>
          <w:bCs/>
          <w:b/>
        </w:rPr>
        <w:t xml:space="preserve">Algae:</w:t>
      </w:r>
      <w:r>
        <w:t xml:space="preserve"> </w:t>
      </w:r>
      <w:r>
        <w:t xml:space="preserve">H(a) = 1.40 · 24 ESVs · 10,153 reads</w:t>
      </w:r>
    </w:p>
    <w:p>
      <w:pPr>
        <w:pStyle w:val="BlockText"/>
      </w:pPr>
      <w:r>
        <w:t xml:space="preserve">⚠️</w:t>
      </w:r>
      <w:r>
        <w:t xml:space="preserve"> </w:t>
      </w:r>
      <w:r>
        <w:rPr>
          <w:bCs/>
          <w:b/>
        </w:rPr>
        <w:t xml:space="preserve">Sampling QC flag — leaf-fall inhibition event.</w:t>
      </w:r>
      <w:r>
        <w:t xml:space="preserve"> </w:t>
      </w:r>
      <w:r>
        <w:t xml:space="preserve">This sample was collected in October during peak leaf-fall, likely following a significant rain event. Protocol guidance: significant leaf-fall should be avoided; post-rain sampling introduces high dissolved organic carbon (humic/fulvic acids, tannins) that causes</w:t>
      </w:r>
      <w:r>
        <w:t xml:space="preserve"> </w:t>
      </w:r>
      <w:r>
        <w:rPr>
          <w:bCs/>
          <w:b/>
        </w:rPr>
        <w:t xml:space="preserve">PCR inhibition and library swamping</w:t>
      </w:r>
      <w:r>
        <w:t xml:space="preserve"> </w:t>
      </w:r>
      <w:r>
        <w:t xml:space="preserve">— reducing apparent diversity (low H(a)) and introducing Zygnemophyceae and other organisms washed from wet leaf, moss, and soil surfaces into the library. The algal community profile at this site should be treated as</w:t>
      </w:r>
      <w:r>
        <w:t xml:space="preserve"> </w:t>
      </w:r>
      <w:r>
        <w:rPr>
          <w:bCs/>
          <w:b/>
        </w:rPr>
        <w:t xml:space="preserve">low confidence</w:t>
      </w:r>
      <w:r>
        <w:t xml:space="preserve">. The resolved</w:t>
      </w:r>
      <w:r>
        <w:t xml:space="preserve"> </w:t>
      </w:r>
      <w:r>
        <w:rPr>
          <w:iCs/>
          <w:i/>
        </w:rPr>
        <w:t xml:space="preserve">Mougeotia</w:t>
      </w:r>
      <w:r>
        <w:t xml:space="preserve"> </w:t>
      </w:r>
      <w:r>
        <w:t xml:space="preserve">(4.5%) is likely genuine in-stream algae; the 41.6% unresolved Zygnemophyceae may partially reflect washed-in organisms from the rain event.</w:t>
      </w:r>
      <w:r>
        <w:t xml:space="preserve"> </w:t>
      </w:r>
      <w:r>
        <w:rPr>
          <w:bCs/>
          <w:b/>
        </w:rPr>
        <w:t xml:space="preserve">The fish data (Atlantic Salmon 1.7%) is from the MiFish 12S panel and is unaffected by this issue — it remains high confidence.</w:t>
      </w:r>
    </w:p>
    <w:bookmarkStart w:id="147" w:name="sentinel-signal-18"/>
    <w:p>
      <w:pPr>
        <w:pStyle w:val="Heading3"/>
      </w:pPr>
      <w:r>
        <w:t xml:space="preserve">Sentinel Signal</w:t>
      </w:r>
    </w:p>
    <w:p>
      <w:pPr>
        <w:pStyle w:val="FirstParagraph"/>
      </w:pPr>
      <w:r>
        <w:t xml:space="preserve">The critical ecological finding at Richardson Stream is in the fish data:</w:t>
      </w:r>
      <w:r>
        <w:t xml:space="preserve"> </w:t>
      </w:r>
      <w:r>
        <w:rPr>
          <w:bCs/>
          <w:b/>
        </w:rPr>
        <w:t xml:space="preserve">Atlantic Salmon at 1.7%</w:t>
      </w:r>
      <w:r>
        <w:t xml:space="preserve"> </w:t>
      </w:r>
      <w:r>
        <w:t xml:space="preserve">— the highest Salmon reading in JVB3988 — confirms this is an active spawning tributary on the fall return run. Algal data are low-confidence due to the leaf-fall/rain inhibition event (see QC flag above).</w:t>
      </w:r>
      <w:r>
        <w:t xml:space="preserve"> </w:t>
      </w:r>
      <w:r>
        <w:rPr>
          <w:iCs/>
          <w:i/>
        </w:rPr>
        <w:t xml:space="preserve">Mougeotia</w:t>
      </w:r>
      <w:r>
        <w:t xml:space="preserve"> </w:t>
      </w:r>
      <w:r>
        <w:t xml:space="preserve">(4.5%) — the only resolved aquatic alga with clear ecological meaning — confirms cold, soft, slightly acidic water consistent with Salmon habitat. Diatoms (Fragilariophyceae 24.5% + Bacillariophyceae 11.5% = 36%) contribute a cold-headwater signal. The low H(a) = 1.40 is consistent with both genuine oligotrophic character and post-rain PCR inhibition — not interpretable in isolation.</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Terrestrial input</w:t>
            </w:r>
          </w:p>
        </w:tc>
        <w:tc>
          <w:tcPr/>
          <w:p>
            <w:pPr>
              <w:pStyle w:val="Compact"/>
              <w:jc w:val="left"/>
            </w:pPr>
            <w:r>
              <w:rPr>
                <w:bCs/>
                <w:b/>
              </w:rPr>
              <w:t xml:space="preserve">Low</w:t>
            </w:r>
            <w:r>
              <w:t xml:space="preserve"> </w:t>
            </w:r>
            <w:r>
              <w:t xml:space="preserve">— 2.8% Magnoliopsida</w:t>
            </w:r>
          </w:p>
        </w:tc>
        <w:tc>
          <w:tcPr/>
          <w:p>
            <w:pPr>
              <w:pStyle w:val="Compact"/>
              <w:jc w:val="left"/>
            </w:pPr>
            <w:r>
              <w:t xml:space="preserve">True leaf-litter signal is minor</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Class</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Zygnemophyceae (unresolved)</w:t>
            </w:r>
          </w:p>
        </w:tc>
        <w:tc>
          <w:tcPr/>
          <w:p>
            <w:pPr>
              <w:pStyle w:val="Compact"/>
              <w:jc w:val="left"/>
            </w:pPr>
            <w:r>
              <w:t xml:space="preserve">Zygnemophyceae</w:t>
            </w:r>
          </w:p>
        </w:tc>
        <w:tc>
          <w:tcPr/>
          <w:p>
            <w:pPr>
              <w:pStyle w:val="Compact"/>
              <w:jc w:val="left"/>
            </w:pPr>
            <w:r>
              <w:t xml:space="preserve">41.6%</w:t>
            </w:r>
          </w:p>
        </w:tc>
        <w:tc>
          <w:tcPr/>
          <w:p>
            <w:pPr>
              <w:pStyle w:val="Compact"/>
              <w:jc w:val="left"/>
            </w:pPr>
            <w:r>
              <w:rPr>
                <w:bCs/>
                <w:b/>
              </w:rPr>
              <w:t xml:space="preserve">Conjugate green algae — aquatic, cold, soft-water; NOT leaf litter</w:t>
            </w:r>
          </w:p>
        </w:tc>
      </w:tr>
      <w:tr>
        <w:tc>
          <w:tcPr/>
          <w:p>
            <w:pPr>
              <w:pStyle w:val="Compact"/>
              <w:jc w:val="left"/>
            </w:pPr>
            <w:r>
              <w:t xml:space="preserve">Fragilariophyceae (unresolved)</w:t>
            </w:r>
          </w:p>
        </w:tc>
        <w:tc>
          <w:tcPr/>
          <w:p>
            <w:pPr>
              <w:pStyle w:val="Compact"/>
              <w:jc w:val="left"/>
            </w:pPr>
            <w:r>
              <w:t xml:space="preserve">Fragilariophyceae</w:t>
            </w:r>
          </w:p>
        </w:tc>
        <w:tc>
          <w:tcPr/>
          <w:p>
            <w:pPr>
              <w:pStyle w:val="Compact"/>
              <w:jc w:val="left"/>
            </w:pPr>
            <w:r>
              <w:t xml:space="preserve">24.5%</w:t>
            </w:r>
          </w:p>
        </w:tc>
        <w:tc>
          <w:tcPr/>
          <w:p>
            <w:pPr>
              <w:pStyle w:val="Compact"/>
              <w:jc w:val="left"/>
            </w:pPr>
            <w:r>
              <w:rPr>
                <w:bCs/>
                <w:b/>
              </w:rPr>
              <w:t xml:space="preserve">Filamentous diatoms — cold headwater indicator</w:t>
            </w:r>
          </w:p>
        </w:tc>
      </w:tr>
      <w:tr>
        <w:tc>
          <w:tcPr/>
          <w:p>
            <w:pPr>
              <w:pStyle w:val="Compact"/>
              <w:jc w:val="left"/>
            </w:pPr>
            <w:r>
              <w:t xml:space="preserve">Bacillariophyceae (unresolved)</w:t>
            </w:r>
          </w:p>
        </w:tc>
        <w:tc>
          <w:tcPr/>
          <w:p>
            <w:pPr>
              <w:pStyle w:val="Compact"/>
              <w:jc w:val="left"/>
            </w:pPr>
            <w:r>
              <w:t xml:space="preserve">Bacillariophyceae</w:t>
            </w:r>
          </w:p>
        </w:tc>
        <w:tc>
          <w:tcPr/>
          <w:p>
            <w:pPr>
              <w:pStyle w:val="Compact"/>
              <w:jc w:val="left"/>
            </w:pPr>
            <w:r>
              <w:t xml:space="preserve">11.5%</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Bacillariophyceae</w:t>
            </w:r>
          </w:p>
        </w:tc>
        <w:tc>
          <w:tcPr/>
          <w:p>
            <w:pPr>
              <w:pStyle w:val="Compact"/>
              <w:jc w:val="left"/>
            </w:pPr>
            <w:r>
              <w:t xml:space="preserve">9.1%</w:t>
            </w:r>
          </w:p>
        </w:tc>
        <w:tc>
          <w:tcPr/>
          <w:p>
            <w:pPr>
              <w:pStyle w:val="Compact"/>
              <w:jc w:val="left"/>
            </w:pPr>
            <w:r>
              <w:t xml:space="preserve">Database artifact at inland site — freshwater</w:t>
            </w:r>
            <w:r>
              <w:t xml:space="preserve"> </w:t>
            </w:r>
            <w:r>
              <w:rPr>
                <w:iCs/>
                <w:i/>
              </w:rPr>
              <w:t xml:space="preserve">Halamphora</w:t>
            </w:r>
            <w:r>
              <w:t xml:space="preserve"> </w:t>
            </w:r>
            <w:r>
              <w:t xml:space="preserve">spp.</w:t>
            </w:r>
          </w:p>
        </w:tc>
      </w:tr>
      <w:tr>
        <w:tc>
          <w:tcPr/>
          <w:p>
            <w:pPr>
              <w:pStyle w:val="Compact"/>
              <w:jc w:val="left"/>
            </w:pPr>
            <w:r>
              <w:rPr>
                <w:iCs/>
                <w:i/>
              </w:rPr>
              <w:t xml:space="preserve">Mougeotia</w:t>
            </w:r>
            <w:r>
              <w:t xml:space="preserve"> </w:t>
            </w:r>
            <w:r>
              <w:t xml:space="preserve">spp.</w:t>
            </w:r>
          </w:p>
        </w:tc>
        <w:tc>
          <w:tcPr/>
          <w:p>
            <w:pPr>
              <w:pStyle w:val="Compact"/>
              <w:jc w:val="left"/>
            </w:pPr>
            <w:r>
              <w:t xml:space="preserve">Zygnemophyceae</w:t>
            </w:r>
          </w:p>
        </w:tc>
        <w:tc>
          <w:tcPr/>
          <w:p>
            <w:pPr>
              <w:pStyle w:val="Compact"/>
              <w:jc w:val="left"/>
            </w:pPr>
            <w:r>
              <w:t xml:space="preserve">4.5%</w:t>
            </w:r>
          </w:p>
        </w:tc>
        <w:tc>
          <w:tcPr/>
          <w:p>
            <w:pPr>
              <w:pStyle w:val="Compact"/>
              <w:jc w:val="left"/>
            </w:pPr>
            <w:r>
              <w:rPr>
                <w:bCs/>
                <w:b/>
              </w:rPr>
              <w:t xml:space="preserve">Cold-acid-water filamentous alga — trout stream associate</w:t>
            </w:r>
          </w:p>
        </w:tc>
      </w:tr>
      <w:tr>
        <w:tc>
          <w:tcPr/>
          <w:p>
            <w:pPr>
              <w:pStyle w:val="Compact"/>
              <w:jc w:val="left"/>
            </w:pPr>
            <w:r>
              <w:t xml:space="preserve">Magnoliopsida (unresolved)</w:t>
            </w:r>
          </w:p>
        </w:tc>
        <w:tc>
          <w:tcPr/>
          <w:p>
            <w:pPr>
              <w:pStyle w:val="Compact"/>
              <w:jc w:val="left"/>
            </w:pPr>
            <w:r>
              <w:t xml:space="preserve">Magnoliopsida</w:t>
            </w:r>
          </w:p>
        </w:tc>
        <w:tc>
          <w:tcPr/>
          <w:p>
            <w:pPr>
              <w:pStyle w:val="Compact"/>
              <w:jc w:val="left"/>
            </w:pPr>
            <w:r>
              <w:t xml:space="preserve">2.8%</w:t>
            </w:r>
          </w:p>
        </w:tc>
        <w:tc>
          <w:tcPr/>
          <w:p>
            <w:pPr>
              <w:pStyle w:val="Compact"/>
              <w:jc w:val="left"/>
            </w:pPr>
            <w:r>
              <w:t xml:space="preserve">True terrestrial input — leaf litter (minor)</w:t>
            </w:r>
          </w:p>
        </w:tc>
      </w:tr>
      <w:tr>
        <w:tc>
          <w:tcPr/>
          <w:p>
            <w:pPr>
              <w:pStyle w:val="Compact"/>
              <w:jc w:val="left"/>
            </w:pPr>
            <w:r>
              <w:t xml:space="preserve">Cyanophyceae (unresolved)</w:t>
            </w:r>
          </w:p>
        </w:tc>
        <w:tc>
          <w:tcPr/>
          <w:p>
            <w:pPr>
              <w:pStyle w:val="Compact"/>
              <w:jc w:val="left"/>
            </w:pPr>
            <w:r>
              <w:t xml:space="preserve">Cyanophyceae</w:t>
            </w:r>
          </w:p>
        </w:tc>
        <w:tc>
          <w:tcPr/>
          <w:p>
            <w:pPr>
              <w:pStyle w:val="Compact"/>
              <w:jc w:val="left"/>
            </w:pPr>
            <w:r>
              <w:t xml:space="preserve">1.6%</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Cryptophyceae</w:t>
            </w:r>
          </w:p>
        </w:tc>
        <w:tc>
          <w:tcPr/>
          <w:p>
            <w:pPr>
              <w:pStyle w:val="Compact"/>
              <w:jc w:val="left"/>
            </w:pPr>
            <w:r>
              <w:t xml:space="preserve">0.9%</w:t>
            </w:r>
          </w:p>
        </w:tc>
        <w:tc>
          <w:tcPr/>
          <w:p>
            <w:pPr>
              <w:pStyle w:val="Compact"/>
              <w:jc w:val="left"/>
            </w:pPr>
            <w:r>
              <w:t xml:space="preserve">Cold-water generalist</w:t>
            </w:r>
          </w:p>
        </w:tc>
      </w:tr>
    </w:tbl>
    <w:bookmarkEnd w:id="150"/>
    <w:bookmarkStart w:id="151" w:name="narrative-18"/>
    <w:p>
      <w:pPr>
        <w:pStyle w:val="Heading3"/>
      </w:pPr>
      <w:r>
        <w:t xml:space="preserve">Narrative</w:t>
      </w:r>
    </w:p>
    <w:p>
      <w:pPr>
        <w:pStyle w:val="FirstParagraph"/>
      </w:pPr>
      <w:r>
        <w:t xml:space="preserve">The algal data at Richardson Stream are low-confidence due to the leaf-fall/rain inhibition event (see QC flag). The dominant signal — 41.6% unresolved Zygnemophyceae — may include organisms washed from wet mosses and soil surfaces during the rain event, in addition to genuinely in-stream filamentous algae. Zygnemophyceae (conjugate algae including</w:t>
      </w:r>
      <w:r>
        <w:t xml:space="preserve"> </w:t>
      </w:r>
      <w:r>
        <w:rPr>
          <w:iCs/>
          <w:i/>
        </w:rPr>
        <w:t xml:space="preserve">Mougeotia</w:t>
      </w:r>
      <w:r>
        <w:t xml:space="preserve">,</w:t>
      </w:r>
      <w:r>
        <w:t xml:space="preserve"> </w:t>
      </w:r>
      <w:r>
        <w:rPr>
          <w:iCs/>
          <w:i/>
        </w:rPr>
        <w:t xml:space="preserve">Spirogyra</w:t>
      </w:r>
      <w:r>
        <w:t xml:space="preserve">,</w:t>
      </w:r>
      <w:r>
        <w:t xml:space="preserve"> </w:t>
      </w:r>
      <w:r>
        <w:rPr>
          <w:iCs/>
          <w:i/>
        </w:rPr>
        <w:t xml:space="preserve">Zygnema</w:t>
      </w:r>
      <w:r>
        <w:t xml:space="preserve">) do live in streams, but many also colonize wet terrestrial and semi-terrestrial substrates; distinguishing in-stream from washed-in organisms is not possible from this sample alone. The resolved</w:t>
      </w:r>
      <w:r>
        <w:t xml:space="preserve"> </w:t>
      </w:r>
      <w:r>
        <w:rPr>
          <w:iCs/>
          <w:i/>
        </w:rPr>
        <w:t xml:space="preserve">Mougeotia</w:t>
      </w:r>
      <w:r>
        <w:t xml:space="preserve"> </w:t>
      </w:r>
      <w:r>
        <w:t xml:space="preserve">(4.5%) is the more reliable ecological signal —</w:t>
      </w:r>
      <w:r>
        <w:t xml:space="preserve"> </w:t>
      </w:r>
      <w:r>
        <w:rPr>
          <w:iCs/>
          <w:i/>
        </w:rPr>
        <w:t xml:space="preserve">Mougeotia</w:t>
      </w:r>
      <w:r>
        <w:t xml:space="preserve"> </w:t>
      </w:r>
      <w:r>
        <w:t xml:space="preserve">at this proportion in a cold headwater confirms soft, slightly acidic, oligotrophic conditions. Cyanobacteria at 1.6% is effectively absent — consistent with oligotrophy. Diatoms (Fragilariophyceae + Bacillariophyceae = 36%) are credible benthic and tychoplanktic signals.</w:t>
      </w:r>
    </w:p>
    <w:p>
      <w:pPr>
        <w:pStyle w:val="BodyText"/>
      </w:pPr>
      <w:r>
        <w:rPr>
          <w:iCs/>
          <w:i/>
        </w:rPr>
        <w:t xml:space="preserve">Halamphora coffeaeformis</w:t>
      </w:r>
      <w:r>
        <w:t xml:space="preserve"> </w:t>
      </w:r>
      <w:r>
        <w:t xml:space="preserve">at 9.1% is a database assignment artifact — Richardson Stream is not tidal.</w:t>
      </w:r>
    </w:p>
    <w:p>
      <w:pPr>
        <w:pStyle w:val="BodyText"/>
      </w:pPr>
      <w:r>
        <w:rPr>
          <w:bCs/>
          <w:b/>
        </w:rPr>
        <w:t xml:space="preserve">The critical finding at this site is in the fish data: Atlantic Salmon at 1.7%</w:t>
      </w:r>
      <w:r>
        <w:t xml:space="preserve"> </w:t>
      </w:r>
      <w:r>
        <w:t xml:space="preserve">— the strongest Atlantic Salmon detection in JVB3988. This is a spawning-run fish in a natal tributary. The fish signal is unaffected by algal library quality issues. Local officials have been made aware of this finding.</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Local officials have been made aware of this finding.</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H(f) = 0.96 · 6 species/genera · 2,223 reads</w:t>
      </w:r>
      <w:r>
        <w:t xml:space="preserve"> </w:t>
      </w:r>
      <w:r>
        <w:rPr>
          <w:bCs/>
          <w:b/>
        </w:rPr>
        <w:t xml:space="preserve">Algae:</w:t>
      </w:r>
      <w:r>
        <w:t xml:space="preserve"> </w:t>
      </w:r>
      <w:r>
        <w:t xml:space="preserve">H(a) =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H(f) =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H(f) =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H(f) =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H(f) =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H(f) = 0.96 · 3 species · ~13,900 reads</w:t>
      </w:r>
      <w:r>
        <w:t xml:space="preserve"> </w:t>
      </w:r>
      <w:r>
        <w:rPr>
          <w:bCs/>
          <w:b/>
        </w:rPr>
        <w:t xml:space="preserve">Algae:</w:t>
      </w:r>
      <w:r>
        <w:t xml:space="preserve"> </w:t>
      </w:r>
      <w:r>
        <w:t xml:space="preserve">H(a) =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H(a) =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53"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3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227" w:name="sentinel-signal-30"/>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227"/>
    <w:bookmarkStart w:id="228"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228"/>
    <w:bookmarkStart w:id="229"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229"/>
    <w:bookmarkStart w:id="230" w:name="narrative-30"/>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p>
      <w:r>
        <w:pict>
          <v:rect style="width:0;height:1.5pt" o:hralign="center" o:hrstd="t" o:hr="t"/>
        </w:pict>
      </w:r>
    </w:p>
    <w:p>
      <w:r>
        <w:pict>
          <v:rect style="width:0;height:1.5pt" o:hralign="center" o:hrstd="t" o:hr="t"/>
        </w:pict>
      </w:r>
    </w:p>
    <w:bookmarkEnd w:id="230"/>
    <w:bookmarkEnd w:id="231"/>
    <w:bookmarkStart w:id="238"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232" w:name="sentinel-signal-31"/>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32"/>
    <w:bookmarkStart w:id="233"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33"/>
    <w:bookmarkStart w:id="234"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4"/>
    <w:bookmarkStart w:id="235"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5"/>
    <w:bookmarkStart w:id="236" w:name="narrative-31"/>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6"/>
    <w:bookmarkStart w:id="237"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7"/>
    <w:bookmarkEnd w:id="238"/>
    <w:bookmarkStart w:id="24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239" w:name="sentinel-signal-32"/>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239"/>
    <w:bookmarkStart w:id="240"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40"/>
    <w:bookmarkStart w:id="241"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41"/>
    <w:bookmarkStart w:id="242"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42"/>
    <w:bookmarkStart w:id="243" w:name="narrative-32"/>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243"/>
    <w:bookmarkStart w:id="244" w:name="native-vs.-non-native-29"/>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p>
      <w:r>
        <w:pict>
          <v:rect style="width:0;height:1.5pt" o:hralign="center" o:hrstd="t" o:hr="t"/>
        </w:pict>
      </w:r>
    </w:p>
    <w:bookmarkEnd w:id="244"/>
    <w:bookmarkEnd w:id="245"/>
    <w:bookmarkStart w:id="252"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246" w:name="sentinel-signal-33"/>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6"/>
    <w:bookmarkStart w:id="247"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7"/>
    <w:bookmarkStart w:id="248"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8"/>
    <w:bookmarkStart w:id="249"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9"/>
    <w:bookmarkStart w:id="250" w:name="narrative-33"/>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50"/>
    <w:bookmarkStart w:id="251"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51"/>
    <w:bookmarkEnd w:id="252"/>
    <w:bookmarkEnd w:id="253"/>
    <w:bookmarkStart w:id="259"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8"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H(f) = 0.44 · 11 species |</w:t>
      </w:r>
      <w:r>
        <w:t xml:space="preserve"> </w:t>
      </w:r>
      <w:r>
        <w:rPr>
          <w:bCs/>
          <w:b/>
        </w:rPr>
        <w:t xml:space="preserve">Algae:</w:t>
      </w:r>
      <w:r>
        <w:t xml:space="preserve"> </w:t>
      </w:r>
      <w:r>
        <w:t xml:space="preserve">H(a) = 4.05 · 3,484 reads</w:t>
      </w:r>
    </w:p>
    <w:p>
      <w:pPr>
        <w:pStyle w:val="BodyText"/>
      </w:pPr>
      <w:r>
        <w:rPr>
          <w:bCs/>
          <w:b/>
        </w:rPr>
        <w:t xml:space="preserve">Site location note:</w:t>
      </w:r>
      <w:r>
        <w:t xml:space="preserve"> </w:t>
      </w:r>
      <w:r>
        <w:t xml:space="preserve">Third Herring Brook is in Norwell/Hanover on the South Shore — not Cape Cod.</w:t>
      </w:r>
    </w:p>
    <w:bookmarkStart w:id="254" w:name="sentinel-signal-34"/>
    <w:p>
      <w:pPr>
        <w:pStyle w:val="Heading3"/>
      </w:pPr>
      <w:r>
        <w:t xml:space="preserve">Sentinel Signal</w:t>
      </w:r>
    </w:p>
    <w:p>
      <w:pPr>
        <w:pStyle w:val="FirstParagraph"/>
      </w:pPr>
      <w:r>
        <w:t xml:space="preserve">Sunfish 90.5% in August = extreme warm-water thermal stress. Brook Trout trace only. Algal community (H(a) = 4.05) is surprisingly diverse and healthy — the low fish diversity is thermal, not chemical.</w:t>
      </w:r>
      <w:r>
        <w:t xml:space="preserve"> </w:t>
      </w:r>
      <w:r>
        <w:rPr>
          <w:bCs/>
          <w:b/>
        </w:rPr>
        <w:t xml:space="preserve">Priority resample: October/November.</w:t>
      </w:r>
    </w:p>
    <w:bookmarkEnd w:id="254"/>
    <w:bookmarkStart w:id="255"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5"/>
    <w:bookmarkStart w:id="256" w:name="narrative-34"/>
    <w:p>
      <w:pPr>
        <w:pStyle w:val="Heading3"/>
      </w:pPr>
      <w:r>
        <w:t xml:space="preserve">Narrative</w:t>
      </w:r>
    </w:p>
    <w:p>
      <w:pPr>
        <w:pStyle w:val="FirstParagraph"/>
      </w:pPr>
      <w:r>
        <w:t xml:space="preserve">Third Herring Brook (THB) in August is Sunfish-dominated at 90.5% — an extreme warm-water community signature in high summer. H(f) =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H(a) = 4.05 indicates a functionally diverse algal community that does not match the collapsed fish diversity. The disconnect between algal and fish diversity suggests the low fish H(f) 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6"/>
    <w:bookmarkStart w:id="257"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7"/>
    <w:bookmarkEnd w:id="258"/>
    <w:bookmarkEnd w:id="259"/>
    <w:bookmarkStart w:id="320"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5"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H(f) = 1.84 · 16 species |</w:t>
      </w:r>
      <w:r>
        <w:t xml:space="preserve"> </w:t>
      </w:r>
      <w:r>
        <w:rPr>
          <w:bCs/>
          <w:b/>
        </w:rPr>
        <w:t xml:space="preserve">Algae:</w:t>
      </w:r>
      <w:r>
        <w:t xml:space="preserve"> </w:t>
      </w:r>
      <w:r>
        <w:t xml:space="preserve">H(a) = 4.20 · 4,659 reads</w:t>
      </w:r>
    </w:p>
    <w:bookmarkStart w:id="260" w:name="sentinel-signal-35"/>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60"/>
    <w:bookmarkStart w:id="261"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61"/>
    <w:bookmarkStart w:id="262" w:name="narrative-35"/>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62"/>
    <w:bookmarkStart w:id="263"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63"/>
    <w:bookmarkStart w:id="264"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4"/>
    <w:bookmarkEnd w:id="265"/>
    <w:bookmarkStart w:id="271"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H(f) = 1.17 · 11 species |</w:t>
      </w:r>
      <w:r>
        <w:t xml:space="preserve"> </w:t>
      </w:r>
      <w:r>
        <w:rPr>
          <w:bCs/>
          <w:b/>
        </w:rPr>
        <w:t xml:space="preserve">Algae:</w:t>
      </w:r>
      <w:r>
        <w:t xml:space="preserve"> </w:t>
      </w:r>
      <w:r>
        <w:t xml:space="preserve">H(a) =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6" w:name="sentinel-signal-36"/>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6"/>
    <w:bookmarkStart w:id="267"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7"/>
    <w:bookmarkStart w:id="268" w:name="narrative-36"/>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8"/>
    <w:bookmarkStart w:id="269"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9"/>
    <w:bookmarkStart w:id="270"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70"/>
    <w:bookmarkEnd w:id="271"/>
    <w:bookmarkStart w:id="277"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H(f) = 0.95 · 4 species |</w:t>
      </w:r>
      <w:r>
        <w:t xml:space="preserve"> </w:t>
      </w:r>
      <w:r>
        <w:rPr>
          <w:bCs/>
          <w:b/>
        </w:rPr>
        <w:t xml:space="preserve">Algae:</w:t>
      </w:r>
      <w:r>
        <w:t xml:space="preserve"> </w:t>
      </w:r>
      <w:r>
        <w:t xml:space="preserve">H(a) =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72" w:name="sentinel-signal-37"/>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72"/>
    <w:bookmarkStart w:id="27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73"/>
    <w:bookmarkStart w:id="274" w:name="narrative-37"/>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4"/>
    <w:bookmarkStart w:id="275"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5"/>
    <w:bookmarkStart w:id="276"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6"/>
    <w:bookmarkEnd w:id="277"/>
    <w:bookmarkStart w:id="282"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H(f) = 0.90 · 9 species |</w:t>
      </w:r>
      <w:r>
        <w:t xml:space="preserve"> </w:t>
      </w:r>
      <w:r>
        <w:rPr>
          <w:bCs/>
          <w:b/>
        </w:rPr>
        <w:t xml:space="preserve">Algae:</w:t>
      </w:r>
      <w:r>
        <w:t xml:space="preserve"> </w:t>
      </w:r>
      <w:r>
        <w:t xml:space="preserve">H(a) = 2.76 · 8,285 reads</w:t>
      </w:r>
    </w:p>
    <w:bookmarkStart w:id="278" w:name="sentinel-signal-38"/>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8"/>
    <w:bookmarkStart w:id="279" w:name="narrative-38"/>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9"/>
    <w:bookmarkStart w:id="280"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80"/>
    <w:bookmarkStart w:id="281"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81"/>
    <w:bookmarkEnd w:id="282"/>
    <w:bookmarkStart w:id="288"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H(f) = 1.56 · 12 species |</w:t>
      </w:r>
      <w:r>
        <w:t xml:space="preserve"> </w:t>
      </w:r>
      <w:r>
        <w:rPr>
          <w:bCs/>
          <w:b/>
        </w:rPr>
        <w:t xml:space="preserve">Algae:</w:t>
      </w:r>
      <w:r>
        <w:t xml:space="preserve"> </w:t>
      </w:r>
      <w:r>
        <w:t xml:space="preserve">H(a) = 3.38 · 5,328 reads</w:t>
      </w:r>
    </w:p>
    <w:bookmarkStart w:id="283" w:name="sentinel-signal-39"/>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83"/>
    <w:bookmarkStart w:id="284"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4"/>
    <w:bookmarkStart w:id="285" w:name="narrative-39"/>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5"/>
    <w:bookmarkStart w:id="286"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6"/>
    <w:bookmarkStart w:id="287"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7"/>
    <w:bookmarkEnd w:id="288"/>
    <w:bookmarkStart w:id="294"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H(f) = 1.47 · 10 species |</w:t>
      </w:r>
      <w:r>
        <w:t xml:space="preserve"> </w:t>
      </w:r>
      <w:r>
        <w:rPr>
          <w:bCs/>
          <w:b/>
        </w:rPr>
        <w:t xml:space="preserve">Algae:</w:t>
      </w:r>
      <w:r>
        <w:t xml:space="preserve"> </w:t>
      </w:r>
      <w:r>
        <w:t xml:space="preserve">H(a) = 2.82 · 3,942 reads</w:t>
      </w:r>
    </w:p>
    <w:bookmarkStart w:id="289" w:name="sentinel-signal-40"/>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9"/>
    <w:bookmarkStart w:id="290"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90"/>
    <w:bookmarkStart w:id="291" w:name="narrative-40"/>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91"/>
    <w:bookmarkStart w:id="292"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H(a) = 2.82. Soft-water, tidal-influenced community at the freshwater-estuary interface.</w:t>
      </w:r>
    </w:p>
    <w:bookmarkEnd w:id="292"/>
    <w:bookmarkStart w:id="293"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93"/>
    <w:bookmarkEnd w:id="294"/>
    <w:bookmarkStart w:id="295"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5"/>
    <w:bookmarkStart w:id="301"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H(f) = 1.27 · 19 species |</w:t>
      </w:r>
      <w:r>
        <w:t xml:space="preserve"> </w:t>
      </w:r>
      <w:r>
        <w:rPr>
          <w:bCs/>
          <w:b/>
        </w:rPr>
        <w:t xml:space="preserve">Algae:</w:t>
      </w:r>
      <w:r>
        <w:t xml:space="preserve"> </w:t>
      </w:r>
      <w:r>
        <w:t xml:space="preserve">H(a) = 4.71 · 32,385 reads</w:t>
      </w:r>
    </w:p>
    <w:bookmarkStart w:id="296" w:name="sentinel-signal-41"/>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H(a) = 4.71 = highest algal Shannon diversity in this batch.</w:t>
      </w:r>
    </w:p>
    <w:bookmarkEnd w:id="296"/>
    <w:bookmarkStart w:id="297"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7"/>
    <w:bookmarkStart w:id="298" w:name="narrative-41"/>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8"/>
    <w:bookmarkStart w:id="299"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H(a) = 4.71 — highest algal Shannon diversity in JVB4307. The large unresolved fraction (40.5%) reflects marine phytoplankton entering on flood tides — taxa present in the water but absent from the freshwater-oriented 23S reference database.</w:t>
      </w:r>
    </w:p>
    <w:bookmarkEnd w:id="299"/>
    <w:bookmarkStart w:id="300"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300"/>
    <w:bookmarkEnd w:id="301"/>
    <w:bookmarkStart w:id="307" w:name="X2195623c87c8a7a54ee22d302639f1f2b2bbf9e"/>
    <w:p>
      <w:pPr>
        <w:pStyle w:val="Heading2"/>
      </w:pPr>
      <w:r>
        <w:t xml:space="preserve">Fresh Brook Area — Water near Raccoon Fecal Deposit | JVB4279 / S100177.1 | Date Unknown</w:t>
      </w:r>
    </w:p>
    <w:p>
      <w:pPr>
        <w:pStyle w:val="FirstParagraph"/>
      </w:pPr>
      <w:r>
        <w:rPr>
          <w:bCs/>
          <w:b/>
        </w:rPr>
        <w:t xml:space="preserve">Fish (MiFish 12S):</w:t>
      </w:r>
      <w:r>
        <w:t xml:space="preserve"> </w:t>
      </w:r>
      <w:r>
        <w:t xml:space="preserve">H(f) = 0.04 · 2 species · 57,855 fish reads</w:t>
      </w:r>
      <w:r>
        <w:t xml:space="preserve"> </w:t>
      </w:r>
      <w:r>
        <w:rPr>
          <w:bCs/>
          <w:b/>
        </w:rPr>
        <w:t xml:space="preserve">Invertebrates (UniCOI COI):</w:t>
      </w:r>
      <w:r>
        <w:t xml:space="preserve"> </w:t>
      </w:r>
      <w:r>
        <w:t xml:space="preserve">Green Crab 42% · Fiddler Crab ~22% · Geotrichum 30% · hookworm 1.1%</w:t>
      </w:r>
    </w:p>
    <w:bookmarkStart w:id="302" w:name="context"/>
    <w:p>
      <w:pPr>
        <w:pStyle w:val="Heading3"/>
      </w:pPr>
      <w:r>
        <w:t xml:space="preserve">Context</w:t>
      </w:r>
    </w:p>
    <w:p>
      <w:pPr>
        <w:pStyle w:val="FirstParagraph"/>
      </w:pPr>
      <w:r>
        <w:t xml:space="preserve">This sample was collected near a fecal deposit in the Fresh Brook area, at a location where otter toilets are common. The sample was subsequently determined to be</w:t>
      </w:r>
      <w:r>
        <w:t xml:space="preserve"> </w:t>
      </w:r>
      <w:r>
        <w:rPr>
          <w:bCs/>
          <w:b/>
        </w:rPr>
        <w:t xml:space="preserve">raccoon scat</w:t>
      </w:r>
      <w:r>
        <w:t xml:space="preserve"> </w:t>
      </w:r>
      <w:r>
        <w:t xml:space="preserve">(</w:t>
      </w:r>
      <w:r>
        <w:rPr>
          <w:iCs/>
          <w:i/>
        </w:rPr>
        <w:t xml:space="preserve">Procyon lotor</w:t>
      </w:r>
      <w:r>
        <w:t xml:space="preserve">) — not otter — confirmed by the 32,132 reads of raccoon DNA in the MiFish panel. No River Otter (</w:t>
      </w:r>
      <w:r>
        <w:rPr>
          <w:iCs/>
          <w:i/>
        </w:rPr>
        <w:t xml:space="preserve">Lontra canadensis</w:t>
      </w:r>
      <w:r>
        <w:t xml:space="preserve">) has been confirmed anywhere in this dataset by eDNA testing. Two barcode panels were run: MiFish 12S (fish DNA in adjacent water) and UniCOI (invertebrate COI from fecal material).</w:t>
      </w:r>
    </w:p>
    <w:bookmarkEnd w:id="302"/>
    <w:bookmarkStart w:id="303" w:name="sentinel-signal-42"/>
    <w:p>
      <w:pPr>
        <w:pStyle w:val="Heading3"/>
      </w:pPr>
      <w:r>
        <w:t xml:space="preserve">Sentinel Signal</w:t>
      </w:r>
    </w:p>
    <w:p>
      <w:pPr>
        <w:pStyle w:val="FirstParagraph"/>
      </w:pPr>
      <w:r>
        <w:t xml:space="preserve">MiFish fish community:</w:t>
      </w:r>
      <w:r>
        <w:t xml:space="preserve"> </w:t>
      </w:r>
      <w:r>
        <w:rPr>
          <w:bCs/>
          <w:b/>
        </w:rPr>
        <w:t xml:space="preserve">American Eel 99.3%</w:t>
      </w:r>
      <w:r>
        <w:t xml:space="preserve"> </w:t>
      </w:r>
      <w:r>
        <w:t xml:space="preserve">+ Fourspine Stickleback 0.7%. This is the fish community at a tidal freshwater reach of Fresh Brook — Eel dominance indicates a tidal pool or slow estuarine reach where Eels concentrate. Fourspine Stickleback confirms tidal zone proximity. No Alewife, Blueback Herring, or</w:t>
      </w:r>
      <w:r>
        <w:t xml:space="preserve"> </w:t>
      </w:r>
      <w:r>
        <w:rPr>
          <w:iCs/>
          <w:i/>
        </w:rPr>
        <w:t xml:space="preserve">Alosa</w:t>
      </w:r>
      <w:r>
        <w:t xml:space="preserve"> </w:t>
      </w:r>
      <w:r>
        <w:t xml:space="preserve">spp. detected.</w:t>
      </w:r>
    </w:p>
    <w:bookmarkEnd w:id="303"/>
    <w:bookmarkStart w:id="304" w:name="mifish-fish-community"/>
    <w:p>
      <w:pPr>
        <w:pStyle w:val="Heading3"/>
      </w:pPr>
      <w:r>
        <w:t xml:space="preserve">MiFish 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Tidal freshwater — characteristic Eel concentration</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Tidal reach indicator</w:t>
            </w:r>
          </w:p>
        </w:tc>
      </w:tr>
      <w:tr>
        <w:tc>
          <w:tcPr/>
          <w:p>
            <w:pPr>
              <w:pStyle w:val="Compact"/>
              <w:jc w:val="left"/>
            </w:pPr>
            <w:r>
              <w:rPr>
                <w:iCs/>
                <w:i/>
              </w:rPr>
              <w:t xml:space="preserve">Alosa</w:t>
            </w:r>
            <w:r>
              <w:t xml:space="preserve"> </w:t>
            </w:r>
            <w:r>
              <w:t xml:space="preserve">spp. — Alewife / Blueback Herring</w:t>
            </w:r>
          </w:p>
        </w:tc>
        <w:tc>
          <w:tcPr/>
          <w:p>
            <w:pPr>
              <w:pStyle w:val="Compact"/>
              <w:jc w:val="left"/>
            </w:pPr>
            <w:r>
              <w:rPr>
                <w:bCs/>
                <w:b/>
              </w:rPr>
              <w:t xml:space="preserve">0%</w:t>
            </w:r>
          </w:p>
        </w:tc>
        <w:tc>
          <w:tcPr/>
          <w:p>
            <w:pPr>
              <w:pStyle w:val="Compact"/>
              <w:jc w:val="left"/>
            </w:pPr>
            <w:r>
              <w:t xml:space="preserve">Not detected</w:t>
            </w:r>
          </w:p>
        </w:tc>
      </w:tr>
    </w:tbl>
    <w:p>
      <w:pPr>
        <w:pStyle w:val="BodyText"/>
      </w:pPr>
      <w:r>
        <w:rPr>
          <w:iCs/>
          <w:i/>
        </w:rPr>
        <w:t xml:space="preserve">Non-target 12S reads (excluded from fish analysis): Procyon lotor (Raccoon) 32,132 reads = confirmed raccoon fecal input; Sus scrofa 655 reads = likely Muskrat or Beaver (JVB database interpretation).</w:t>
      </w:r>
    </w:p>
    <w:bookmarkEnd w:id="304"/>
    <w:bookmarkStart w:id="305" w:name="X6aed4b7db94a2755f37d244bcff90a08caef765"/>
    <w:p>
      <w:pPr>
        <w:pStyle w:val="Heading3"/>
      </w:pPr>
      <w:r>
        <w:t xml:space="preserve">UniCOI Invertebrate Community (Raccoon Fecal Diet — COI panel)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Taxon</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Carcinus maenas</w:t>
            </w:r>
            <w:r>
              <w:t xml:space="preserve"> </w:t>
            </w:r>
            <w:r>
              <w:t xml:space="preserve">— European Green Crab</w:t>
            </w:r>
          </w:p>
        </w:tc>
        <w:tc>
          <w:tcPr/>
          <w:p>
            <w:pPr>
              <w:pStyle w:val="Compact"/>
              <w:jc w:val="left"/>
            </w:pPr>
            <w:r>
              <w:t xml:space="preserve">42%</w:t>
            </w:r>
          </w:p>
        </w:tc>
        <w:tc>
          <w:tcPr/>
          <w:p>
            <w:pPr>
              <w:pStyle w:val="Compact"/>
              <w:jc w:val="left"/>
            </w:pPr>
            <w:r>
              <w:rPr>
                <w:bCs/>
                <w:b/>
              </w:rPr>
              <w:t xml:space="preserve">Raccoon tidal flat foraging — invasive species</w:t>
            </w:r>
          </w:p>
        </w:tc>
      </w:tr>
      <w:tr>
        <w:tc>
          <w:tcPr/>
          <w:p>
            <w:pPr>
              <w:pStyle w:val="Compact"/>
              <w:jc w:val="left"/>
            </w:pPr>
            <w:r>
              <w:rPr>
                <w:iCs/>
                <w:i/>
              </w:rPr>
              <w:t xml:space="preserve">Minuca pugnax</w:t>
            </w:r>
            <w:r>
              <w:t xml:space="preserve"> </w:t>
            </w:r>
            <w:r>
              <w:t xml:space="preserve">— Atlantic Marsh Fiddler Crab</w:t>
            </w:r>
          </w:p>
        </w:tc>
        <w:tc>
          <w:tcPr/>
          <w:p>
            <w:pPr>
              <w:pStyle w:val="Compact"/>
              <w:jc w:val="left"/>
            </w:pPr>
            <w:r>
              <w:t xml:space="preserve">~22%</w:t>
            </w:r>
          </w:p>
        </w:tc>
        <w:tc>
          <w:tcPr/>
          <w:p>
            <w:pPr>
              <w:pStyle w:val="Compact"/>
              <w:jc w:val="left"/>
            </w:pPr>
            <w:r>
              <w:t xml:space="preserve">Raccoon tidal flat foraging — native</w:t>
            </w:r>
          </w:p>
        </w:tc>
      </w:tr>
      <w:tr>
        <w:tc>
          <w:tcPr/>
          <w:p>
            <w:pPr>
              <w:pStyle w:val="Compact"/>
              <w:jc w:val="left"/>
            </w:pPr>
            <w:r>
              <w:rPr>
                <w:iCs/>
                <w:i/>
              </w:rPr>
              <w:t xml:space="preserve">Geotrichum candidum</w:t>
            </w:r>
            <w:r>
              <w:t xml:space="preserve"> </w:t>
            </w:r>
            <w:r>
              <w:t xml:space="preserve">— Fecal yeast</w:t>
            </w:r>
          </w:p>
        </w:tc>
        <w:tc>
          <w:tcPr/>
          <w:p>
            <w:pPr>
              <w:pStyle w:val="Compact"/>
              <w:jc w:val="left"/>
            </w:pPr>
            <w:r>
              <w:t xml:space="preserve">30%</w:t>
            </w:r>
          </w:p>
        </w:tc>
        <w:tc>
          <w:tcPr/>
          <w:p>
            <w:pPr>
              <w:pStyle w:val="Compact"/>
              <w:jc w:val="left"/>
            </w:pPr>
            <w:r>
              <w:t xml:space="preserve">Commensal fecal yeast — confirms fecal sample origin</w:t>
            </w:r>
          </w:p>
        </w:tc>
      </w:tr>
      <w:tr>
        <w:tc>
          <w:tcPr/>
          <w:p>
            <w:pPr>
              <w:pStyle w:val="Compact"/>
              <w:jc w:val="left"/>
            </w:pPr>
            <w:r>
              <w:rPr>
                <w:iCs/>
                <w:i/>
              </w:rPr>
              <w:t xml:space="preserve">Necator americanus</w:t>
            </w:r>
            <w:r>
              <w:t xml:space="preserve"> </w:t>
            </w:r>
            <w:r>
              <w:t xml:space="preserve">— Hookworm</w:t>
            </w:r>
          </w:p>
        </w:tc>
        <w:tc>
          <w:tcPr/>
          <w:p>
            <w:pPr>
              <w:pStyle w:val="Compact"/>
              <w:jc w:val="left"/>
            </w:pPr>
            <w:r>
              <w:t xml:space="preserve">1.1%</w:t>
            </w:r>
          </w:p>
        </w:tc>
        <w:tc>
          <w:tcPr/>
          <w:p>
            <w:pPr>
              <w:pStyle w:val="Compact"/>
              <w:jc w:val="left"/>
            </w:pPr>
            <w:r>
              <w:t xml:space="preserve">Likely database artifact</w:t>
            </w:r>
          </w:p>
        </w:tc>
      </w:tr>
    </w:tbl>
    <w:bookmarkEnd w:id="305"/>
    <w:bookmarkStart w:id="306" w:name="narrative-42"/>
    <w:p>
      <w:pPr>
        <w:pStyle w:val="Heading3"/>
      </w:pPr>
      <w:r>
        <w:t xml:space="preserve">Narrative</w:t>
      </w:r>
    </w:p>
    <w:p>
      <w:pPr>
        <w:pStyle w:val="FirstParagraph"/>
      </w:pPr>
      <w:r>
        <w:t xml:space="preserve">The MiFish data characterize the fish community at the Fresh Brook tidal reach: American Eel at 99.3% is consistent with a tidal pool or estuarine backwater where Eels aggregate. Fourspine Stickleback confirms proximity to the tidal zone. The Raccoon DNA (32,132 reads, confirmed</w:t>
      </w:r>
      <w:r>
        <w:t xml:space="preserve"> </w:t>
      </w:r>
      <w:r>
        <w:rPr>
          <w:iCs/>
          <w:i/>
        </w:rPr>
        <w:t xml:space="preserve">Procyon lotor</w:t>
      </w:r>
      <w:r>
        <w:t xml:space="preserve">) represents fecal contamination of the water sample at the collection point — raccoon latrine at or immediately adjacent to the sample location.</w:t>
      </w:r>
    </w:p>
    <w:p>
      <w:pPr>
        <w:pStyle w:val="BodyText"/>
      </w:pPr>
      <w:r>
        <w:t xml:space="preserve">The UniCOI panel characterizes raccoon diet from the fecal material: European Green Crab (42%) and Atlantic Marsh Fiddler Crab (~22%) — raccoons are documented tidal flat foragers and regularly consume crabs.</w:t>
      </w:r>
      <w:r>
        <w:t xml:space="preserve"> </w:t>
      </w:r>
      <w:r>
        <w:rPr>
          <w:iCs/>
          <w:i/>
        </w:rPr>
        <w:t xml:space="preserve">Geotrichum candidum</w:t>
      </w:r>
      <w:r>
        <w:t xml:space="preserve"> </w:t>
      </w:r>
      <w:r>
        <w:t xml:space="preserve">(30%) is a commensal fecal yeast that confirms the sample was genuine fecal material.</w:t>
      </w:r>
      <w:r>
        <w:t xml:space="preserve"> </w:t>
      </w:r>
      <w:r>
        <w:rPr>
          <w:iCs/>
          <w:i/>
        </w:rPr>
        <w:t xml:space="preserve">Necator americanus</w:t>
      </w:r>
      <w:r>
        <w:t xml:space="preserve"> </w:t>
      </w:r>
      <w:r>
        <w:t xml:space="preserve">(1.1%) is a human hookworm; its detection at this level is likely a database assignment artifact.</w:t>
      </w:r>
    </w:p>
    <w:p>
      <w:pPr>
        <w:pStyle w:val="BodyText"/>
      </w:pPr>
      <w:r>
        <w:t xml:space="preserve">The</w:t>
      </w:r>
      <w:r>
        <w:t xml:space="preserve"> </w:t>
      </w:r>
      <w:r>
        <w:rPr>
          <w:iCs/>
          <w:i/>
        </w:rPr>
        <w:t xml:space="preserve">Sus scrofa</w:t>
      </w:r>
      <w:r>
        <w:t xml:space="preserve"> </w:t>
      </w:r>
      <w:r>
        <w:t xml:space="preserve">assignment (655 reads) in the MiFish panel is interpreted per JVB protocol as likely Muskrat (</w:t>
      </w:r>
      <w:r>
        <w:rPr>
          <w:iCs/>
          <w:i/>
        </w:rPr>
        <w:t xml:space="preserve">Ondatra zibethicus</w:t>
      </w:r>
      <w:r>
        <w:t xml:space="preserve">) or Beaver (</w:t>
      </w:r>
      <w:r>
        <w:rPr>
          <w:iCs/>
          <w:i/>
        </w:rPr>
        <w:t xml:space="preserve">Castor canadensis</w:t>
      </w:r>
      <w:r>
        <w:t xml:space="preserve">) — semi-aquatic rodents whose 12S sequences resolve to Suidae in the reference database due to database gaps.</w:t>
      </w:r>
    </w:p>
    <w:p>
      <w:pPr>
        <w:pStyle w:val="BodyText"/>
      </w:pPr>
      <w:r>
        <w:t xml:space="preserve">Ecological interpretation of the fish community is unreliable: raccoon fecal contamination (36% of raw library) may have suppressed detection of less-abundant fish species via competitive PCR inhibition. The Eel signal (99.3%) is almost certainly real, but the apparent impoverishment to only 2 species should not be taken as the true fish community at this reach.</w:t>
      </w:r>
    </w:p>
    <w:p>
      <w:r>
        <w:pict>
          <v:rect style="width:0;height:1.5pt" o:hralign="center" o:hrstd="t" o:hr="t"/>
        </w:pict>
      </w:r>
    </w:p>
    <w:p>
      <w:r>
        <w:pict>
          <v:rect style="width:0;height:1.5pt" o:hralign="center" o:hrstd="t" o:hr="t"/>
        </w:pict>
      </w:r>
    </w:p>
    <w:bookmarkEnd w:id="306"/>
    <w:bookmarkEnd w:id="307"/>
    <w:bookmarkStart w:id="312"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H(f) = 1.03 · 9 species/genera · 60,954 reads</w:t>
      </w:r>
      <w:r>
        <w:t xml:space="preserve"> </w:t>
      </w:r>
      <w:r>
        <w:rPr>
          <w:iCs/>
          <w:i/>
        </w:rPr>
        <w:t xml:space="preserve">(corrected to include Salvelinus spp.)</w:t>
      </w:r>
    </w:p>
    <w:bookmarkStart w:id="308" w:name="sentinel-signal-43"/>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9"/>
    <w:bookmarkStart w:id="310" w:name="narrative-43"/>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10"/>
    <w:bookmarkStart w:id="311"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11"/>
    <w:bookmarkEnd w:id="312"/>
    <w:bookmarkStart w:id="319"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H(f) = 0.88 · 3 species · 9,743 reads</w:t>
      </w:r>
      <w:r>
        <w:t xml:space="preserve"> </w:t>
      </w:r>
      <w:r>
        <w:rPr>
          <w:bCs/>
          <w:b/>
        </w:rPr>
        <w:t xml:space="preserve">Algae:</w:t>
      </w:r>
      <w:r>
        <w:t xml:space="preserve"> </w:t>
      </w:r>
      <w:r>
        <w:t xml:space="preserve">H(a) = 1.81 · 17 ESVs · 19,018 reads</w:t>
      </w:r>
    </w:p>
    <w:bookmarkStart w:id="313" w:name="sentinel-signal-44"/>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13"/>
    <w:bookmarkStart w:id="314"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14"/>
    <w:bookmarkStart w:id="315"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15"/>
    <w:bookmarkStart w:id="316"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6"/>
    <w:bookmarkStart w:id="317" w:name="narrative-44"/>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7"/>
    <w:bookmarkStart w:id="318"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8"/>
    <w:bookmarkEnd w:id="319"/>
    <w:bookmarkEnd w:id="320"/>
    <w:bookmarkStart w:id="331"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25"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H(f) = 1.51 · 26 species |</w:t>
      </w:r>
      <w:r>
        <w:t xml:space="preserve"> </w:t>
      </w:r>
      <w:r>
        <w:rPr>
          <w:bCs/>
          <w:b/>
        </w:rPr>
        <w:t xml:space="preserve">Algae:</w:t>
      </w:r>
      <w:r>
        <w:t xml:space="preserve"> </w:t>
      </w:r>
      <w:r>
        <w:t xml:space="preserve">Failed — no reads (sample .0)</w:t>
      </w:r>
    </w:p>
    <w:bookmarkStart w:id="321" w:name="sentinel-signal-45"/>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21"/>
    <w:bookmarkStart w:id="322" w:name="narrative-45"/>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22"/>
    <w:bookmarkStart w:id="323"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23"/>
    <w:bookmarkStart w:id="324"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24"/>
    <w:bookmarkEnd w:id="325"/>
    <w:bookmarkStart w:id="330"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326" w:name="sentinel-signal-46"/>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6"/>
    <w:bookmarkStart w:id="327" w:name="fish-community-2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7"/>
    <w:bookmarkStart w:id="328" w:name="narrative-46"/>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8"/>
    <w:bookmarkStart w:id="329"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9"/>
    <w:bookmarkEnd w:id="330"/>
    <w:bookmarkEnd w:id="331"/>
    <w:bookmarkStart w:id="346" w:name="Xeb7b060d1e6179fce2f31433d2e5e45ce9c152d"/>
    <w:p>
      <w:pPr>
        <w:pStyle w:val="Heading1"/>
      </w:pPr>
      <w:r>
        <w:t xml:space="preserve">Appendix: Cross-Batch Brook Trout &amp; Atlantic Salmon Summary</w:t>
      </w:r>
    </w:p>
    <w:bookmarkStart w:id="332"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32"/>
    <w:bookmarkStart w:id="333" w:name="Xfbc067fc0f5d7d1f90a62d5ace41a44292e1398"/>
    <w:p>
      <w:pPr>
        <w:pStyle w:val="Heading2"/>
      </w:pPr>
      <w:r>
        <w:t xml:space="preserve">Cross-Batch Summary — Brook Trout and Atlantic Salmon</w:t>
      </w:r>
    </w:p>
    <w:bookmarkEnd w:id="333"/>
    <w:bookmarkStart w:id="334"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34"/>
    <w:bookmarkStart w:id="335"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35"/>
    <w:bookmarkStart w:id="336"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6"/>
    <w:bookmarkStart w:id="337" w:name="Xfb050cfee7f1ecf7ad79739242fb3b0b996c06e"/>
    <w:p>
      <w:pPr>
        <w:pStyle w:val="Heading2"/>
      </w:pPr>
      <w:r>
        <w:t xml:space="preserve">Non-Aquatic eDNA Detections — Summary and Methodological Note</w:t>
      </w:r>
    </w:p>
    <w:bookmarkEnd w:id="337"/>
    <w:bookmarkStart w:id="338"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8"/>
    <w:bookmarkStart w:id="339"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likely Muskrat or Beaver (JVB interpretation)</w:t>
            </w:r>
          </w:p>
        </w:tc>
        <w:tc>
          <w:tcPr/>
          <w:p>
            <w:pPr>
              <w:pStyle w:val="Compact"/>
              <w:jc w:val="left"/>
            </w:pPr>
            <w:r>
              <w:t xml:space="preserve">655</w:t>
            </w:r>
          </w:p>
        </w:tc>
        <w:tc>
          <w:tcPr/>
          <w:p>
            <w:pPr>
              <w:pStyle w:val="Compact"/>
              <w:jc w:val="left"/>
            </w:pPr>
            <w:r>
              <w:t xml:space="preserve">Semi-aquatic rodent 12S cross-assigned to Suidae — reference database gap</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9"/>
    <w:bookmarkStart w:id="340"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40"/>
    <w:bookmarkStart w:id="341" w:name="dietary-edna-artifacts-piscivorous-birds"/>
    <w:p>
      <w:pPr>
        <w:pStyle w:val="Heading2"/>
      </w:pPr>
      <w:r>
        <w:t xml:space="preserve">Dietary eDNA Artifacts — Piscivorous Birds</w:t>
      </w:r>
    </w:p>
    <w:p>
      <w:pPr>
        <w:pStyle w:val="FirstParagraph"/>
      </w:pPr>
      <w:r>
        <w:t xml:space="preserve">A related but distinct artifact category involves fish eDNA deposited at a site by piscivorous birds (Double-crested Cormorant, Great Blue Heron, Osprey, Kingfisher, Common Tern) via feces. These deposits contain authentic fish DNA — but from fish consumed in a different aquatic environment, not fish present at the sampling site.</w:t>
      </w:r>
    </w:p>
    <w:p>
      <w:pPr>
        <w:pStyle w:val="BodyText"/>
      </w:pPr>
      <w:r>
        <w:t xml:space="preserve">The Atwater site (JVB4981 / 2KL87R0I, June 8, 2025) is the clearest example in this dataset. Menhaden (</w:t>
      </w:r>
      <w:r>
        <w:rPr>
          <w:iCs/>
          <w:i/>
        </w:rPr>
        <w:t xml:space="preserve">Brevoortia</w:t>
      </w:r>
      <w:r>
        <w:t xml:space="preserve"> </w:t>
      </w:r>
      <w:r>
        <w:t xml:space="preserve">spp., 176 reads) and marine prickleback (</w:t>
      </w:r>
      <w:r>
        <w:rPr>
          <w:iCs/>
          <w:i/>
        </w:rPr>
        <w:t xml:space="preserve">Xiphister</w:t>
      </w:r>
      <w:r>
        <w:t xml:space="preserve"> </w:t>
      </w:r>
      <w:r>
        <w:t xml:space="preserve">spp., 65 reads) — both coastal marine species — appear at a freshwater site miles above the tidal zone. Double-crested Cormorants foraging on menhaden and other coastal fish in Manchester Harbor and adjacent waters transit inland through the MBTS watershed, depositing marine fish DNA wherever they land or roost.</w:t>
      </w:r>
    </w:p>
    <w:p>
      <w:pPr>
        <w:pStyle w:val="BodyText"/>
      </w:pPr>
      <w:r>
        <w:t xml:space="preserve">Dietary eDNA artifacts are distinguishable from authentic live-fish signals by geographic impossibility: a coastal schooling marine fish in mid-watershed Sawmill Brook freshwater is not an identification error — it is DNA from a meal consumed elsewhere. This logic also applies to the 85 Alewife reads at the same Atwater event: Alewife are biologically capable of ascending Sawmill Brook, but in June at a de-watered site with confirmed cormorant input, these reads are attributed to dietary artifact rather than live fish.</w:t>
      </w:r>
    </w:p>
    <w:p>
      <w:pPr>
        <w:pStyle w:val="BodyText"/>
      </w:pPr>
      <w:r>
        <w:rPr>
          <w:bCs/>
          <w:b/>
        </w:rPr>
        <w:t xml:space="preserve">Rule:</w:t>
      </w:r>
      <w:r>
        <w:t xml:space="preserve"> </w:t>
      </w:r>
      <w:r>
        <w:t xml:space="preserve">Detections of species geographically impossible as live fish at the sampling site — especially at low read counts at sites frequented by fish-eating birds — require consideration of cormorant/heron dietary input before ecological interpretation.</w:t>
      </w:r>
    </w:p>
    <w:bookmarkEnd w:id="341"/>
    <w:bookmarkStart w:id="342" w:name="jvb5403-algal-summary"/>
    <w:p>
      <w:pPr>
        <w:pStyle w:val="Heading2"/>
      </w:pPr>
      <w:r>
        <w:t xml:space="preserve">JVB5403 Algal Summary</w:t>
      </w:r>
    </w:p>
    <w:bookmarkEnd w:id="342"/>
    <w:bookmarkStart w:id="343"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43"/>
    <w:bookmarkStart w:id="344" w:name="jvb3988-jvb4678-algal-summary"/>
    <w:p>
      <w:pPr>
        <w:pStyle w:val="Heading2"/>
      </w:pPr>
      <w:r>
        <w:t xml:space="preserve">JVB3988 + JVB4678 Algal Summary</w:t>
      </w:r>
    </w:p>
    <w:bookmarkEnd w:id="344"/>
    <w:bookmarkStart w:id="345"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2026-04-24T01:07:31Z</dcterms:created>
  <dcterms:modified xsi:type="dcterms:W3CDTF">2026-04-24T01:07:31Z</dcterms:modified>
</cp:coreProperties>
</file>

<file path=docProps/custom.xml><?xml version="1.0" encoding="utf-8"?>
<Properties xmlns="http://schemas.openxmlformats.org/officeDocument/2006/custom-properties" xmlns:vt="http://schemas.openxmlformats.org/officeDocument/2006/docPropsVTypes"/>
</file>