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shared with local officials.</w:t>
      </w:r>
      <w:r>
        <w:t xml:space="preserve"> </w:t>
      </w:r>
      <w:r>
        <w:rPr>
          <w:iCs/>
          <w:i/>
        </w:rPr>
        <w:t xml:space="preserve">Esox</w:t>
      </w:r>
      <w:r>
        <w:t xml:space="preserve"> </w:t>
      </w:r>
      <w:r>
        <w:t xml:space="preserve">spp. (db:</w:t>
      </w:r>
      <w:r>
        <w:t xml:space="preserve"> </w:t>
      </w:r>
      <w:r>
        <w:rPr>
          <w:iCs/>
          <w:i/>
        </w:rPr>
        <w:t xml:space="preserve">Esox lucius</w:t>
      </w:r>
      <w:r>
        <w:t xml:space="preserve">) detected at Second Pond, Manchester-by-the-Sea — likely native pickerel; species-level assignment anomalous; verify before reporting.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Esox spp. detected (db: E. lucius — verify)</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Shannon index interpretation: H = 0.00 → single species; 0.01–0.30 → near-monoculture (&gt;90% one species); 0.30–0.80 → low diversity (2–3 species dominant); 0.80–1.40 → moderate (4–6 species); 1.40–2.00 → good (6–10 species); 2.00–2.50 → high (10–15+ species); 2.50+ → very high (richest communities)</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iCs/>
          <w:i/>
          <w:bCs/>
          <w:b/>
        </w:rPr>
        <w:t xml:space="preserve">Esox</w:t>
      </w:r>
      <w:r>
        <w:rPr>
          <w:bCs/>
          <w:b/>
        </w:rPr>
        <w:t xml:space="preserve"> </w:t>
      </w:r>
      <w:r>
        <w:rPr>
          <w:bCs/>
          <w:b/>
        </w:rPr>
        <w:t xml:space="preserve">spp. (db:</w:t>
      </w:r>
      <w:r>
        <w:rPr>
          <w:bCs/>
          <w:b/>
        </w:rPr>
        <w:t xml:space="preserve"> </w:t>
      </w:r>
      <w:r>
        <w:rPr>
          <w:iCs/>
          <w:i/>
          <w:bCs/>
          <w:b/>
        </w:rPr>
        <w:t xml:space="preserve">Esox lucius</w:t>
      </w:r>
      <w:r>
        <w:rPr>
          <w:bCs/>
          <w:b/>
        </w:rPr>
        <w:t xml:space="preserve">)</w:t>
      </w:r>
      <w:r>
        <w:t xml:space="preserve"> </w:t>
      </w:r>
      <w:r>
        <w:t xml:space="preserve">— species-level assignment to Northern Pike is considered anomalous for coastal MA pond habitat; likely native Chain or Redfin Pickerel. Verify by electrofishing or species-specific PCR before any reporting or management action. Local officials have been made aware of the detection.</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lockText"/>
      </w:pPr>
      <w:r>
        <w:rPr>
          <w:bCs/>
          <w:b/>
        </w:rPr>
        <w:t xml:space="preserve">Note on pH data:</w:t>
      </w:r>
      <w:r>
        <w:t xml:space="preserve"> </w:t>
      </w:r>
      <w:r>
        <w:t xml:space="preserve">The Deblois / Narraguagus sampling is the</w:t>
      </w:r>
      <w:r>
        <w:t xml:space="preserve"> </w:t>
      </w:r>
      <w:r>
        <w:rPr>
          <w:bCs/>
          <w:b/>
        </w:rPr>
        <w:t xml:space="preserve">only study in this dataset where field-measured pH values exist.</w:t>
      </w:r>
      <w:r>
        <w:t xml:space="preserve"> </w:t>
      </w:r>
      <w:r>
        <w:t xml:space="preserve">All other sites in this document rely exclusively on algal biological indicators to infer pH — a directionally reliable but indirect method. Field pH readings here were made with a</w:t>
      </w:r>
      <w:r>
        <w:t xml:space="preserve"> </w:t>
      </w:r>
      <w:r>
        <w:rPr>
          <w:bCs/>
          <w:b/>
        </w:rPr>
        <w:t xml:space="preserve">Vivosun handheld pH meter (uncalibrated)</w:t>
      </w:r>
      <w:r>
        <w:t xml:space="preserve"> </w:t>
      </w:r>
      <w:r>
        <w:t xml:space="preserve">and should be treated as approximate (±0.5–1.0 pH unit). Even with that caveat, these are the only directly observed pH numbers in the entire dataset.</w:t>
      </w:r>
    </w:p>
    <w:p>
      <w:pPr>
        <w:pStyle w:val="FirstParagraph"/>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jvb5776-cswee3dx.1"/>
    <w:p>
      <w:pPr>
        <w:pStyle w:val="Heading2"/>
      </w:pPr>
      <w:r>
        <w:t xml:space="preserve">McCoy Brook | JVB5776 / CSWEE3DX.1</w:t>
      </w:r>
    </w:p>
    <w:p>
      <w:pPr>
        <w:pStyle w:val="FirstParagraph"/>
      </w:pPr>
      <w:r>
        <w:rPr>
          <w:bCs/>
          <w:b/>
        </w:rPr>
        <w:t xml:space="preserve">Fish: 1 species, H(f) = 0.00 | Algae: 91 ESVs, H(a) =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rPr>
                <w:bCs/>
                <w:b/>
              </w:rPr>
              <w:t xml:space="preserve">pH</w:t>
            </w:r>
          </w:p>
        </w:tc>
        <w:tc>
          <w:tcPr/>
          <w:p>
            <w:pPr>
              <w:pStyle w:val="Compact"/>
              <w:jc w:val="left"/>
            </w:pPr>
            <w:r>
              <w:rPr>
                <w:bCs/>
                <w:b/>
              </w:rPr>
              <w:t xml:space="preserve">3.54</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41.3°F (5.2°C)</w:t>
            </w:r>
          </w:p>
        </w:tc>
        <w:tc>
          <w:tcPr/>
          <w:p>
            <w:pPr>
              <w:pStyle w:val="Compact"/>
              <w:jc w:val="left"/>
            </w:pPr>
            <w:r>
              <w:rPr>
                <w:bCs/>
                <w:b/>
              </w:rPr>
              <w:t xml:space="preserve">Field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jvb5776-cntlvpx4.1"/>
    <w:p>
      <w:pPr>
        <w:pStyle w:val="Heading2"/>
      </w:pPr>
      <w:r>
        <w:t xml:space="preserve">Crotch Camp Brook | JVB5776 / CNTLVPX4.1</w:t>
      </w:r>
    </w:p>
    <w:p>
      <w:pPr>
        <w:pStyle w:val="FirstParagraph"/>
      </w:pPr>
      <w:r>
        <w:rPr>
          <w:bCs/>
          <w:b/>
        </w:rPr>
        <w:t xml:space="preserve">Fish: 9 species, H(f) = 1.69 | Algae: 76 ESVs, H(a) = 2.30</w:t>
      </w:r>
    </w:p>
    <w:bookmarkStart w:id="39" w:name="sentinel-signal-1"/>
    <w:p>
      <w:pPr>
        <w:pStyle w:val="Heading3"/>
      </w:pPr>
      <w:r>
        <w:t xml:space="preserve">Sentinel Signal</w:t>
      </w:r>
    </w:p>
    <w:p>
      <w:pPr>
        <w:pStyle w:val="FirstParagraph"/>
      </w:pPr>
      <w:r>
        <w:rPr>
          <w:iCs/>
          <w:i/>
        </w:rPr>
        <w:t xml:space="preserve">Synura</w:t>
      </w:r>
      <w:r>
        <w:t xml:space="preserve"> </w:t>
      </w:r>
      <w:r>
        <w:t xml:space="preserve">spp. at 75.9% dominance +</w:t>
      </w:r>
      <w:r>
        <w:t xml:space="preserve"> </w:t>
      </w:r>
      <w:r>
        <w:rPr>
          <w:iCs/>
          <w:i/>
        </w:rPr>
        <w:t xml:space="preserve">Salvelinus</w:t>
      </w:r>
      <w:r>
        <w:t xml:space="preserve"> </w:t>
      </w:r>
      <w:r>
        <w:t xml:space="preserve">spp.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 Of 19 Synura ESVs detected, one resolves to species level:</w:t>
      </w:r>
      <w:r>
        <w:t xml:space="preserve"> </w:t>
      </w:r>
      <w:r>
        <w:rPr>
          <w:iCs/>
          <w:i/>
          <w:bCs/>
          <w:b/>
        </w:rPr>
        <w:t xml:space="preserve">Synura truttae</w:t>
      </w:r>
      <w:r>
        <w:t xml:space="preserve"> </w:t>
      </w:r>
      <w:r>
        <w:t xml:space="preserve">— a colonial chrysophyte named for</w:t>
      </w:r>
      <w:r>
        <w:t xml:space="preserve"> </w:t>
      </w:r>
      <w:r>
        <w:rPr>
          <w:iCs/>
          <w:i/>
        </w:rPr>
        <w:t xml:space="preserve">Salmo trutta</w:t>
      </w:r>
      <w:r>
        <w:t xml:space="preserve"> </w:t>
      </w:r>
      <w:r>
        <w:t xml:space="preserve">(Brown Trout), first described from cold Scottish trout streams. Its presence here alongside Brook Trout at pH 5.17 is ecologically coherent and taxonomically notable.</w:t>
      </w:r>
    </w:p>
    <w:bookmarkEnd w:id="39"/>
    <w:bookmarkStart w:id="40"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5.17</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Inferred — 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Inferred — 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Inferred — Brook Trout presence confirms aerobic conditions</w:t>
            </w:r>
          </w:p>
        </w:tc>
      </w:tr>
    </w:tbl>
    <w:p>
      <w:pPr>
        <w:pStyle w:val="BodyText"/>
      </w:pPr>
      <w:r>
        <w:rPr>
          <w:bCs/>
          <w:b/>
        </w:rPr>
        <w:t xml:space="preserve">pH 5.17 ecological significance:</w:t>
      </w:r>
      <w:r>
        <w:t xml:space="preserve"> </w:t>
      </w:r>
      <w:r>
        <w:t xml:space="preserve">Below the approximate threshold (≈5.5) where Brook Trout egg and fry survival becomes impaired. Adult Brook Trout are detected at 16.9% — they persist in this water — but successful in-stream reproduction at this pH is uncertain. The population may be sustained by adults moving in from less acidic reaches rather than by resident spawning. The measured pH is consistent with</w:t>
      </w:r>
      <w:r>
        <w:t xml:space="preserve"> </w:t>
      </w:r>
      <w:r>
        <w:rPr>
          <w:iCs/>
          <w:i/>
        </w:rPr>
        <w:t xml:space="preserve">Synura</w:t>
      </w:r>
      <w:r>
        <w:t xml:space="preserve">-dominated soft water (optimal range 5.0–7.0) and confirms the biologically inferred character of the system.</w:t>
      </w:r>
    </w:p>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spp. (Colonial Synurophyte) accounts for 75.9% of all algal reads across 19 ESVs.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Of the 19 Synura ESVs detected at this site, only one resolves to species level:</w:t>
      </w:r>
      <w:r>
        <w:t xml:space="preserve"> </w:t>
      </w:r>
      <w:r>
        <w:rPr>
          <w:iCs/>
          <w:i/>
          <w:bCs/>
          <w:b/>
        </w:rPr>
        <w:t xml:space="preserve">Synura truttae</w:t>
      </w:r>
      <w:r>
        <w:t xml:space="preserve"> </w:t>
      </w:r>
      <w:r>
        <w:t xml:space="preserve">(591 reads, 1.46% of total library). This species was first described from oligotrophic, slightly acidic Scottish streams where</w:t>
      </w:r>
      <w:r>
        <w:t xml:space="preserve"> </w:t>
      </w:r>
      <w:r>
        <w:rPr>
          <w:iCs/>
          <w:i/>
        </w:rPr>
        <w:t xml:space="preserve">Salmo trutta</w:t>
      </w:r>
      <w:r>
        <w:t xml:space="preserve"> </w:t>
      </w:r>
      <w:r>
        <w:t xml:space="preserve">(Brown Trout) is the defining vertebrate — its specific epithet literally means</w:t>
      </w:r>
      <w:r>
        <w:t xml:space="preserve"> </w:t>
      </w:r>
      <w:r>
        <w:t xml:space="preserve">“</w:t>
      </w:r>
      <w:r>
        <w:t xml:space="preserve">of the trout.</w:t>
      </w:r>
      <w:r>
        <w:t xml:space="preserve">”</w:t>
      </w:r>
      <w:r>
        <w:t xml:space="preserve"> </w:t>
      </w:r>
      <w:r>
        <w:t xml:space="preserve">Its occurrence here at pH 5.17 alongside</w:t>
      </w:r>
      <w:r>
        <w:t xml:space="preserve"> </w:t>
      </w:r>
      <w:r>
        <w:rPr>
          <w:iCs/>
          <w:i/>
        </w:rPr>
        <w:t xml:space="preserve">Salvelinus fontinalis</w:t>
      </w:r>
      <w:r>
        <w:t xml:space="preserve"> </w:t>
      </w:r>
      <w:r>
        <w:t xml:space="preserve">(Brook Trout) is exactly the ecological context for which the species was named.</w:t>
      </w:r>
      <w:r>
        <w:t xml:space="preserve"> </w:t>
      </w:r>
      <w:r>
        <w:rPr>
          <w:iCs/>
          <w:i/>
        </w:rPr>
        <w:t xml:space="preserve">Synura truttae</w:t>
      </w:r>
      <w:r>
        <w:t xml:space="preserve"> </w:t>
      </w:r>
      <w:r>
        <w:t xml:space="preserve">is diagnostic of clean, cold, soft, low-phosphorus water — its presence is a molecular confirmation of what the field pH and the fish community already indicate. The remaining 18 Synura ESVs resolve only to genus level (</w:t>
      </w:r>
      <w:r>
        <w:rPr>
          <w:iCs/>
          <w:i/>
        </w:rPr>
        <w:t xml:space="preserve">Synura</w:t>
      </w:r>
      <w:r>
        <w:t xml:space="preserve"> </w:t>
      </w:r>
      <w:r>
        <w:t xml:space="preserve">spp.), but the community as a whole tells the same story.</w:t>
      </w:r>
    </w:p>
    <w:p>
      <w:pPr>
        <w:pStyle w:val="BodyText"/>
      </w:pPr>
      <w:r>
        <w:t xml:space="preserve">The fish community is moderate and ecologically coherent for this habitat type: Ninespine Stickleback (35.2%), Creek Chub (25.0%),</w:t>
      </w:r>
      <w:r>
        <w:t xml:space="preserve"> </w:t>
      </w:r>
      <w:r>
        <w:rPr>
          <w:iCs/>
          <w:i/>
        </w:rPr>
        <w:t xml:space="preserve">Salvelinus</w:t>
      </w:r>
      <w:r>
        <w:t xml:space="preserve"> </w:t>
      </w:r>
      <w:r>
        <w:t xml:space="preserve">spp. — Brook Trout (16.9%), Redbreast Sunfish (9.9%). Brook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w:t>
      </w:r>
      <w:r>
        <w:t xml:space="preserve"> </w:t>
      </w:r>
      <w:r>
        <w:rPr>
          <w:iCs/>
          <w:i/>
        </w:rPr>
        <w:t xml:space="preserve">Salvelinus</w:t>
      </w:r>
      <w:r>
        <w:t xml:space="preserve"> </w:t>
      </w:r>
      <w:r>
        <w:t xml:space="preserve">spp. signal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jvb5776-cnr7wzyj.1"/>
    <w:p>
      <w:pPr>
        <w:pStyle w:val="Heading2"/>
      </w:pPr>
      <w:r>
        <w:t xml:space="preserve">UNT Lane Rd | JVB5776 / CNR7WZYJ.1</w:t>
      </w:r>
    </w:p>
    <w:p>
      <w:pPr>
        <w:pStyle w:val="FirstParagraph"/>
      </w:pPr>
      <w:r>
        <w:rPr>
          <w:bCs/>
          <w:b/>
        </w:rPr>
        <w:t xml:space="preserve">Fish: 1 species, H(f) = 0.00 | Algae: 77 ESVs, H(a) = 3.16</w:t>
      </w:r>
    </w:p>
    <w:bookmarkStart w:id="44" w:name="sentinel-signal-2"/>
    <w:p>
      <w:pPr>
        <w:pStyle w:val="Heading3"/>
      </w:pPr>
      <w:r>
        <w:t xml:space="preserve">Sentinel Signal</w:t>
      </w:r>
    </w:p>
    <w:p>
      <w:pPr>
        <w:pStyle w:val="FirstParagraph"/>
      </w:pPr>
      <w:r>
        <w:t xml:space="preserve">American Eel alone +</w:t>
      </w:r>
      <w:r>
        <w:t xml:space="preserve"> </w:t>
      </w:r>
      <w:r>
        <w:rPr>
          <w:bCs/>
          <w:b/>
        </w:rPr>
        <w:t xml:space="preserve">measured pH 3.73</w:t>
      </w:r>
      <w:r>
        <w:t xml:space="preserve"> </w:t>
      </w:r>
      <w:r>
        <w:t xml:space="preserve">=</w:t>
      </w:r>
      <w:r>
        <w:t xml:space="preserve"> </w:t>
      </w:r>
      <w:r>
        <w:rPr>
          <w:bCs/>
          <w:b/>
        </w:rPr>
        <w:t xml:space="preserve">acute acid exclusion of fish community</w:t>
      </w:r>
      <w:r>
        <w:t xml:space="preserve">. The single-species result is not a sampling artifact — it is a direct consequence of water chemistry that is lethal or excludes all fish except the most acid-tolerant. This site requires investigation for acidification source.</w:t>
      </w:r>
    </w:p>
    <w:bookmarkEnd w:id="44"/>
    <w:bookmarkStart w:id="45"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3.73</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 for eel</w:t>
            </w:r>
          </w:p>
        </w:tc>
        <w:tc>
          <w:tcPr/>
          <w:p>
            <w:pPr>
              <w:pStyle w:val="Compact"/>
              <w:jc w:val="left"/>
            </w:pPr>
            <w:r>
              <w:t xml:space="preserve">Inferred — American Eel present</w:t>
            </w:r>
          </w:p>
        </w:tc>
      </w:tr>
    </w:tbl>
    <w:bookmarkEnd w:id="45"/>
    <w:bookmarkStart w:id="46" w:name="narrative-2"/>
    <w:p>
      <w:pPr>
        <w:pStyle w:val="Heading3"/>
      </w:pPr>
      <w:r>
        <w:t xml:space="preserve">Narrative</w:t>
      </w:r>
    </w:p>
    <w:p>
      <w:pPr>
        <w:pStyle w:val="FirstParagraph"/>
      </w:pPr>
      <w:r>
        <w:t xml:space="preserve">pH 3.73 is at or below the threshold where most freshwater fish cannot survive: Brook Trout are excluded below approximately pH 4.5–5.0, most cyprinids below pH 5.5–6.0. (McCoy Brook, at pH 3.54, is more acidic still — the lowest field measurement in this dataset — but both sites sit well inside the zone of acute fish exclusion.) The single-species result at UNT (American Eel at 100%)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This pH is consistent with bog or ombrotrophic peatland drainage — ombrotrophic bogs in Maine commonly reach pH 3.5–4.5 from organic acid (humic/fulvic acid) accumulation. If UNT Lane Rd drains directly through or adjacent to a sphagnum bog, pH 3.73 could be entirely natural. However, acid atmospheric deposition (historical sulfur and nitrogen deposition) has permanently lowered baseline pH in some Washington County watersheds, and the interaction of naturally soft, low-buffering capacity water with decades of acid rain can produce chronic pH this low.</w:t>
      </w:r>
    </w:p>
    <w:p>
      <w:pPr>
        <w:pStyle w:val="BodyText"/>
      </w:pPr>
      <w:r>
        <w:rPr>
          <w:iCs/>
          <w:i/>
        </w:rPr>
        <w:t xml:space="preserve">Halamphora coffeaeformis</w:t>
      </w:r>
      <w:r>
        <w:t xml:space="preserve"> </w:t>
      </w:r>
      <w:r>
        <w:t xml:space="preserve">(14.9% of algal reads) is a database-assigned marine/brackish taxon that at this site almost certainly represents an acid-tolerant freshwater</w:t>
      </w:r>
      <w:r>
        <w:t xml:space="preserve"> </w:t>
      </w:r>
      <w:r>
        <w:rPr>
          <w:iCs/>
          <w:i/>
        </w:rPr>
        <w:t xml:space="preserve">Halamphora</w:t>
      </w:r>
      <w:r>
        <w:t xml:space="preserve"> </w:t>
      </w:r>
      <w:r>
        <w:t xml:space="preserve">species misassigned by the reference database — consistent with the inland location memory note. Acid-tolerant diatoms, Cryptophytes, and Chromulina can persist at pH 3.5–4.5, which explains why the algal community appears moderately diverse (H(a) = 3.16, 77 ESVs) despite chemistry that excludes virtually all fish. Algae are far more acid-tolerant than fish.</w:t>
      </w:r>
    </w:p>
    <w:p>
      <w:pPr>
        <w:pStyle w:val="BodyText"/>
      </w:pPr>
      <w:r>
        <w:rPr>
          <w:bCs/>
          <w:b/>
        </w:rPr>
        <w:t xml:space="preserve">Topographic analysis (10m NED DEM, Nov 2025):</w:t>
      </w:r>
      <w:r>
        <w:t xml:space="preserve"> </w:t>
      </w:r>
      <w:r>
        <w:t xml:space="preserve">UNT Lane Rd (44.740°N, -68.019°W, 55.2m elev.) lies on a continuous downhill slope from the Worcester Peat Mine direction to the northwest (74.7m). No ridge or drainage divide was identified between the mine area and UNT on this transect — water from the mine area is not topographically blocked from reaching UNT’s drainage. However, McCoy Brook likely crosses the same slope between the mine and UNT; if McCoy’s channel captures the mine drainage before it reaches UNT, UNT’s acidity may instead reflect a natural ombrotrophic bog directly upstream. The pH values (McCoy 3.54, UNT 3.73) are similar enough to be consistent with either a shared influence or two independent bog-drainage systems.</w:t>
      </w:r>
      <w:r>
        <w:t xml:space="preserve"> </w:t>
      </w:r>
      <w:r>
        <w:rPr>
          <w:bCs/>
          <w:b/>
        </w:rPr>
        <w:t xml:space="preserve">Definitive source attribution requires field tracing (dye test or upstream chemistry transect at finer spatial resolution) — the topographic evidence is permissive but not conclusive.</w:t>
      </w:r>
    </w:p>
    <w:p>
      <w:pPr>
        <w:pStyle w:val="BodyText"/>
      </w:pPr>
      <w:r>
        <w:rPr>
          <w:bCs/>
          <w:b/>
        </w:rPr>
        <w:t xml:space="preserve">Conservation significance:</w:t>
      </w:r>
      <w:r>
        <w:t xml:space="preserve"> </w:t>
      </w:r>
      <w:r>
        <w:t xml:space="preserve">Whether natural or mine-influenced, pH 3.73 is a permanent barrier to Brook Trout at this reach under current conditions. If mine-influenced: source management at Worcester Peat could improve conditions. If naturally acidic bog drainage: conditions are self-sustaining and Brook Trout recolonization of this specific reach is not achievable without active liming.</w:t>
      </w:r>
    </w:p>
    <w:bookmarkEnd w:id="46"/>
    <w:bookmarkStart w:id="47" w:name="native-vs.-non-native-2"/>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p>
      <w:r>
        <w:pict>
          <v:rect style="width:0;height:1.5pt" o:hralign="center" o:hrstd="t" o:hr="t"/>
        </w:pict>
      </w:r>
    </w:p>
    <w:bookmarkEnd w:id="47"/>
    <w:bookmarkEnd w:id="48"/>
    <w:bookmarkStart w:id="53" w:name="X7a2a467e3d9337af8ca783c8f7e8587a12e8638"/>
    <w:p>
      <w:pPr>
        <w:pStyle w:val="Heading2"/>
      </w:pPr>
      <w:r>
        <w:t xml:space="preserve">West Branch Narraguagus River @ Sprague’s Falls | JVB5776 / CY92PPTX.1</w:t>
      </w:r>
    </w:p>
    <w:p>
      <w:pPr>
        <w:pStyle w:val="FirstParagraph"/>
      </w:pPr>
      <w:r>
        <w:rPr>
          <w:bCs/>
          <w:b/>
        </w:rPr>
        <w:t xml:space="preserve">Fish: 14 species, H(f) = 1.94 | Algae: 201 ESVs, H(a) = 4.55 (highest in dataset)</w:t>
      </w:r>
    </w:p>
    <w:bookmarkStart w:id="49" w:name="sentinel-signal-3"/>
    <w:p>
      <w:pPr>
        <w:pStyle w:val="Heading3"/>
      </w:pPr>
      <w:r>
        <w:t xml:space="preserve">Sentinel Signal</w:t>
      </w:r>
    </w:p>
    <w:p>
      <w:pPr>
        <w:pStyle w:val="FirstParagraph"/>
      </w:pPr>
      <w:r>
        <w:t xml:space="preserve">Finescale Dace +</w:t>
      </w:r>
      <w:r>
        <w:t xml:space="preserve"> </w:t>
      </w:r>
      <w:r>
        <w:rPr>
          <w:iCs/>
          <w:i/>
        </w:rPr>
        <w:t xml:space="preserve">Salvelinus</w:t>
      </w:r>
      <w:r>
        <w:t xml:space="preserve"> </w:t>
      </w:r>
      <w:r>
        <w:t xml:space="preserve">spp.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5.09</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44°F (6.7°C)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soft-water fish guild;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ecological significance:</w:t>
      </w:r>
      <w:r>
        <w:t xml:space="preserve"> </w:t>
      </w:r>
      <w:r>
        <w:t xml:space="preserve">This is below the threshold (≈5.5) where Brook Trout reproductive success becomes impaired — eggs and fry are more sensitive than adults to low pH. Adults survive and are detected at 1.9%, but episodic acid pulses (spring snowmelt) can suppress recruitment. The measured pH is more acidic than the biologically inferred range of 5.5–6.5, suggesting either the November sampling date captured a low-pH pulse or the West Branch is chronically more acidic than the fish guild alone implies.</w:t>
      </w:r>
    </w:p>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w:t>
      </w:r>
      <w:r>
        <w:t xml:space="preserve"> </w:t>
      </w:r>
      <w:r>
        <w:rPr>
          <w:iCs/>
          <w:i/>
        </w:rPr>
        <w:t xml:space="preserve">Salvelinus</w:t>
      </w:r>
      <w:r>
        <w:t xml:space="preserve"> </w:t>
      </w:r>
      <w:r>
        <w:t xml:space="preserve">spp. —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X044d61927117ab54d32c3fd338866d768e6ba94"/>
    <w:p>
      <w:pPr>
        <w:pStyle w:val="Heading2"/>
      </w:pPr>
      <w:r>
        <w:t xml:space="preserve">Narraguagus Rt 193 / Jewett Landing | JVB5776 / CA66THTZ.1</w:t>
      </w:r>
    </w:p>
    <w:p>
      <w:pPr>
        <w:pStyle w:val="FirstParagraph"/>
      </w:pPr>
      <w:r>
        <w:rPr>
          <w:bCs/>
          <w:b/>
        </w:rPr>
        <w:t xml:space="preserve">Fish: 19 species, H(f) = 2.16 (highest in ME) | Algae: 117 ESVs, H(a) =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measured-inferred-water-chemistry-3"/>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6.25</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H(f) =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local officials are aware of this finding).</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H(f) = 1.64 · 17 species |</w:t>
      </w:r>
      <w:r>
        <w:t xml:space="preserve"> </w:t>
      </w:r>
      <w:r>
        <w:rPr>
          <w:bCs/>
          <w:b/>
        </w:rPr>
        <w:t xml:space="preserve">Algae:</w:t>
      </w:r>
      <w:r>
        <w:t xml:space="preserve"> </w:t>
      </w:r>
      <w:r>
        <w:t xml:space="preserve">H(a) =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H(f) = 1.54 · 15 species |</w:t>
      </w:r>
      <w:r>
        <w:t xml:space="preserve"> </w:t>
      </w:r>
      <w:r>
        <w:rPr>
          <w:bCs/>
          <w:b/>
        </w:rPr>
        <w:t xml:space="preserve">Algae:</w:t>
      </w:r>
      <w:r>
        <w:t xml:space="preserve"> </w:t>
      </w:r>
      <w:r>
        <w:t xml:space="preserve">H(a) =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H(a) =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H(f) = 1.03 · 11 species |</w:t>
      </w:r>
      <w:r>
        <w:t xml:space="preserve"> </w:t>
      </w:r>
      <w:r>
        <w:rPr>
          <w:bCs/>
          <w:b/>
        </w:rPr>
        <w:t xml:space="preserve">Algae:</w:t>
      </w:r>
      <w:r>
        <w:t xml:space="preserve"> </w:t>
      </w:r>
      <w:r>
        <w:t xml:space="preserve">H(a) =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H(f) = 0.78 · 11 species |</w:t>
      </w:r>
      <w:r>
        <w:t xml:space="preserve"> </w:t>
      </w:r>
      <w:r>
        <w:rPr>
          <w:bCs/>
          <w:b/>
        </w:rPr>
        <w:t xml:space="preserve">Algae:</w:t>
      </w:r>
      <w:r>
        <w:t xml:space="preserve"> </w:t>
      </w:r>
      <w:r>
        <w:t xml:space="preserve">H(a) =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H(f) =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H(a) =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H(f) =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H(f) =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H(f) =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H(f) =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H(f) =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Local officials are aware of these detections.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H(f) = 1.31 · 13 species |</w:t>
      </w:r>
      <w:r>
        <w:t xml:space="preserve"> </w:t>
      </w:r>
      <w:r>
        <w:rPr>
          <w:bCs/>
          <w:b/>
        </w:rPr>
        <w:t xml:space="preserve">Algae:</w:t>
      </w:r>
      <w:r>
        <w:t xml:space="preserve"> </w:t>
      </w:r>
      <w:r>
        <w:t xml:space="preserve">H(a) =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H(f) = 1.26 · 4 species · ~8,200 reads</w:t>
      </w:r>
      <w:r>
        <w:t xml:space="preserve"> </w:t>
      </w:r>
      <w:r>
        <w:rPr>
          <w:bCs/>
          <w:b/>
        </w:rPr>
        <w:t xml:space="preserve">Algae:</w:t>
      </w:r>
      <w:r>
        <w:t xml:space="preserve"> </w:t>
      </w:r>
      <w:r>
        <w:t xml:space="preserve">H(a) =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H(f) = 0.97 · 3 species · ~8,900 reads</w:t>
      </w:r>
      <w:r>
        <w:t xml:space="preserve"> </w:t>
      </w:r>
      <w:r>
        <w:rPr>
          <w:bCs/>
          <w:b/>
        </w:rPr>
        <w:t xml:space="preserve">Algae:</w:t>
      </w:r>
      <w:r>
        <w:t xml:space="preserve"> </w:t>
      </w:r>
      <w:r>
        <w:t xml:space="preserve">H(a) =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H(f) =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H(a) =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(H(a) = 2.71) reflects the mixed community character of a summer low-flow inland mainstem.</w:t>
      </w:r>
    </w:p>
    <w:bookmarkEnd w:id="119"/>
    <w:bookmarkStart w:id="120"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H(f) = 0.53 · 6 species · 17,912 reads</w:t>
      </w:r>
      <w:r>
        <w:t xml:space="preserve"> </w:t>
      </w:r>
      <w:r>
        <w:rPr>
          <w:bCs/>
          <w:b/>
        </w:rPr>
        <w:t xml:space="preserve">Algae:</w:t>
      </w:r>
      <w:r>
        <w:t xml:space="preserve"> </w:t>
      </w:r>
      <w:r>
        <w:t xml:space="preserve">H(a) =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H(f) = 1.16 · 9 species/genera · 12,155 reads ·</w:t>
      </w:r>
      <w:r>
        <w:t xml:space="preserve"> </w:t>
      </w:r>
      <w:r>
        <w:rPr>
          <w:bCs/>
          <w:b/>
        </w:rPr>
        <w:t xml:space="preserve">Atlantic Salmon 1.0% confirmed</w:t>
      </w:r>
      <w:r>
        <w:t xml:space="preserve"> </w:t>
      </w:r>
      <w:r>
        <w:rPr>
          <w:bCs/>
          <w:b/>
        </w:rPr>
        <w:t xml:space="preserve">Algae:</w:t>
      </w:r>
      <w:r>
        <w:t xml:space="preserve"> </w:t>
      </w:r>
      <w:r>
        <w:t xml:space="preserve">H(a) =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Local officials have been made aware of this finding. The fish community is Fallfish-dominated (85.1%) — a clean-gravel indicator species — with a diverse supporting cast of cyprinids and catadromous Eel.</w:t>
      </w:r>
    </w:p>
    <w:bookmarkEnd w:id="133"/>
    <w:bookmarkStart w:id="134"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Local officials have been made aware of this finding.</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H(f) = 1.05 · 7 species/genera · 7,609 reads</w:t>
      </w:r>
      <w:r>
        <w:t xml:space="preserve"> </w:t>
      </w:r>
      <w:r>
        <w:rPr>
          <w:bCs/>
          <w:b/>
        </w:rPr>
        <w:t xml:space="preserve">Algae:</w:t>
      </w:r>
      <w:r>
        <w:t xml:space="preserve"> </w:t>
      </w:r>
      <w:r>
        <w:t xml:space="preserve">H(a) =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H(f) = 0.38 · 4 species · 4,876 reads ·</w:t>
      </w:r>
      <w:r>
        <w:t xml:space="preserve"> </w:t>
      </w:r>
      <w:r>
        <w:rPr>
          <w:bCs/>
          <w:b/>
        </w:rPr>
        <w:t xml:space="preserve">Atlantic Salmon 1.7% confirmed</w:t>
      </w:r>
      <w:r>
        <w:t xml:space="preserve"> </w:t>
      </w:r>
      <w:r>
        <w:rPr>
          <w:bCs/>
          <w:b/>
        </w:rPr>
        <w:t xml:space="preserve">Algae:</w:t>
      </w:r>
      <w:r>
        <w:t xml:space="preserve"> </w:t>
      </w:r>
      <w:r>
        <w:t xml:space="preserve">H(a) = 1.40 · 24 ESVs · 10,153 reads</w:t>
      </w:r>
    </w:p>
    <w:p>
      <w:pPr>
        <w:pStyle w:val="BlockText"/>
      </w:pPr>
      <w:r>
        <w:t xml:space="preserve">⚠️</w:t>
      </w:r>
      <w:r>
        <w:t xml:space="preserve"> </w:t>
      </w:r>
      <w:r>
        <w:rPr>
          <w:bCs/>
          <w:b/>
        </w:rPr>
        <w:t xml:space="preserve">Sampling QC flag — leaf-fall inhibition event.</w:t>
      </w:r>
      <w:r>
        <w:t xml:space="preserve"> </w:t>
      </w:r>
      <w:r>
        <w:t xml:space="preserve">This sample was collected in October during peak leaf-fall, likely following a significant rain event. Protocol guidance: significant leaf-fall should be avoided; post-rain sampling introduces high dissolved organic carbon (humic/fulvic acids, tannins) that causes</w:t>
      </w:r>
      <w:r>
        <w:t xml:space="preserve"> </w:t>
      </w:r>
      <w:r>
        <w:rPr>
          <w:bCs/>
          <w:b/>
        </w:rPr>
        <w:t xml:space="preserve">PCR inhibition and library swamping</w:t>
      </w:r>
      <w:r>
        <w:t xml:space="preserve"> </w:t>
      </w:r>
      <w:r>
        <w:t xml:space="preserve">— reducing apparent diversity (low H(a)) and introducing Zygnemophyceae and other organisms washed from wet leaf, moss, and soil surfaces into the library. The algal community profile at this site should be treated as</w:t>
      </w:r>
      <w:r>
        <w:t xml:space="preserve"> </w:t>
      </w:r>
      <w:r>
        <w:rPr>
          <w:bCs/>
          <w:b/>
        </w:rPr>
        <w:t xml:space="preserve">low confidence</w:t>
      </w:r>
      <w:r>
        <w:t xml:space="preserve">. The resolved</w:t>
      </w:r>
      <w:r>
        <w:t xml:space="preserve"> </w:t>
      </w:r>
      <w:r>
        <w:rPr>
          <w:iCs/>
          <w:i/>
        </w:rPr>
        <w:t xml:space="preserve">Mougeotia</w:t>
      </w:r>
      <w:r>
        <w:t xml:space="preserve"> </w:t>
      </w:r>
      <w:r>
        <w:t xml:space="preserve">(4.5%) is likely genuine in-stream algae; the 41.6% unresolved Zygnemophyceae may partially reflect washed-in organisms from the rain event.</w:t>
      </w:r>
      <w:r>
        <w:t xml:space="preserve"> </w:t>
      </w:r>
      <w:r>
        <w:rPr>
          <w:bCs/>
          <w:b/>
        </w:rPr>
        <w:t xml:space="preserve">The fish data (Atlantic Salmon 1.7%) is from the MiFish 12S panel and is unaffected by this issue — it remains high confidence.</w:t>
      </w:r>
    </w:p>
    <w:bookmarkStart w:id="147" w:name="sentinel-signal-18"/>
    <w:p>
      <w:pPr>
        <w:pStyle w:val="Heading3"/>
      </w:pPr>
      <w:r>
        <w:t xml:space="preserve">Sentinel Signal</w:t>
      </w:r>
    </w:p>
    <w:p>
      <w:pPr>
        <w:pStyle w:val="FirstParagraph"/>
      </w:pPr>
      <w:r>
        <w:t xml:space="preserve">The critical ecological finding at Richardson Stream is in the fish data:</w:t>
      </w:r>
      <w:r>
        <w:t xml:space="preserve"> </w:t>
      </w:r>
      <w:r>
        <w:rPr>
          <w:bCs/>
          <w:b/>
        </w:rPr>
        <w:t xml:space="preserve">Atlantic Salmon at 1.7%</w:t>
      </w:r>
      <w:r>
        <w:t xml:space="preserve"> </w:t>
      </w:r>
      <w:r>
        <w:t xml:space="preserve">— the highest Salmon reading in JVB3988 — confirms this is an active spawning tributary on the fall return run. Algal data are low-confidence due to the leaf-fall/rain inhibition event (see QC flag above).</w:t>
      </w:r>
      <w:r>
        <w:t xml:space="preserve"> </w:t>
      </w:r>
      <w:r>
        <w:rPr>
          <w:iCs/>
          <w:i/>
        </w:rPr>
        <w:t xml:space="preserve">Mougeotia</w:t>
      </w:r>
      <w:r>
        <w:t xml:space="preserve"> </w:t>
      </w:r>
      <w:r>
        <w:t xml:space="preserve">(4.5%) — the only resolved aquatic alga with clear ecological meaning — confirms cold, soft, slightly acidic water consistent with Salmon habitat. Diatoms (Fragilariophyceae 24.5% + Bacillariophyceae 11.5% = 36%) contribute a cold-headwater signal. The low H(a) = 1.40 is consistent with both genuine oligotrophic character and post-rain PCR inhibition — not interpretable in isolation.</w:t>
      </w:r>
    </w:p>
    <w:bookmarkEnd w:id="147"/>
    <w:bookmarkStart w:id="148"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Terrestrial input</w:t>
            </w:r>
          </w:p>
        </w:tc>
        <w:tc>
          <w:tcPr/>
          <w:p>
            <w:pPr>
              <w:pStyle w:val="Compact"/>
              <w:jc w:val="left"/>
            </w:pPr>
            <w:r>
              <w:rPr>
                <w:bCs/>
                <w:b/>
              </w:rPr>
              <w:t xml:space="preserve">Low</w:t>
            </w:r>
            <w:r>
              <w:t xml:space="preserve"> </w:t>
            </w:r>
            <w:r>
              <w:t xml:space="preserve">— 2.8% Magnoliopsida</w:t>
            </w:r>
          </w:p>
        </w:tc>
        <w:tc>
          <w:tcPr/>
          <w:p>
            <w:pPr>
              <w:pStyle w:val="Compact"/>
              <w:jc w:val="left"/>
            </w:pPr>
            <w:r>
              <w:t xml:space="preserve">True leaf-litter signal is minor</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Class</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Zygnemophyceae (unresolved)</w:t>
            </w:r>
          </w:p>
        </w:tc>
        <w:tc>
          <w:tcPr/>
          <w:p>
            <w:pPr>
              <w:pStyle w:val="Compact"/>
              <w:jc w:val="left"/>
            </w:pPr>
            <w:r>
              <w:t xml:space="preserve">Zygnemophyceae</w:t>
            </w:r>
          </w:p>
        </w:tc>
        <w:tc>
          <w:tcPr/>
          <w:p>
            <w:pPr>
              <w:pStyle w:val="Compact"/>
              <w:jc w:val="left"/>
            </w:pPr>
            <w:r>
              <w:t xml:space="preserve">41.6%</w:t>
            </w:r>
          </w:p>
        </w:tc>
        <w:tc>
          <w:tcPr/>
          <w:p>
            <w:pPr>
              <w:pStyle w:val="Compact"/>
              <w:jc w:val="left"/>
            </w:pPr>
            <w:r>
              <w:rPr>
                <w:bCs/>
                <w:b/>
              </w:rPr>
              <w:t xml:space="preserve">Conjugate green algae — aquatic, cold, soft-water; NOT leaf litter</w:t>
            </w:r>
          </w:p>
        </w:tc>
      </w:tr>
      <w:tr>
        <w:tc>
          <w:tcPr/>
          <w:p>
            <w:pPr>
              <w:pStyle w:val="Compact"/>
              <w:jc w:val="left"/>
            </w:pPr>
            <w:r>
              <w:t xml:space="preserve">Fragilariophyceae (unresolved)</w:t>
            </w:r>
          </w:p>
        </w:tc>
        <w:tc>
          <w:tcPr/>
          <w:p>
            <w:pPr>
              <w:pStyle w:val="Compact"/>
              <w:jc w:val="left"/>
            </w:pPr>
            <w:r>
              <w:t xml:space="preserve">Fragilariophyceae</w:t>
            </w:r>
          </w:p>
        </w:tc>
        <w:tc>
          <w:tcPr/>
          <w:p>
            <w:pPr>
              <w:pStyle w:val="Compact"/>
              <w:jc w:val="left"/>
            </w:pPr>
            <w:r>
              <w:t xml:space="preserve">24.5%</w:t>
            </w:r>
          </w:p>
        </w:tc>
        <w:tc>
          <w:tcPr/>
          <w:p>
            <w:pPr>
              <w:pStyle w:val="Compact"/>
              <w:jc w:val="left"/>
            </w:pPr>
            <w:r>
              <w:rPr>
                <w:bCs/>
                <w:b/>
              </w:rPr>
              <w:t xml:space="preserve">Filamentous diatoms — cold headwater indicator</w:t>
            </w:r>
          </w:p>
        </w:tc>
      </w:tr>
      <w:tr>
        <w:tc>
          <w:tcPr/>
          <w:p>
            <w:pPr>
              <w:pStyle w:val="Compact"/>
              <w:jc w:val="left"/>
            </w:pPr>
            <w:r>
              <w:t xml:space="preserve">Bacillariophyceae (unresolved)</w:t>
            </w:r>
          </w:p>
        </w:tc>
        <w:tc>
          <w:tcPr/>
          <w:p>
            <w:pPr>
              <w:pStyle w:val="Compact"/>
              <w:jc w:val="left"/>
            </w:pPr>
            <w:r>
              <w:t xml:space="preserve">Bacillariophyceae</w:t>
            </w:r>
          </w:p>
        </w:tc>
        <w:tc>
          <w:tcPr/>
          <w:p>
            <w:pPr>
              <w:pStyle w:val="Compact"/>
              <w:jc w:val="left"/>
            </w:pPr>
            <w:r>
              <w:t xml:space="preserve">11.5%</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Bacillariophyceae</w:t>
            </w:r>
          </w:p>
        </w:tc>
        <w:tc>
          <w:tcPr/>
          <w:p>
            <w:pPr>
              <w:pStyle w:val="Compact"/>
              <w:jc w:val="left"/>
            </w:pPr>
            <w:r>
              <w:t xml:space="preserve">9.1%</w:t>
            </w:r>
          </w:p>
        </w:tc>
        <w:tc>
          <w:tcPr/>
          <w:p>
            <w:pPr>
              <w:pStyle w:val="Compact"/>
              <w:jc w:val="left"/>
            </w:pPr>
            <w:r>
              <w:t xml:space="preserve">Database artifact at inland site — freshwater</w:t>
            </w:r>
            <w:r>
              <w:t xml:space="preserve"> </w:t>
            </w:r>
            <w:r>
              <w:rPr>
                <w:iCs/>
                <w:i/>
              </w:rPr>
              <w:t xml:space="preserve">Halamphora</w:t>
            </w:r>
            <w:r>
              <w:t xml:space="preserve"> </w:t>
            </w:r>
            <w:r>
              <w:t xml:space="preserve">spp.</w:t>
            </w:r>
          </w:p>
        </w:tc>
      </w:tr>
      <w:tr>
        <w:tc>
          <w:tcPr/>
          <w:p>
            <w:pPr>
              <w:pStyle w:val="Compact"/>
              <w:jc w:val="left"/>
            </w:pPr>
            <w:r>
              <w:rPr>
                <w:iCs/>
                <w:i/>
              </w:rPr>
              <w:t xml:space="preserve">Mougeotia</w:t>
            </w:r>
            <w:r>
              <w:t xml:space="preserve"> </w:t>
            </w:r>
            <w:r>
              <w:t xml:space="preserve">spp.</w:t>
            </w:r>
          </w:p>
        </w:tc>
        <w:tc>
          <w:tcPr/>
          <w:p>
            <w:pPr>
              <w:pStyle w:val="Compact"/>
              <w:jc w:val="left"/>
            </w:pPr>
            <w:r>
              <w:t xml:space="preserve">Zygnemophyceae</w:t>
            </w:r>
          </w:p>
        </w:tc>
        <w:tc>
          <w:tcPr/>
          <w:p>
            <w:pPr>
              <w:pStyle w:val="Compact"/>
              <w:jc w:val="left"/>
            </w:pPr>
            <w:r>
              <w:t xml:space="preserve">4.5%</w:t>
            </w:r>
          </w:p>
        </w:tc>
        <w:tc>
          <w:tcPr/>
          <w:p>
            <w:pPr>
              <w:pStyle w:val="Compact"/>
              <w:jc w:val="left"/>
            </w:pPr>
            <w:r>
              <w:rPr>
                <w:bCs/>
                <w:b/>
              </w:rPr>
              <w:t xml:space="preserve">Cold-acid-water filamentous alga — trout stream associate</w:t>
            </w:r>
          </w:p>
        </w:tc>
      </w:tr>
      <w:tr>
        <w:tc>
          <w:tcPr/>
          <w:p>
            <w:pPr>
              <w:pStyle w:val="Compact"/>
              <w:jc w:val="left"/>
            </w:pPr>
            <w:r>
              <w:t xml:space="preserve">Magnoliopsida (unresolved)</w:t>
            </w:r>
          </w:p>
        </w:tc>
        <w:tc>
          <w:tcPr/>
          <w:p>
            <w:pPr>
              <w:pStyle w:val="Compact"/>
              <w:jc w:val="left"/>
            </w:pPr>
            <w:r>
              <w:t xml:space="preserve">Magnoliopsida</w:t>
            </w:r>
          </w:p>
        </w:tc>
        <w:tc>
          <w:tcPr/>
          <w:p>
            <w:pPr>
              <w:pStyle w:val="Compact"/>
              <w:jc w:val="left"/>
            </w:pPr>
            <w:r>
              <w:t xml:space="preserve">2.8%</w:t>
            </w:r>
          </w:p>
        </w:tc>
        <w:tc>
          <w:tcPr/>
          <w:p>
            <w:pPr>
              <w:pStyle w:val="Compact"/>
              <w:jc w:val="left"/>
            </w:pPr>
            <w:r>
              <w:t xml:space="preserve">True terrestrial input — leaf litter (minor)</w:t>
            </w:r>
          </w:p>
        </w:tc>
      </w:tr>
      <w:tr>
        <w:tc>
          <w:tcPr/>
          <w:p>
            <w:pPr>
              <w:pStyle w:val="Compact"/>
              <w:jc w:val="left"/>
            </w:pPr>
            <w:r>
              <w:t xml:space="preserve">Cyanophyceae (unresolved)</w:t>
            </w:r>
          </w:p>
        </w:tc>
        <w:tc>
          <w:tcPr/>
          <w:p>
            <w:pPr>
              <w:pStyle w:val="Compact"/>
              <w:jc w:val="left"/>
            </w:pPr>
            <w:r>
              <w:t xml:space="preserve">Cyanophyceae</w:t>
            </w:r>
          </w:p>
        </w:tc>
        <w:tc>
          <w:tcPr/>
          <w:p>
            <w:pPr>
              <w:pStyle w:val="Compact"/>
              <w:jc w:val="left"/>
            </w:pPr>
            <w:r>
              <w:t xml:space="preserve">1.6%</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Cryptophyceae</w:t>
            </w:r>
          </w:p>
        </w:tc>
        <w:tc>
          <w:tcPr/>
          <w:p>
            <w:pPr>
              <w:pStyle w:val="Compact"/>
              <w:jc w:val="left"/>
            </w:pPr>
            <w:r>
              <w:t xml:space="preserve">0.9%</w:t>
            </w:r>
          </w:p>
        </w:tc>
        <w:tc>
          <w:tcPr/>
          <w:p>
            <w:pPr>
              <w:pStyle w:val="Compact"/>
              <w:jc w:val="left"/>
            </w:pPr>
            <w:r>
              <w:t xml:space="preserve">Cold-water generalist</w:t>
            </w:r>
          </w:p>
        </w:tc>
      </w:tr>
    </w:tbl>
    <w:bookmarkEnd w:id="150"/>
    <w:bookmarkStart w:id="151" w:name="narrative-18"/>
    <w:p>
      <w:pPr>
        <w:pStyle w:val="Heading3"/>
      </w:pPr>
      <w:r>
        <w:t xml:space="preserve">Narrative</w:t>
      </w:r>
    </w:p>
    <w:p>
      <w:pPr>
        <w:pStyle w:val="FirstParagraph"/>
      </w:pPr>
      <w:r>
        <w:t xml:space="preserve">The algal data at Richardson Stream are low-confidence due to the leaf-fall/rain inhibition event (see QC flag). The dominant signal — 41.6% unresolved Zygnemophyceae — may include organisms washed from wet mosses and soil surfaces during the rain event, in addition to genuinely in-stream filamentous algae. Zygnemophyceae (conjugate algae including</w:t>
      </w:r>
      <w:r>
        <w:t xml:space="preserve"> </w:t>
      </w:r>
      <w:r>
        <w:rPr>
          <w:iCs/>
          <w:i/>
        </w:rPr>
        <w:t xml:space="preserve">Mougeotia</w:t>
      </w:r>
      <w:r>
        <w:t xml:space="preserve">,</w:t>
      </w:r>
      <w:r>
        <w:t xml:space="preserve"> </w:t>
      </w:r>
      <w:r>
        <w:rPr>
          <w:iCs/>
          <w:i/>
        </w:rPr>
        <w:t xml:space="preserve">Spirogyra</w:t>
      </w:r>
      <w:r>
        <w:t xml:space="preserve">,</w:t>
      </w:r>
      <w:r>
        <w:t xml:space="preserve"> </w:t>
      </w:r>
      <w:r>
        <w:rPr>
          <w:iCs/>
          <w:i/>
        </w:rPr>
        <w:t xml:space="preserve">Zygnema</w:t>
      </w:r>
      <w:r>
        <w:t xml:space="preserve">) do live in streams, but many also colonize wet terrestrial and semi-terrestrial substrates; distinguishing in-stream from washed-in organisms is not possible from this sample alone. The resolved</w:t>
      </w:r>
      <w:r>
        <w:t xml:space="preserve"> </w:t>
      </w:r>
      <w:r>
        <w:rPr>
          <w:iCs/>
          <w:i/>
        </w:rPr>
        <w:t xml:space="preserve">Mougeotia</w:t>
      </w:r>
      <w:r>
        <w:t xml:space="preserve"> </w:t>
      </w:r>
      <w:r>
        <w:t xml:space="preserve">(4.5%) is the more reliable ecological signal —</w:t>
      </w:r>
      <w:r>
        <w:t xml:space="preserve"> </w:t>
      </w:r>
      <w:r>
        <w:rPr>
          <w:iCs/>
          <w:i/>
        </w:rPr>
        <w:t xml:space="preserve">Mougeotia</w:t>
      </w:r>
      <w:r>
        <w:t xml:space="preserve"> </w:t>
      </w:r>
      <w:r>
        <w:t xml:space="preserve">at this proportion in a cold headwater confirms soft, slightly acidic, oligotrophic conditions. Cyanobacteria at 1.6% is effectively absent — consistent with oligotrophy. Diatoms (Fragilariophyceae + Bacillariophyceae = 36%) are credible benthic and tychoplanktic signals.</w:t>
      </w:r>
    </w:p>
    <w:p>
      <w:pPr>
        <w:pStyle w:val="BodyText"/>
      </w:pPr>
      <w:r>
        <w:rPr>
          <w:iCs/>
          <w:i/>
        </w:rPr>
        <w:t xml:space="preserve">Halamphora coffeaeformis</w:t>
      </w:r>
      <w:r>
        <w:t xml:space="preserve"> </w:t>
      </w:r>
      <w:r>
        <w:t xml:space="preserve">at 9.1% is a database assignment artifact — Richardson Stream is not tidal.</w:t>
      </w:r>
    </w:p>
    <w:p>
      <w:pPr>
        <w:pStyle w:val="BodyText"/>
      </w:pPr>
      <w:r>
        <w:rPr>
          <w:bCs/>
          <w:b/>
        </w:rPr>
        <w:t xml:space="preserve">The critical finding at this site is in the fish data: Atlantic Salmon at 1.7%</w:t>
      </w:r>
      <w:r>
        <w:t xml:space="preserve"> </w:t>
      </w:r>
      <w:r>
        <w:t xml:space="preserve">— the strongest Atlantic Salmon detection in JVB3988. This is a spawning-run fish in a natal tributary. The fish signal is unaffected by algal library quality issues. Local officials have been made aware of this finding.</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Local officials have been made aware of this finding.</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H(f) = 0.96 · 6 species/genera · 2,223 reads</w:t>
      </w:r>
      <w:r>
        <w:t xml:space="preserve"> </w:t>
      </w:r>
      <w:r>
        <w:rPr>
          <w:bCs/>
          <w:b/>
        </w:rPr>
        <w:t xml:space="preserve">Algae:</w:t>
      </w:r>
      <w:r>
        <w:t xml:space="preserve"> </w:t>
      </w:r>
      <w:r>
        <w:t xml:space="preserve">H(a) =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H(f) =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H(f) =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H(f) =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H(f) =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H(f) = 0.96 · 3 species · ~13,900 reads</w:t>
      </w:r>
      <w:r>
        <w:t xml:space="preserve"> </w:t>
      </w:r>
      <w:r>
        <w:rPr>
          <w:bCs/>
          <w:b/>
        </w:rPr>
        <w:t xml:space="preserve">Algae:</w:t>
      </w:r>
      <w:r>
        <w:t xml:space="preserve"> </w:t>
      </w:r>
      <w:r>
        <w:t xml:space="preserve">H(a) =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H(a) =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53"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(database:</w:t>
      </w:r>
      <w:r>
        <w:rPr>
          <w:bCs/>
          <w:b/>
        </w:rPr>
        <w:t xml:space="preserve"> </w:t>
      </w:r>
      <w:r>
        <w:rPr>
          <w:iCs/>
          <w:i/>
          <w:bCs/>
          <w:b/>
        </w:rPr>
        <w:t xml:space="preserve">Esox lucius</w:t>
      </w:r>
      <w:r>
        <w:rPr>
          <w:bCs/>
          <w:b/>
        </w:rPr>
        <w:t xml:space="preserve">) detected at Second Pond (October 2024) — QC flag: likely native Chain or Redfin Pickerel; MiFish 12S cannot reliably distinguish</w:t>
      </w:r>
      <w:r>
        <w:rPr>
          <w:bCs/>
          <w:b/>
        </w:rPr>
        <w:t xml:space="preserve"> </w:t>
      </w:r>
      <w:r>
        <w:rPr>
          <w:iCs/>
          <w:i/>
          <w:bCs/>
          <w:b/>
        </w:rPr>
        <w:t xml:space="preserve">Esox lucius</w:t>
      </w:r>
      <w:r>
        <w:rPr>
          <w:bCs/>
          <w:b/>
        </w:rPr>
        <w:t xml:space="preserve"> </w:t>
      </w:r>
      <w:r>
        <w:rPr>
          <w:bCs/>
          <w:b/>
        </w:rPr>
        <w:t xml:space="preserve">from native pickerel. Verify by electrofishing before reporting as illegal stocking.</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183"/>
    <w:bookmarkStart w:id="184"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055f5458b6a71e4fc612ad09de4d1b4dce39fce"/>
    <w:p>
      <w:pPr>
        <w:pStyle w:val="Heading2"/>
      </w:pPr>
      <w:r>
        <w:t xml:space="preserve">Lower Golf Course / Sawmill Brook | JVB5776 / C4SUMTFY.1</w:t>
      </w:r>
    </w:p>
    <w:p>
      <w:pPr>
        <w:pStyle w:val="FirstParagraph"/>
      </w:pPr>
      <w:r>
        <w:rPr>
          <w:bCs/>
          <w:b/>
        </w:rPr>
        <w:t xml:space="preserve">Fish: 9 species, H(f) = 1.62 | Algae: 140 ESVs, H(a) =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18"/>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19"/>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3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(corrected — includes all genus-level ESVs; see QC note on cormorant fecal eDNA)</w:t>
      </w:r>
    </w:p>
    <w:bookmarkStart w:id="227" w:name="sentinel-signal-30"/>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227"/>
    <w:bookmarkStart w:id="228"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 genus-level only</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California Killifish — Pacific species; database artifact</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228"/>
    <w:bookmarkStart w:id="229" w:name="qc-note-cormorant-fecal-edna"/>
    <w:p>
      <w:pPr>
        <w:pStyle w:val="Heading3"/>
      </w:pPr>
      <w:r>
        <w:t xml:space="preserve">QC Note — Cormorant Fecal eDNA</w:t>
      </w:r>
    </w:p>
    <w:p>
      <w:pPr>
        <w:pStyle w:val="FirstParagraph"/>
      </w:pPr>
      <w:r>
        <w:t xml:space="preserve">The Atwater site is</w:t>
      </w:r>
      <w:r>
        <w:t xml:space="preserve"> </w:t>
      </w:r>
      <w:r>
        <w:rPr>
          <w:bCs/>
          <w:b/>
        </w:rPr>
        <w:t xml:space="preserve">miles above the tidal zone</w:t>
      </w:r>
      <w:r>
        <w:t xml:space="preserve"> </w:t>
      </w:r>
      <w:r>
        <w:t xml:space="preserve">on Sawmill Brook, a small freshwater stream. The June 8, 2025 sample was taken under low-water, potentially de-watered summer conditions. Three detections are physically incompatible with live fish presence:</w:t>
      </w:r>
    </w:p>
    <w:p>
      <w:pPr>
        <w:pStyle w:val="BodyText"/>
      </w:pPr>
      <w:r>
        <w:rPr>
          <w:bCs/>
          <w:b/>
        </w:rPr>
        <w:t xml:space="preserve">Brevoortia spp. (Menhaden, 176 reads / 1.7%):</w:t>
      </w:r>
      <w:r>
        <w:t xml:space="preserve"> </w:t>
      </w:r>
      <w:r>
        <w:t xml:space="preserve">Menhaden are coastal marine/estuarine schooling fish with no freshwater range anywhere in their biology. 176 reads of menhaden DNA in a mid-watershed Sawmill Brook sample is conclusive evidence of</w:t>
      </w:r>
      <w:r>
        <w:t xml:space="preserve"> </w:t>
      </w:r>
      <w:r>
        <w:rPr>
          <w:bCs/>
          <w:b/>
        </w:rPr>
        <w:t xml:space="preserve">Double-crested Cormorant fecal input</w:t>
      </w:r>
      <w:r>
        <w:t xml:space="preserve"> </w:t>
      </w:r>
      <w:r>
        <w:t xml:space="preserve">— cormorants actively feed on menhaden in Manchester Harbor and the adjacent coast and transit inland waterways, depositing dietary fish DNA via feces.</w:t>
      </w:r>
    </w:p>
    <w:p>
      <w:pPr>
        <w:pStyle w:val="BodyText"/>
      </w:pPr>
      <w:r>
        <w:rPr>
          <w:bCs/>
          <w:b/>
        </w:rPr>
        <w:t xml:space="preserve">Xiphister spp. (marine prickleback, 65 reads / 0.6%):</w:t>
      </w:r>
      <w:r>
        <w:t xml:space="preserve"> </w:t>
      </w:r>
      <w:r>
        <w:t xml:space="preserve">An intertidal rocky-shore species with zero freshwater range. Same interpretation — cormorant or other piscivorous seabird dietary artifact.</w:t>
      </w:r>
    </w:p>
    <w:p>
      <w:pPr>
        <w:pStyle w:val="BodyText"/>
      </w:pPr>
      <w:r>
        <w:rPr>
          <w:bCs/>
          <w:b/>
        </w:rPr>
        <w:t xml:space="preserve">Alosa pseudoharengus (Alewife, 85 reads / 0.8%):</w:t>
      </w:r>
      <w:r>
        <w:t xml:space="preserve"> </w:t>
      </w:r>
      <w:r>
        <w:t xml:space="preserve">Alewife do ascend the lower MBTS system in spring and are confirmed at Second Pond / Cat Brook (Forest Landing). However, the Atwater site is miles above the tidal zone with documented summer dewatering — well beyond where Alewife would appear as live fish in June. The Menhaden signal at the same sample event establishes active cormorant input; the Alewife reads are most parsimoniously explained as cormorant dietary eDNA from the spring coastal run.</w:t>
      </w:r>
    </w:p>
    <w:p>
      <w:pPr>
        <w:pStyle w:val="BodyText"/>
      </w:pPr>
      <w:r>
        <w:rPr>
          <w:bCs/>
          <w:b/>
        </w:rPr>
        <w:t xml:space="preserve">Conclusion:</w:t>
      </w:r>
      <w:r>
        <w:t xml:space="preserve"> </w:t>
      </w:r>
      <w:r>
        <w:t xml:space="preserve">The Menhaden detection is proof-by-elimination of cormorant fecal eDNA at this sampling event. The Alewife signal shares the same source.</w:t>
      </w:r>
      <w:r>
        <w:t xml:space="preserve"> </w:t>
      </w:r>
      <w:r>
        <w:rPr>
          <w:bCs/>
          <w:b/>
        </w:rPr>
        <w:t xml:space="preserve">No authenticated live Alewife in Sawmill Brook at the Atwater reach.</w:t>
      </w:r>
      <w:r>
        <w:t xml:space="preserve"> </w:t>
      </w:r>
      <w:r>
        <w:t xml:space="preserve">This is consistent with the known Alewife distribution in the MBTS watershed — confirmed at Second Pond (the Cat Brook headwater pond at Forest Landing), not reported in mid-watershed freshwater reaches above the tidal zone.</w:t>
      </w:r>
    </w:p>
    <w:bookmarkEnd w:id="229"/>
    <w:bookmarkStart w:id="230" w:name="narrative-30"/>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p>
      <w:r>
        <w:pict>
          <v:rect style="width:0;height:1.5pt" o:hralign="center" o:hrstd="t" o:hr="t"/>
        </w:pict>
      </w:r>
    </w:p>
    <w:p>
      <w:r>
        <w:pict>
          <v:rect style="width:0;height:1.5pt" o:hralign="center" o:hrstd="t" o:hr="t"/>
        </w:pict>
      </w:r>
    </w:p>
    <w:bookmarkEnd w:id="230"/>
    <w:bookmarkEnd w:id="231"/>
    <w:bookmarkStart w:id="238"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232" w:name="sentinel-signal-31"/>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32"/>
    <w:bookmarkStart w:id="233"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33"/>
    <w:bookmarkStart w:id="234"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4"/>
    <w:bookmarkStart w:id="235"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5"/>
    <w:bookmarkStart w:id="236" w:name="narrative-31"/>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6"/>
    <w:bookmarkStart w:id="237"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7"/>
    <w:bookmarkEnd w:id="238"/>
    <w:bookmarkStart w:id="245"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(db:</w:t>
      </w:r>
      <w:r>
        <w:rPr>
          <w:bCs/>
          <w:b/>
        </w:rPr>
        <w:t xml:space="preserve"> </w:t>
      </w:r>
      <w:r>
        <w:rPr>
          <w:iCs/>
          <w:i/>
          <w:bCs/>
          <w:b/>
        </w:rPr>
        <w:t xml:space="preserve">Esox lucius</w:t>
      </w:r>
      <w:r>
        <w:rPr>
          <w:bCs/>
          <w:b/>
        </w:rPr>
        <w:t xml:space="preserve"> </w:t>
      </w:r>
      <w:r>
        <w:rPr>
          <w:bCs/>
          <w:b/>
        </w:rPr>
        <w:t xml:space="preserve">— likely native pickerel; QC flag)</w:t>
      </w:r>
      <w:r>
        <w:t xml:space="preserve"> </w:t>
      </w:r>
      <w:r>
        <w:rPr>
          <w:bCs/>
          <w:b/>
        </w:rPr>
        <w:t xml:space="preserve">Algae:</w:t>
      </w:r>
      <w:r>
        <w:t xml:space="preserve"> </w:t>
      </w:r>
      <w:r>
        <w:t xml:space="preserve">H(a) = 1.72 · 11 ESVs · 19,939 reads</w:t>
      </w:r>
    </w:p>
    <w:bookmarkStart w:id="239" w:name="sentinel-signal-32"/>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(database assignment:</w:t>
      </w:r>
      <w:r>
        <w:rPr>
          <w:bCs/>
          <w:b/>
        </w:rPr>
        <w:t xml:space="preserve"> </w:t>
      </w:r>
      <w:r>
        <w:rPr>
          <w:iCs/>
          <w:i/>
          <w:bCs/>
          <w:b/>
        </w:rPr>
        <w:t xml:space="preserve">Esox lucius</w:t>
      </w:r>
      <w:r>
        <w:rPr>
          <w:bCs/>
          <w:b/>
        </w:rPr>
        <w:t xml:space="preserve">) detected at 1.5% — species-level call considered anomalous; see fish community QC note.</w:t>
      </w:r>
    </w:p>
    <w:bookmarkEnd w:id="239"/>
    <w:bookmarkStart w:id="240" w:name="inferred-water-chemistry-2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40"/>
    <w:bookmarkStart w:id="241"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(db:</w:t>
            </w:r>
            <w:r>
              <w:t xml:space="preserve"> </w:t>
            </w:r>
            <w:r>
              <w:rPr>
                <w:iCs/>
                <w:i/>
              </w:rPr>
              <w:t xml:space="preserve">Esox lucius</w:t>
            </w:r>
            <w:r>
              <w:t xml:space="preserve">)</w:t>
            </w:r>
          </w:p>
        </w:tc>
        <w:tc>
          <w:tcPr/>
          <w:p>
            <w:pPr>
              <w:pStyle w:val="Compact"/>
              <w:jc w:val="left"/>
            </w:pPr>
            <w:r>
              <w:rPr>
                <w:bCs/>
                <w:b/>
              </w:rPr>
              <w:t xml:space="preserve">1.5%</w:t>
            </w:r>
          </w:p>
        </w:tc>
        <w:tc>
          <w:tcPr/>
          <w:p>
            <w:pPr>
              <w:pStyle w:val="Compact"/>
              <w:jc w:val="left"/>
            </w:pPr>
            <w:r>
              <w:rPr>
                <w:bCs/>
                <w:b/>
              </w:rPr>
              <w:t xml:space="preserve">QC flag — likely Chain or Redfin Pickerel (native);</w:t>
            </w:r>
            <w:r>
              <w:rPr>
                <w:bCs/>
                <w:b/>
              </w:rPr>
              <w:t xml:space="preserve"> </w:t>
            </w:r>
            <w:r>
              <w:rPr>
                <w:iCs/>
                <w:i/>
                <w:bCs/>
                <w:b/>
              </w:rPr>
              <w:t xml:space="preserve">Esox lucius</w:t>
            </w:r>
            <w:r>
              <w:rPr>
                <w:bCs/>
                <w:b/>
              </w:rPr>
              <w:t xml:space="preserve"> </w:t>
            </w:r>
            <w:r>
              <w:rPr>
                <w:bCs/>
                <w:b/>
              </w:rPr>
              <w:t xml:space="preserve">assignment anomalous for this habitat; verify by electrofishing before reporting</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41"/>
    <w:bookmarkStart w:id="242"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42"/>
    <w:bookmarkStart w:id="243" w:name="narrative-32"/>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 The</w:t>
      </w:r>
      <w:r>
        <w:t xml:space="preserve"> </w:t>
      </w:r>
      <w:r>
        <w:rPr>
          <w:iCs/>
          <w:i/>
        </w:rPr>
        <w:t xml:space="preserve">Esox</w:t>
      </w:r>
      <w:r>
        <w:t xml:space="preserve"> </w:t>
      </w:r>
      <w:r>
        <w:t xml:space="preserve">spp. detection (1.5%, database-assigned to</w:t>
      </w:r>
      <w:r>
        <w:t xml:space="preserve"> </w:t>
      </w:r>
      <w:r>
        <w:rPr>
          <w:iCs/>
          <w:i/>
        </w:rPr>
        <w:t xml:space="preserve">Esox lucius</w:t>
      </w:r>
      <w:r>
        <w:t xml:space="preserve">) is treated as a QC flag — MiFish 12S resolution within the</w:t>
      </w:r>
      <w:r>
        <w:t xml:space="preserve"> </w:t>
      </w:r>
      <w:r>
        <w:rPr>
          <w:iCs/>
          <w:i/>
        </w:rPr>
        <w:t xml:space="preserve">Esox</w:t>
      </w:r>
      <w:r>
        <w:t xml:space="preserve"> </w:t>
      </w:r>
      <w:r>
        <w:t xml:space="preserve">genus does not reliably distinguish Northern Pike from Chain Pickerel (</w:t>
      </w:r>
      <w:r>
        <w:rPr>
          <w:iCs/>
          <w:i/>
        </w:rPr>
        <w:t xml:space="preserve">Esox niger</w:t>
      </w:r>
      <w:r>
        <w:t xml:space="preserve">) or Redfin Pickerel (</w:t>
      </w:r>
      <w:r>
        <w:rPr>
          <w:iCs/>
          <w:i/>
        </w:rPr>
        <w:t xml:space="preserve">Esox americanus</w:t>
      </w:r>
      <w:r>
        <w:t xml:space="preserve">), both of which are native to coastal Massachusetts pond systems. The species-level assignment to</w:t>
      </w:r>
      <w:r>
        <w:t xml:space="preserve"> </w:t>
      </w:r>
      <w:r>
        <w:rPr>
          <w:iCs/>
          <w:i/>
        </w:rPr>
        <w:t xml:space="preserve">Esox lucius</w:t>
      </w:r>
      <w:r>
        <w:t xml:space="preserve"> </w:t>
      </w:r>
      <w:r>
        <w:t xml:space="preserve">(Northern Pike) is anomalous for this habitat and should not be acted upon without verification by electrofishing or species-specific PCR.</w:t>
      </w:r>
    </w:p>
    <w:bookmarkEnd w:id="243"/>
    <w:bookmarkStart w:id="244" w:name="native-vs.-non-native-29"/>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likely native pickerel (Chain or Redfin); Northern Pike (</w:t>
      </w:r>
      <w:r>
        <w:rPr>
          <w:iCs/>
          <w:i/>
        </w:rPr>
        <w:t xml:space="preserve">Esox lucius</w:t>
      </w:r>
      <w:r>
        <w:t xml:space="preserve">) cannot be confirmed from this barcode alone. Do not report as non-native without electrofishing verification.</w:t>
      </w:r>
    </w:p>
    <w:p>
      <w:r>
        <w:pict>
          <v:rect style="width:0;height:1.5pt" o:hralign="center" o:hrstd="t" o:hr="t"/>
        </w:pict>
      </w:r>
    </w:p>
    <w:p>
      <w:r>
        <w:pict>
          <v:rect style="width:0;height:1.5pt" o:hralign="center" o:hrstd="t" o:hr="t"/>
        </w:pict>
      </w:r>
    </w:p>
    <w:bookmarkEnd w:id="244"/>
    <w:bookmarkEnd w:id="245"/>
    <w:bookmarkStart w:id="252"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246" w:name="sentinel-signal-33"/>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6"/>
    <w:bookmarkStart w:id="247" w:name="inferred-water-chemistry-2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7"/>
    <w:bookmarkStart w:id="248"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8"/>
    <w:bookmarkStart w:id="249"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9"/>
    <w:bookmarkStart w:id="250" w:name="narrative-33"/>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50"/>
    <w:bookmarkStart w:id="251"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51"/>
    <w:bookmarkEnd w:id="252"/>
    <w:bookmarkEnd w:id="253"/>
    <w:bookmarkStart w:id="259"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8"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H(f) = 0.44 · 11 species |</w:t>
      </w:r>
      <w:r>
        <w:t xml:space="preserve"> </w:t>
      </w:r>
      <w:r>
        <w:rPr>
          <w:bCs/>
          <w:b/>
        </w:rPr>
        <w:t xml:space="preserve">Algae:</w:t>
      </w:r>
      <w:r>
        <w:t xml:space="preserve"> </w:t>
      </w:r>
      <w:r>
        <w:t xml:space="preserve">H(a) = 4.05 · 3,484 reads</w:t>
      </w:r>
    </w:p>
    <w:p>
      <w:pPr>
        <w:pStyle w:val="BodyText"/>
      </w:pPr>
      <w:r>
        <w:rPr>
          <w:bCs/>
          <w:b/>
        </w:rPr>
        <w:t xml:space="preserve">Site location note:</w:t>
      </w:r>
      <w:r>
        <w:t xml:space="preserve"> </w:t>
      </w:r>
      <w:r>
        <w:t xml:space="preserve">Third Herring Brook is in Norwell/Hanover on the South Shore — not Cape Cod.</w:t>
      </w:r>
    </w:p>
    <w:bookmarkStart w:id="254" w:name="sentinel-signal-34"/>
    <w:p>
      <w:pPr>
        <w:pStyle w:val="Heading3"/>
      </w:pPr>
      <w:r>
        <w:t xml:space="preserve">Sentinel Signal</w:t>
      </w:r>
    </w:p>
    <w:p>
      <w:pPr>
        <w:pStyle w:val="FirstParagraph"/>
      </w:pPr>
      <w:r>
        <w:t xml:space="preserve">Sunfish 90.5% in August = extreme warm-water thermal stress. Brook Trout trace only. Algal community (H(a) = 4.05) is surprisingly diverse and healthy — the low fish diversity is thermal, not chemical.</w:t>
      </w:r>
      <w:r>
        <w:t xml:space="preserve"> </w:t>
      </w:r>
      <w:r>
        <w:rPr>
          <w:bCs/>
          <w:b/>
        </w:rPr>
        <w:t xml:space="preserve">Priority resample: October/November.</w:t>
      </w:r>
    </w:p>
    <w:bookmarkEnd w:id="254"/>
    <w:bookmarkStart w:id="255"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5"/>
    <w:bookmarkStart w:id="256" w:name="narrative-34"/>
    <w:p>
      <w:pPr>
        <w:pStyle w:val="Heading3"/>
      </w:pPr>
      <w:r>
        <w:t xml:space="preserve">Narrative</w:t>
      </w:r>
    </w:p>
    <w:p>
      <w:pPr>
        <w:pStyle w:val="FirstParagraph"/>
      </w:pPr>
      <w:r>
        <w:t xml:space="preserve">Third Herring Brook (THB) in August is Sunfish-dominated at 90.5% — an extreme warm-water community signature in high summer. H(f) =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H(a) = 4.05 indicates a functionally diverse algal community that does not match the collapsed fish diversity. The disconnect between algal and fish diversity suggests the low fish H(f) 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6"/>
    <w:bookmarkStart w:id="257"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7"/>
    <w:bookmarkEnd w:id="258"/>
    <w:bookmarkEnd w:id="259"/>
    <w:bookmarkStart w:id="320"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east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5"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H(f) = 1.84 · 16 species |</w:t>
      </w:r>
      <w:r>
        <w:t xml:space="preserve"> </w:t>
      </w:r>
      <w:r>
        <w:rPr>
          <w:bCs/>
          <w:b/>
        </w:rPr>
        <w:t xml:space="preserve">Algae:</w:t>
      </w:r>
      <w:r>
        <w:t xml:space="preserve"> </w:t>
      </w:r>
      <w:r>
        <w:t xml:space="preserve">H(a) = 4.20 · 4,659 reads</w:t>
      </w:r>
    </w:p>
    <w:bookmarkStart w:id="260" w:name="sentinel-signal-35"/>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60"/>
    <w:bookmarkStart w:id="261"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61"/>
    <w:bookmarkStart w:id="262" w:name="narrative-35"/>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62"/>
    <w:bookmarkStart w:id="263"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63"/>
    <w:bookmarkStart w:id="264"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4"/>
    <w:bookmarkEnd w:id="265"/>
    <w:bookmarkStart w:id="271"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H(f) = 1.17 · 11 species |</w:t>
      </w:r>
      <w:r>
        <w:t xml:space="preserve"> </w:t>
      </w:r>
      <w:r>
        <w:rPr>
          <w:bCs/>
          <w:b/>
        </w:rPr>
        <w:t xml:space="preserve">Algae:</w:t>
      </w:r>
      <w:r>
        <w:t xml:space="preserve"> </w:t>
      </w:r>
      <w:r>
        <w:t xml:space="preserve">H(a) =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6" w:name="sentinel-signal-36"/>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6"/>
    <w:bookmarkStart w:id="267"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7"/>
    <w:bookmarkStart w:id="268" w:name="narrative-36"/>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8"/>
    <w:bookmarkStart w:id="269"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9"/>
    <w:bookmarkStart w:id="270"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70"/>
    <w:bookmarkEnd w:id="271"/>
    <w:bookmarkStart w:id="277"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H(f) = 0.95 · 4 species |</w:t>
      </w:r>
      <w:r>
        <w:t xml:space="preserve"> </w:t>
      </w:r>
      <w:r>
        <w:rPr>
          <w:bCs/>
          <w:b/>
        </w:rPr>
        <w:t xml:space="preserve">Algae:</w:t>
      </w:r>
      <w:r>
        <w:t xml:space="preserve"> </w:t>
      </w:r>
      <w:r>
        <w:t xml:space="preserve">H(a) =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72" w:name="sentinel-signal-37"/>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72"/>
    <w:bookmarkStart w:id="273"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73"/>
    <w:bookmarkStart w:id="274" w:name="narrative-37"/>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4"/>
    <w:bookmarkStart w:id="275"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5"/>
    <w:bookmarkStart w:id="276"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6"/>
    <w:bookmarkEnd w:id="277"/>
    <w:bookmarkStart w:id="282"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H(f) = 0.90 · 9 species |</w:t>
      </w:r>
      <w:r>
        <w:t xml:space="preserve"> </w:t>
      </w:r>
      <w:r>
        <w:rPr>
          <w:bCs/>
          <w:b/>
        </w:rPr>
        <w:t xml:space="preserve">Algae:</w:t>
      </w:r>
      <w:r>
        <w:t xml:space="preserve"> </w:t>
      </w:r>
      <w:r>
        <w:t xml:space="preserve">H(a) = 2.76 · 8,285 reads</w:t>
      </w:r>
    </w:p>
    <w:bookmarkStart w:id="278" w:name="sentinel-signal-38"/>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8"/>
    <w:bookmarkStart w:id="279" w:name="narrative-38"/>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9"/>
    <w:bookmarkStart w:id="280"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80"/>
    <w:bookmarkStart w:id="281"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81"/>
    <w:bookmarkEnd w:id="282"/>
    <w:bookmarkStart w:id="288"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H(f) = 1.56 · 12 species |</w:t>
      </w:r>
      <w:r>
        <w:t xml:space="preserve"> </w:t>
      </w:r>
      <w:r>
        <w:rPr>
          <w:bCs/>
          <w:b/>
        </w:rPr>
        <w:t xml:space="preserve">Algae:</w:t>
      </w:r>
      <w:r>
        <w:t xml:space="preserve"> </w:t>
      </w:r>
      <w:r>
        <w:t xml:space="preserve">H(a) = 3.38 · 5,328 reads</w:t>
      </w:r>
    </w:p>
    <w:bookmarkStart w:id="283" w:name="sentinel-signal-39"/>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83"/>
    <w:bookmarkStart w:id="284"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4"/>
    <w:bookmarkStart w:id="285" w:name="narrative-39"/>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5"/>
    <w:bookmarkStart w:id="286"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6"/>
    <w:bookmarkStart w:id="287"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7"/>
    <w:bookmarkEnd w:id="288"/>
    <w:bookmarkStart w:id="294"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H(f) = 1.47 · 10 species |</w:t>
      </w:r>
      <w:r>
        <w:t xml:space="preserve"> </w:t>
      </w:r>
      <w:r>
        <w:rPr>
          <w:bCs/>
          <w:b/>
        </w:rPr>
        <w:t xml:space="preserve">Algae:</w:t>
      </w:r>
      <w:r>
        <w:t xml:space="preserve"> </w:t>
      </w:r>
      <w:r>
        <w:t xml:space="preserve">H(a) = 2.82 · 3,942 reads</w:t>
      </w:r>
    </w:p>
    <w:bookmarkStart w:id="289" w:name="sentinel-signal-40"/>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9"/>
    <w:bookmarkStart w:id="290"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90"/>
    <w:bookmarkStart w:id="291" w:name="narrative-40"/>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91"/>
    <w:bookmarkStart w:id="292"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H(a) = 2.82. Soft-water, tidal-influenced community at the freshwater-estuary interface.</w:t>
      </w:r>
    </w:p>
    <w:bookmarkEnd w:id="292"/>
    <w:bookmarkStart w:id="293"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93"/>
    <w:bookmarkEnd w:id="294"/>
    <w:bookmarkStart w:id="295"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5"/>
    <w:bookmarkStart w:id="301"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H(f) = 1.27 · 19 species |</w:t>
      </w:r>
      <w:r>
        <w:t xml:space="preserve"> </w:t>
      </w:r>
      <w:r>
        <w:rPr>
          <w:bCs/>
          <w:b/>
        </w:rPr>
        <w:t xml:space="preserve">Algae:</w:t>
      </w:r>
      <w:r>
        <w:t xml:space="preserve"> </w:t>
      </w:r>
      <w:r>
        <w:t xml:space="preserve">H(a) = 4.71 · 32,385 reads</w:t>
      </w:r>
    </w:p>
    <w:bookmarkStart w:id="296" w:name="sentinel-signal-41"/>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H(a) = 4.71 = highest algal Shannon diversity in this batch.</w:t>
      </w:r>
    </w:p>
    <w:bookmarkEnd w:id="296"/>
    <w:bookmarkStart w:id="297"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7"/>
    <w:bookmarkStart w:id="298" w:name="narrative-41"/>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8"/>
    <w:bookmarkStart w:id="299"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H(a) = 4.71 — highest algal Shannon diversity in JVB4307. The large unresolved fraction (40.5%) reflects marine phytoplankton entering on flood tides — taxa present in the water but absent from the freshwater-oriented 23S reference database.</w:t>
      </w:r>
    </w:p>
    <w:bookmarkEnd w:id="299"/>
    <w:bookmarkStart w:id="300"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300"/>
    <w:bookmarkEnd w:id="301"/>
    <w:bookmarkStart w:id="307" w:name="X2195623c87c8a7a54ee22d302639f1f2b2bbf9e"/>
    <w:p>
      <w:pPr>
        <w:pStyle w:val="Heading2"/>
      </w:pPr>
      <w:r>
        <w:t xml:space="preserve">Fresh Brook Area — Water near Raccoon Fecal Deposit | JVB4279 / S100177.1 | Date Unknown</w:t>
      </w:r>
    </w:p>
    <w:p>
      <w:pPr>
        <w:pStyle w:val="FirstParagraph"/>
      </w:pPr>
      <w:r>
        <w:rPr>
          <w:bCs/>
          <w:b/>
        </w:rPr>
        <w:t xml:space="preserve">Fish (MiFish 12S):</w:t>
      </w:r>
      <w:r>
        <w:t xml:space="preserve"> </w:t>
      </w:r>
      <w:r>
        <w:t xml:space="preserve">H(f) = 0.04 · 2 species · 57,855 fish reads</w:t>
      </w:r>
      <w:r>
        <w:t xml:space="preserve"> </w:t>
      </w:r>
      <w:r>
        <w:rPr>
          <w:bCs/>
          <w:b/>
        </w:rPr>
        <w:t xml:space="preserve">Invertebrates (UniCOI COI):</w:t>
      </w:r>
      <w:r>
        <w:t xml:space="preserve"> </w:t>
      </w:r>
      <w:r>
        <w:t xml:space="preserve">Green Crab 42% · Fiddler Crab ~22% · Geotrichum 30% · hookworm 1.1%</w:t>
      </w:r>
    </w:p>
    <w:bookmarkStart w:id="302" w:name="context"/>
    <w:p>
      <w:pPr>
        <w:pStyle w:val="Heading3"/>
      </w:pPr>
      <w:r>
        <w:t xml:space="preserve">Context</w:t>
      </w:r>
    </w:p>
    <w:p>
      <w:pPr>
        <w:pStyle w:val="FirstParagraph"/>
      </w:pPr>
      <w:r>
        <w:t xml:space="preserve">This sample was collected near a fecal deposit in the Fresh Brook area, at a location where otter toilets are common. The sample was subsequently determined to be</w:t>
      </w:r>
      <w:r>
        <w:t xml:space="preserve"> </w:t>
      </w:r>
      <w:r>
        <w:rPr>
          <w:bCs/>
          <w:b/>
        </w:rPr>
        <w:t xml:space="preserve">raccoon scat</w:t>
      </w:r>
      <w:r>
        <w:t xml:space="preserve"> </w:t>
      </w:r>
      <w:r>
        <w:t xml:space="preserve">(</w:t>
      </w:r>
      <w:r>
        <w:rPr>
          <w:iCs/>
          <w:i/>
        </w:rPr>
        <w:t xml:space="preserve">Procyon lotor</w:t>
      </w:r>
      <w:r>
        <w:t xml:space="preserve">) — not otter — confirmed by the 32,132 reads of raccoon DNA in the MiFish panel. No River Otter (</w:t>
      </w:r>
      <w:r>
        <w:rPr>
          <w:iCs/>
          <w:i/>
        </w:rPr>
        <w:t xml:space="preserve">Lontra canadensis</w:t>
      </w:r>
      <w:r>
        <w:t xml:space="preserve">) has been confirmed anywhere in this dataset by eDNA testing. Two barcode panels were run: MiFish 12S (fish DNA in adjacent water) and UniCOI (invertebrate COI from fecal material).</w:t>
      </w:r>
    </w:p>
    <w:bookmarkEnd w:id="302"/>
    <w:bookmarkStart w:id="303" w:name="sentinel-signal-42"/>
    <w:p>
      <w:pPr>
        <w:pStyle w:val="Heading3"/>
      </w:pPr>
      <w:r>
        <w:t xml:space="preserve">Sentinel Signal</w:t>
      </w:r>
    </w:p>
    <w:p>
      <w:pPr>
        <w:pStyle w:val="FirstParagraph"/>
      </w:pPr>
      <w:r>
        <w:t xml:space="preserve">MiFish fish community:</w:t>
      </w:r>
      <w:r>
        <w:t xml:space="preserve"> </w:t>
      </w:r>
      <w:r>
        <w:rPr>
          <w:bCs/>
          <w:b/>
        </w:rPr>
        <w:t xml:space="preserve">American Eel 99.3%</w:t>
      </w:r>
      <w:r>
        <w:t xml:space="preserve"> </w:t>
      </w:r>
      <w:r>
        <w:t xml:space="preserve">+ Fourspine Stickleback 0.7%. This is the fish community at a tidal freshwater reach of Fresh Brook — Eel dominance indicates a tidal pool or slow estuarine reach where Eels concentrate. Fourspine Stickleback confirms tidal zone proximity. No Alewife, Blueback Herring, or</w:t>
      </w:r>
      <w:r>
        <w:t xml:space="preserve"> </w:t>
      </w:r>
      <w:r>
        <w:rPr>
          <w:iCs/>
          <w:i/>
        </w:rPr>
        <w:t xml:space="preserve">Alosa</w:t>
      </w:r>
      <w:r>
        <w:t xml:space="preserve"> </w:t>
      </w:r>
      <w:r>
        <w:t xml:space="preserve">spp. detected.</w:t>
      </w:r>
    </w:p>
    <w:bookmarkEnd w:id="303"/>
    <w:bookmarkStart w:id="304" w:name="mifish-fish-community"/>
    <w:p>
      <w:pPr>
        <w:pStyle w:val="Heading3"/>
      </w:pPr>
      <w:r>
        <w:t xml:space="preserve">MiFish 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Tidal freshwater — characteristic Eel concentration</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Tidal reach indicator</w:t>
            </w:r>
          </w:p>
        </w:tc>
      </w:tr>
      <w:tr>
        <w:tc>
          <w:tcPr/>
          <w:p>
            <w:pPr>
              <w:pStyle w:val="Compact"/>
              <w:jc w:val="left"/>
            </w:pPr>
            <w:r>
              <w:rPr>
                <w:iCs/>
                <w:i/>
              </w:rPr>
              <w:t xml:space="preserve">Alosa</w:t>
            </w:r>
            <w:r>
              <w:t xml:space="preserve"> </w:t>
            </w:r>
            <w:r>
              <w:t xml:space="preserve">spp. — Alewife / Blueback Herring</w:t>
            </w:r>
          </w:p>
        </w:tc>
        <w:tc>
          <w:tcPr/>
          <w:p>
            <w:pPr>
              <w:pStyle w:val="Compact"/>
              <w:jc w:val="left"/>
            </w:pPr>
            <w:r>
              <w:rPr>
                <w:bCs/>
                <w:b/>
              </w:rPr>
              <w:t xml:space="preserve">0%</w:t>
            </w:r>
          </w:p>
        </w:tc>
        <w:tc>
          <w:tcPr/>
          <w:p>
            <w:pPr>
              <w:pStyle w:val="Compact"/>
              <w:jc w:val="left"/>
            </w:pPr>
            <w:r>
              <w:t xml:space="preserve">Not detected</w:t>
            </w:r>
          </w:p>
        </w:tc>
      </w:tr>
    </w:tbl>
    <w:p>
      <w:pPr>
        <w:pStyle w:val="BodyText"/>
      </w:pPr>
      <w:r>
        <w:rPr>
          <w:iCs/>
          <w:i/>
        </w:rPr>
        <w:t xml:space="preserve">Non-target 12S reads (excluded from fish analysis): Procyon lotor (Raccoon) 32,132 reads = confirmed raccoon fecal input; Sus scrofa 655 reads = likely Muskrat or Beaver (JVB database interpretation).</w:t>
      </w:r>
    </w:p>
    <w:bookmarkEnd w:id="304"/>
    <w:bookmarkStart w:id="305" w:name="X6aed4b7db94a2755f37d244bcff90a08caef765"/>
    <w:p>
      <w:pPr>
        <w:pStyle w:val="Heading3"/>
      </w:pPr>
      <w:r>
        <w:t xml:space="preserve">UniCOI Invertebrate Community (Raccoon Fecal Diet — COI panel)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Taxon</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Carcinus maenas</w:t>
            </w:r>
            <w:r>
              <w:t xml:space="preserve"> </w:t>
            </w:r>
            <w:r>
              <w:t xml:space="preserve">— European Green Crab</w:t>
            </w:r>
          </w:p>
        </w:tc>
        <w:tc>
          <w:tcPr/>
          <w:p>
            <w:pPr>
              <w:pStyle w:val="Compact"/>
              <w:jc w:val="left"/>
            </w:pPr>
            <w:r>
              <w:t xml:space="preserve">42%</w:t>
            </w:r>
          </w:p>
        </w:tc>
        <w:tc>
          <w:tcPr/>
          <w:p>
            <w:pPr>
              <w:pStyle w:val="Compact"/>
              <w:jc w:val="left"/>
            </w:pPr>
            <w:r>
              <w:rPr>
                <w:bCs/>
                <w:b/>
              </w:rPr>
              <w:t xml:space="preserve">Raccoon tidal flat foraging — invasive species</w:t>
            </w:r>
          </w:p>
        </w:tc>
      </w:tr>
      <w:tr>
        <w:tc>
          <w:tcPr/>
          <w:p>
            <w:pPr>
              <w:pStyle w:val="Compact"/>
              <w:jc w:val="left"/>
            </w:pPr>
            <w:r>
              <w:rPr>
                <w:iCs/>
                <w:i/>
              </w:rPr>
              <w:t xml:space="preserve">Minuca pugnax</w:t>
            </w:r>
            <w:r>
              <w:t xml:space="preserve"> </w:t>
            </w:r>
            <w:r>
              <w:t xml:space="preserve">— Atlantic Marsh Fiddler Crab</w:t>
            </w:r>
          </w:p>
        </w:tc>
        <w:tc>
          <w:tcPr/>
          <w:p>
            <w:pPr>
              <w:pStyle w:val="Compact"/>
              <w:jc w:val="left"/>
            </w:pPr>
            <w:r>
              <w:t xml:space="preserve">~22%</w:t>
            </w:r>
          </w:p>
        </w:tc>
        <w:tc>
          <w:tcPr/>
          <w:p>
            <w:pPr>
              <w:pStyle w:val="Compact"/>
              <w:jc w:val="left"/>
            </w:pPr>
            <w:r>
              <w:t xml:space="preserve">Raccoon tidal flat foraging — native</w:t>
            </w:r>
          </w:p>
        </w:tc>
      </w:tr>
      <w:tr>
        <w:tc>
          <w:tcPr/>
          <w:p>
            <w:pPr>
              <w:pStyle w:val="Compact"/>
              <w:jc w:val="left"/>
            </w:pPr>
            <w:r>
              <w:rPr>
                <w:iCs/>
                <w:i/>
              </w:rPr>
              <w:t xml:space="preserve">Geotrichum candidum</w:t>
            </w:r>
            <w:r>
              <w:t xml:space="preserve"> </w:t>
            </w:r>
            <w:r>
              <w:t xml:space="preserve">— Fecal yeast</w:t>
            </w:r>
          </w:p>
        </w:tc>
        <w:tc>
          <w:tcPr/>
          <w:p>
            <w:pPr>
              <w:pStyle w:val="Compact"/>
              <w:jc w:val="left"/>
            </w:pPr>
            <w:r>
              <w:t xml:space="preserve">30%</w:t>
            </w:r>
          </w:p>
        </w:tc>
        <w:tc>
          <w:tcPr/>
          <w:p>
            <w:pPr>
              <w:pStyle w:val="Compact"/>
              <w:jc w:val="left"/>
            </w:pPr>
            <w:r>
              <w:t xml:space="preserve">Commensal fecal yeast — confirms fecal sample origin</w:t>
            </w:r>
          </w:p>
        </w:tc>
      </w:tr>
      <w:tr>
        <w:tc>
          <w:tcPr/>
          <w:p>
            <w:pPr>
              <w:pStyle w:val="Compact"/>
              <w:jc w:val="left"/>
            </w:pPr>
            <w:r>
              <w:rPr>
                <w:iCs/>
                <w:i/>
              </w:rPr>
              <w:t xml:space="preserve">Necator americanus</w:t>
            </w:r>
            <w:r>
              <w:t xml:space="preserve"> </w:t>
            </w:r>
            <w:r>
              <w:t xml:space="preserve">— Hookworm</w:t>
            </w:r>
          </w:p>
        </w:tc>
        <w:tc>
          <w:tcPr/>
          <w:p>
            <w:pPr>
              <w:pStyle w:val="Compact"/>
              <w:jc w:val="left"/>
            </w:pPr>
            <w:r>
              <w:t xml:space="preserve">1.1%</w:t>
            </w:r>
          </w:p>
        </w:tc>
        <w:tc>
          <w:tcPr/>
          <w:p>
            <w:pPr>
              <w:pStyle w:val="Compact"/>
              <w:jc w:val="left"/>
            </w:pPr>
            <w:r>
              <w:t xml:space="preserve">Likely database artifact</w:t>
            </w:r>
          </w:p>
        </w:tc>
      </w:tr>
    </w:tbl>
    <w:bookmarkEnd w:id="305"/>
    <w:bookmarkStart w:id="306" w:name="narrative-42"/>
    <w:p>
      <w:pPr>
        <w:pStyle w:val="Heading3"/>
      </w:pPr>
      <w:r>
        <w:t xml:space="preserve">Narrative</w:t>
      </w:r>
    </w:p>
    <w:p>
      <w:pPr>
        <w:pStyle w:val="FirstParagraph"/>
      </w:pPr>
      <w:r>
        <w:t xml:space="preserve">The MiFish data characterize the fish community at the Fresh Brook tidal reach: American Eel at 99.3% is consistent with a tidal pool or estuarine backwater where Eels aggregate. Fourspine Stickleback confirms proximity to the tidal zone. The Raccoon DNA (32,132 reads, confirmed</w:t>
      </w:r>
      <w:r>
        <w:t xml:space="preserve"> </w:t>
      </w:r>
      <w:r>
        <w:rPr>
          <w:iCs/>
          <w:i/>
        </w:rPr>
        <w:t xml:space="preserve">Procyon lotor</w:t>
      </w:r>
      <w:r>
        <w:t xml:space="preserve">) represents fecal contamination of the water sample at the collection point — raccoon latrine at or immediately adjacent to the sample location.</w:t>
      </w:r>
    </w:p>
    <w:p>
      <w:pPr>
        <w:pStyle w:val="BodyText"/>
      </w:pPr>
      <w:r>
        <w:t xml:space="preserve">The UniCOI panel characterizes raccoon diet from the fecal material: European Green Crab (42%) and Atlantic Marsh Fiddler Crab (~22%) — raccoons are documented tidal flat foragers and regularly consume crabs.</w:t>
      </w:r>
      <w:r>
        <w:t xml:space="preserve"> </w:t>
      </w:r>
      <w:r>
        <w:rPr>
          <w:iCs/>
          <w:i/>
        </w:rPr>
        <w:t xml:space="preserve">Geotrichum candidum</w:t>
      </w:r>
      <w:r>
        <w:t xml:space="preserve"> </w:t>
      </w:r>
      <w:r>
        <w:t xml:space="preserve">(30%) is a commensal fecal yeast that confirms the sample was genuine fecal material.</w:t>
      </w:r>
      <w:r>
        <w:t xml:space="preserve"> </w:t>
      </w:r>
      <w:r>
        <w:rPr>
          <w:iCs/>
          <w:i/>
        </w:rPr>
        <w:t xml:space="preserve">Necator americanus</w:t>
      </w:r>
      <w:r>
        <w:t xml:space="preserve"> </w:t>
      </w:r>
      <w:r>
        <w:t xml:space="preserve">(1.1%) is a human hookworm; its detection at this level is likely a database assignment artifact.</w:t>
      </w:r>
    </w:p>
    <w:p>
      <w:pPr>
        <w:pStyle w:val="BodyText"/>
      </w:pPr>
      <w:r>
        <w:t xml:space="preserve">The</w:t>
      </w:r>
      <w:r>
        <w:t xml:space="preserve"> </w:t>
      </w:r>
      <w:r>
        <w:rPr>
          <w:iCs/>
          <w:i/>
        </w:rPr>
        <w:t xml:space="preserve">Sus scrofa</w:t>
      </w:r>
      <w:r>
        <w:t xml:space="preserve"> </w:t>
      </w:r>
      <w:r>
        <w:t xml:space="preserve">assignment (655 reads) in the MiFish panel is interpreted per JVB protocol as likely Muskrat (</w:t>
      </w:r>
      <w:r>
        <w:rPr>
          <w:iCs/>
          <w:i/>
        </w:rPr>
        <w:t xml:space="preserve">Ondatra zibethicus</w:t>
      </w:r>
      <w:r>
        <w:t xml:space="preserve">) or Beaver (</w:t>
      </w:r>
      <w:r>
        <w:rPr>
          <w:iCs/>
          <w:i/>
        </w:rPr>
        <w:t xml:space="preserve">Castor canadensis</w:t>
      </w:r>
      <w:r>
        <w:t xml:space="preserve">) — semi-aquatic rodents whose 12S sequences resolve to Suidae in the reference database due to database gaps.</w:t>
      </w:r>
    </w:p>
    <w:p>
      <w:pPr>
        <w:pStyle w:val="BodyText"/>
      </w:pPr>
      <w:r>
        <w:t xml:space="preserve">Ecological interpretation of the fish community is unreliable: raccoon fecal contamination (36% of raw library) may have suppressed detection of less-abundant fish species via competitive PCR inhibition. The Eel signal (99.3%) is almost certainly real, but the apparent impoverishment to only 2 species should not be taken as the true fish community at this reach.</w:t>
      </w:r>
    </w:p>
    <w:p>
      <w:r>
        <w:pict>
          <v:rect style="width:0;height:1.5pt" o:hralign="center" o:hrstd="t" o:hr="t"/>
        </w:pict>
      </w:r>
    </w:p>
    <w:p>
      <w:r>
        <w:pict>
          <v:rect style="width:0;height:1.5pt" o:hralign="center" o:hrstd="t" o:hr="t"/>
        </w:pict>
      </w:r>
    </w:p>
    <w:bookmarkEnd w:id="306"/>
    <w:bookmarkEnd w:id="307"/>
    <w:bookmarkStart w:id="312"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H(f) = 1.03 · 9 species/genera · 60,954 reads</w:t>
      </w:r>
      <w:r>
        <w:t xml:space="preserve"> </w:t>
      </w:r>
      <w:r>
        <w:rPr>
          <w:iCs/>
          <w:i/>
        </w:rPr>
        <w:t xml:space="preserve">(corrected to include Salvelinus spp.)</w:t>
      </w:r>
    </w:p>
    <w:bookmarkStart w:id="308" w:name="sentinel-signal-43"/>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9"/>
    <w:bookmarkStart w:id="310" w:name="narrative-43"/>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10"/>
    <w:bookmarkStart w:id="311"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11"/>
    <w:bookmarkEnd w:id="312"/>
    <w:bookmarkStart w:id="319"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H(f) = 0.88 · 3 species · 9,743 reads</w:t>
      </w:r>
      <w:r>
        <w:t xml:space="preserve"> </w:t>
      </w:r>
      <w:r>
        <w:rPr>
          <w:bCs/>
          <w:b/>
        </w:rPr>
        <w:t xml:space="preserve">Algae:</w:t>
      </w:r>
      <w:r>
        <w:t xml:space="preserve"> </w:t>
      </w:r>
      <w:r>
        <w:t xml:space="preserve">H(a) = 1.81 · 17 ESVs · 19,018 reads</w:t>
      </w:r>
    </w:p>
    <w:bookmarkStart w:id="313" w:name="sentinel-signal-44"/>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13"/>
    <w:bookmarkStart w:id="314"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14"/>
    <w:bookmarkStart w:id="315"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15"/>
    <w:bookmarkStart w:id="316"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6"/>
    <w:bookmarkStart w:id="317" w:name="narrative-44"/>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7"/>
    <w:bookmarkStart w:id="318"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8"/>
    <w:bookmarkEnd w:id="319"/>
    <w:bookmarkEnd w:id="320"/>
    <w:bookmarkStart w:id="331"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25"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H(f) = 1.51 · 26 species |</w:t>
      </w:r>
      <w:r>
        <w:t xml:space="preserve"> </w:t>
      </w:r>
      <w:r>
        <w:rPr>
          <w:bCs/>
          <w:b/>
        </w:rPr>
        <w:t xml:space="preserve">Algae:</w:t>
      </w:r>
      <w:r>
        <w:t xml:space="preserve"> </w:t>
      </w:r>
      <w:r>
        <w:t xml:space="preserve">Failed — no reads (sample .0)</w:t>
      </w:r>
    </w:p>
    <w:bookmarkStart w:id="321" w:name="sentinel-signal-45"/>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21"/>
    <w:bookmarkStart w:id="322" w:name="narrative-45"/>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22"/>
    <w:bookmarkStart w:id="323"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23"/>
    <w:bookmarkStart w:id="324"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24"/>
    <w:bookmarkEnd w:id="325"/>
    <w:bookmarkStart w:id="330"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326" w:name="sentinel-signal-46"/>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6"/>
    <w:bookmarkStart w:id="327" w:name="fish-community-2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7"/>
    <w:bookmarkStart w:id="328" w:name="narrative-46"/>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8"/>
    <w:bookmarkStart w:id="329"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9"/>
    <w:bookmarkEnd w:id="330"/>
    <w:bookmarkEnd w:id="331"/>
    <w:bookmarkStart w:id="346" w:name="Xeb7b060d1e6179fce2f31433d2e5e45ce9c152d"/>
    <w:p>
      <w:pPr>
        <w:pStyle w:val="Heading1"/>
      </w:pPr>
      <w:r>
        <w:t xml:space="preserve">Appendix: Cross-Batch Brook Trout &amp; Atlantic Salmon Summary</w:t>
      </w:r>
    </w:p>
    <w:bookmarkStart w:id="332"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32"/>
    <w:bookmarkStart w:id="333" w:name="Xfbc067fc0f5d7d1f90a62d5ace41a44292e1398"/>
    <w:p>
      <w:pPr>
        <w:pStyle w:val="Heading2"/>
      </w:pPr>
      <w:r>
        <w:t xml:space="preserve">Cross-Batch Summary — Brook Trout and Atlantic Salmon</w:t>
      </w:r>
    </w:p>
    <w:bookmarkEnd w:id="333"/>
    <w:bookmarkStart w:id="334"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34"/>
    <w:bookmarkStart w:id="335"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35"/>
    <w:bookmarkStart w:id="336"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6"/>
    <w:bookmarkStart w:id="337" w:name="Xfb050cfee7f1ecf7ad79739242fb3b0b996c06e"/>
    <w:p>
      <w:pPr>
        <w:pStyle w:val="Heading2"/>
      </w:pPr>
      <w:r>
        <w:t xml:space="preserve">Non-Aquatic eDNA Detections — Summary and Methodological Note</w:t>
      </w:r>
    </w:p>
    <w:bookmarkEnd w:id="337"/>
    <w:bookmarkStart w:id="338"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8"/>
    <w:bookmarkStart w:id="339"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likely Muskrat or Beaver (JVB interpretation)</w:t>
            </w:r>
          </w:p>
        </w:tc>
        <w:tc>
          <w:tcPr/>
          <w:p>
            <w:pPr>
              <w:pStyle w:val="Compact"/>
              <w:jc w:val="left"/>
            </w:pPr>
            <w:r>
              <w:t xml:space="preserve">655</w:t>
            </w:r>
          </w:p>
        </w:tc>
        <w:tc>
          <w:tcPr/>
          <w:p>
            <w:pPr>
              <w:pStyle w:val="Compact"/>
              <w:jc w:val="left"/>
            </w:pPr>
            <w:r>
              <w:t xml:space="preserve">Semi-aquatic rodent 12S cross-assigned to Suidae — reference database gap</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9"/>
    <w:bookmarkStart w:id="340"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40"/>
    <w:bookmarkStart w:id="341" w:name="dietary-edna-artifacts-piscivorous-birds"/>
    <w:p>
      <w:pPr>
        <w:pStyle w:val="Heading2"/>
      </w:pPr>
      <w:r>
        <w:t xml:space="preserve">Dietary eDNA Artifacts — Piscivorous Birds</w:t>
      </w:r>
    </w:p>
    <w:p>
      <w:pPr>
        <w:pStyle w:val="FirstParagraph"/>
      </w:pPr>
      <w:r>
        <w:t xml:space="preserve">A related but distinct artifact category involves fish eDNA deposited at a site by piscivorous birds (Double-crested Cormorant, Great Blue Heron, Osprey, Kingfisher, Common Tern) via feces. These deposits contain authentic fish DNA — but from fish consumed in a different aquatic environment, not fish present at the sampling site.</w:t>
      </w:r>
    </w:p>
    <w:p>
      <w:pPr>
        <w:pStyle w:val="BodyText"/>
      </w:pPr>
      <w:r>
        <w:t xml:space="preserve">The Atwater site (JVB4981 / 2KL87R0I, June 8, 2025) is the clearest example in this dataset. Menhaden (</w:t>
      </w:r>
      <w:r>
        <w:rPr>
          <w:iCs/>
          <w:i/>
        </w:rPr>
        <w:t xml:space="preserve">Brevoortia</w:t>
      </w:r>
      <w:r>
        <w:t xml:space="preserve"> </w:t>
      </w:r>
      <w:r>
        <w:t xml:space="preserve">spp., 176 reads) and marine prickleback (</w:t>
      </w:r>
      <w:r>
        <w:rPr>
          <w:iCs/>
          <w:i/>
        </w:rPr>
        <w:t xml:space="preserve">Xiphister</w:t>
      </w:r>
      <w:r>
        <w:t xml:space="preserve"> </w:t>
      </w:r>
      <w:r>
        <w:t xml:space="preserve">spp., 65 reads) — both coastal marine species — appear at a freshwater site miles above the tidal zone. Double-crested Cormorants foraging on menhaden and other coastal fish in Manchester Harbor and adjacent waters transit inland through the MBTS watershed, depositing marine fish DNA wherever they land or roost.</w:t>
      </w:r>
    </w:p>
    <w:p>
      <w:pPr>
        <w:pStyle w:val="BodyText"/>
      </w:pPr>
      <w:r>
        <w:t xml:space="preserve">Dietary eDNA artifacts are distinguishable from authentic live-fish signals by geographic impossibility: a coastal schooling marine fish in mid-watershed Sawmill Brook freshwater is not an identification error — it is DNA from a meal consumed elsewhere. This logic also applies to the 85 Alewife reads at the same Atwater event: Alewife are biologically capable of ascending Sawmill Brook, but in June at a de-watered site with confirmed cormorant input, these reads are attributed to dietary artifact rather than live fish.</w:t>
      </w:r>
    </w:p>
    <w:p>
      <w:pPr>
        <w:pStyle w:val="BodyText"/>
      </w:pPr>
      <w:r>
        <w:rPr>
          <w:bCs/>
          <w:b/>
        </w:rPr>
        <w:t xml:space="preserve">Rule:</w:t>
      </w:r>
      <w:r>
        <w:t xml:space="preserve"> </w:t>
      </w:r>
      <w:r>
        <w:t xml:space="preserve">Detections of species geographically impossible as live fish at the sampling site — especially at low read counts at sites frequented by fish-eating birds — require consideration of cormorant/heron dietary input before ecological interpretation.</w:t>
      </w:r>
    </w:p>
    <w:bookmarkEnd w:id="341"/>
    <w:bookmarkStart w:id="342" w:name="jvb5403-algal-summary"/>
    <w:p>
      <w:pPr>
        <w:pStyle w:val="Heading2"/>
      </w:pPr>
      <w:r>
        <w:t xml:space="preserve">JVB5403 Algal Summary</w:t>
      </w:r>
    </w:p>
    <w:bookmarkEnd w:id="342"/>
    <w:bookmarkStart w:id="343"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43"/>
    <w:bookmarkStart w:id="344" w:name="jvb3988-jvb4678-algal-summary"/>
    <w:p>
      <w:pPr>
        <w:pStyle w:val="Heading2"/>
      </w:pPr>
      <w:r>
        <w:t xml:space="preserve">JVB3988 + JVB4678 Algal Summary</w:t>
      </w:r>
    </w:p>
    <w:bookmarkEnd w:id="344"/>
    <w:bookmarkStart w:id="345"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45"/>
    <w:bookmarkEnd w:id="3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2026-04-24T04:42:08Z</dcterms:created>
  <dcterms:modified xsi:type="dcterms:W3CDTF">2026-04-24T04:42:08Z</dcterms:modified>
</cp:coreProperties>
</file>

<file path=docProps/custom.xml><?xml version="1.0" encoding="utf-8"?>
<Properties xmlns="http://schemas.openxmlformats.org/officeDocument/2006/custom-properties" xmlns:vt="http://schemas.openxmlformats.org/officeDocument/2006/docPropsVTypes"/>
</file>