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eDNA Ecological Narrative — Batch JVB5776</w:t>
      </w:r>
    </w:p>
    <w:p>
      <w:r>
        <w:rPr>
          <w:b/>
        </w:rPr>
        <w:t>23S rRNA (Algae) + MiFish 12S rRNA (Fish) | November 2025</w:t>
      </w:r>
    </w:p>
    <w:p>
      <w:pPr>
        <w:pStyle w:val="Heading2"/>
      </w:pPr>
      <w:r>
        <w:t>How to Read This</w:t>
      </w:r>
    </w:p>
    <w:p>
      <w:r>
        <w:t>Algae are the base of the food web. They respond within days to light, temperature, pH, nutrients, and dissolved minerals. Fish integrate conditions over years — they reflect whether the habitat has been livable long enough to support recruitment, growth, and community assembly. Together, algae and fish tell a story neither can tell alone: algae describe the water chemistry and productivity; fish describe whether that chemistry is compatible with vertebrate life and whether the system is connected to a broader landscape.</w:t>
      </w:r>
    </w:p>
    <w:p>
      <w:r>
        <w:t xml:space="preserve">Shannon diversity is used throughout: </w:t>
      </w:r>
      <w:r>
        <w:rPr>
          <w:b/>
        </w:rPr>
        <w:t>H&lt;sub&gt;f&lt;/sub&gt;</w:t>
      </w:r>
      <w:r>
        <w:t xml:space="preserve"> for fish, </w:t>
      </w:r>
      <w:r>
        <w:rPr>
          <w:b/>
        </w:rPr>
        <w:t>H&lt;sub&gt;a&lt;/sub&gt;</w:t>
      </w:r>
      <w:r>
        <w:t xml:space="preserve"> for algae. Both use the same formula (−Σ p·ln p); the subscripts distinguish which community is being described. A higher value means more even distribution of reads across species — a proxy for ecological complexity. A low value can mean impairment, but it can also mean the site simply has few available niches (a pond, a tidal pool). Context matters.</w:t>
      </w:r>
    </w:p>
    <w:p>
      <w:pPr>
        <w:pStyle w:val="Heading1"/>
      </w:pPr>
      <w:r>
        <w:t>MAINE — Deblois, ME | November 11, 2025</w:t>
      </w:r>
    </w:p>
    <w:p>
      <w:r>
        <w:t>All five Maine sites drain into or near the Narraguagus River watershed in Washington County — a landscape of granite bedrock, spruce-fir forest, and peatland. The geology produces naturally soft, low-mineral, humic water. This is the background condition. Departures from it — in either direction — are the story.</w:t>
      </w:r>
    </w:p>
    <w:p>
      <w:pPr>
        <w:pStyle w:val="Heading2"/>
      </w:pPr>
      <w:r>
        <w:t>McCoy Brook | CSWEE3DX.1</w:t>
      </w:r>
    </w:p>
    <w:p>
      <w:r>
        <w:rPr>
          <w:b/>
        </w:rPr>
        <w:t>Fish: 1 species, H&lt;sub&gt;f&lt;/sub&gt; = 0.00 | Algae: 91 ESVs, H&lt;sub&gt;a&lt;/sub&gt; = 3.28 | Recorded pH: 3.54</w:t>
      </w:r>
    </w:p>
    <w:p>
      <w:r>
        <w:t>This site is the most direct signal of impairment in the dataset, and the recorded pH of 3.54 explains everything.</w:t>
      </w:r>
    </w:p>
    <w:p>
      <w:r>
        <w:t>At pH 3.54, the water is more acidic than black coffee. Calcium is depleted from the water column. Fish gills cannot regulate ions across such a gradient. Most freshwater fish experience acute physiological stress below pH 5.0 and lethal conditions below pH 4.5. pH 3.54 is well below that threshold.</w:t>
      </w:r>
    </w:p>
    <w:p>
      <w:r>
        <w:t>The fish community confirms it: only Creek Chub detected, at 100% relative abundance. Creek Chub are among the most acid-tolerant freshwater fish in the Northeast, yet even their signal is singular. No salmonids, no dace, no sucker — species that should share this habitat type are absent.</w:t>
      </w:r>
    </w:p>
    <w:p>
      <w:r>
        <w:t>The algae tell the same story from a different angle. Pennate diatoms dominate (35.4%) — many pennate genera (</w:t>
      </w:r>
      <w:r>
        <w:rPr>
          <w:i/>
        </w:rPr>
        <w:t>Eunotia</w:t>
      </w:r>
      <w:r>
        <w:t xml:space="preserve">, </w:t>
      </w:r>
      <w:r>
        <w:rPr>
          <w:i/>
        </w:rPr>
        <w:t>Pinnularia</w:t>
      </w:r>
      <w:r>
        <w:t xml:space="preserve">) are classic indicators of acidic, mineral-poor water. Carteria, a green alga (17.4%), and </w:t>
      </w:r>
      <w:r>
        <w:rPr>
          <w:i/>
        </w:rPr>
        <w:t>Chlamydomonas nivalis</w:t>
      </w:r>
      <w:r>
        <w:t xml:space="preserve"> (5.9%) are acid-tolerant flagellates that persist where most phytoplankton cannot. Euglena (3.5%) is an organic-enrichment tolerant and low-pH survivor. The algal community is not diverse by accident — it is the community that remains after acidic conditions have filtered out more sensitive taxa.</w:t>
      </w:r>
    </w:p>
    <w:p>
      <w:r>
        <w:t>That the algal Shannon index (</w:t>
      </w:r>
      <w:r>
        <w:t>H</w:t>
      </w:r>
      <w:r>
        <w:rPr>
          <w:sz w:val="16"/>
          <w:vertAlign w:val="subscript"/>
        </w:rPr>
        <w:t>a</w:t>
      </w:r>
      <w:r>
        <w:t xml:space="preserve"> = 3.28) still exceeds zero reflects the higher tolerance of algae to acid stress compared to vertebrates. Algae survived. Fish largely did not.</w:t>
      </w:r>
    </w:p>
    <w:p>
      <w:r>
        <w:t>Whether this pH reflects natural bog/peatland drainage, atmospheric acid deposition, or both is beyond the scope of this dataset, but the impairment is unambiguous. McCoy Brook in its current state cannot support a viable fish community.</w:t>
      </w:r>
    </w:p>
    <w:p>
      <w:pPr>
        <w:pStyle w:val="Heading2"/>
      </w:pPr>
      <w:r>
        <w:t>Crotch Camp Brook | CNTLVPX4.1</w:t>
      </w:r>
    </w:p>
    <w:p>
      <w:r>
        <w:rPr>
          <w:b/>
        </w:rPr>
        <w:t>Fish: 9 species, H&lt;sub&gt;f&lt;/sub&gt; = 1.69 | Algae: 76 ESVs, H&lt;sub&gt;a&lt;/sub&gt; = 2.30</w:t>
      </w:r>
    </w:p>
    <w:p>
      <w:r>
        <w:t>This site tells the story of oligotrophic Maine soft water at its most pronounced — not impaired, but nutrient-limited.</w:t>
      </w:r>
    </w:p>
    <w:p>
      <w:r>
        <w:t xml:space="preserve">The algal signal is remarkable: </w:t>
      </w:r>
      <w:r>
        <w:rPr>
          <w:i/>
        </w:rPr>
        <w:t>Synura</w:t>
      </w:r>
      <w:r>
        <w:t xml:space="preserve"> (Colonial Synurophyte) accounts for 74.4% of all algal reads. Synurophytes are golden-brown flagellates that thrive in soft, slightly acidic water (pH 5.5–7.0), low conductivity, and low phosphorus. Their mass dominance here indicates water with very low dissolved minerals, low nutrients, and likely high dissolved organic carbon from surrounding peat and forest. The water is probably clear but humic-tinted. The algal Shannon index (</w:t>
      </w:r>
      <w:r>
        <w:t>H</w:t>
      </w:r>
      <w:r>
        <w:rPr>
          <w:sz w:val="16"/>
          <w:vertAlign w:val="subscript"/>
        </w:rPr>
        <w:t>a</w:t>
      </w:r>
      <w:r>
        <w:t xml:space="preserve"> = 2.30) is the second-lowest in the dataset — not because conditions are toxic, but because </w:t>
      </w:r>
      <w:r>
        <w:rPr>
          <w:i/>
        </w:rPr>
        <w:t>Synura</w:t>
      </w:r>
      <w:r>
        <w:t xml:space="preserve"> has outcompeted everything else in this particular niche.</w:t>
      </w:r>
    </w:p>
    <w:p>
      <w:r>
        <w:t xml:space="preserve">The fish community is moderate and ecologically coherent: Ninespine Stickleback (35.2%), Trout sp. (16.9%), Redbreast Sunfish (9.9%), Creek Chub (25.0%). Trout presence is significant — salmonids require cool, well-oxygenated, clean water. Their detection alongside sticklebacks in a soft-water system suggests conditions are not lethal, just lean. The 9-species community with </w:t>
      </w:r>
      <w:r>
        <w:t>H</w:t>
      </w:r>
      <w:r>
        <w:rPr>
          <w:sz w:val="16"/>
          <w:vertAlign w:val="subscript"/>
        </w:rPr>
        <w:t>f</w:t>
      </w:r>
      <w:r>
        <w:t xml:space="preserve"> = 1.69 is consistent with a small, oligotrophic woodland brook — low productivity limits invertebrate production, which in turn limits the fish community that can be supported.</w:t>
      </w:r>
    </w:p>
    <w:p>
      <w:r>
        <w:t>Combined story: Crotch Camp Brook is not impaired, but it is at the low end of the productivity spectrum. The Synura-dominated algal base means limited energy entering the system from primary production. This constrains everything above it. The trout are there; they are just working hard for relatively little food.</w:t>
      </w:r>
    </w:p>
    <w:p>
      <w:pPr>
        <w:pStyle w:val="Heading2"/>
      </w:pPr>
      <w:r>
        <w:t>UNT Lane Rd | CNR7WZYJ.1</w:t>
      </w:r>
    </w:p>
    <w:p>
      <w:r>
        <w:rPr>
          <w:b/>
        </w:rPr>
        <w:t>Fish: 1 species, H&lt;sub&gt;f&lt;/sub&gt; = 0.00 | Algae: 77 ESVs, H&lt;sub&gt;a&lt;/sub&gt; = 3.16</w:t>
      </w:r>
    </w:p>
    <w:p>
      <w:r>
        <w:t>American Eel at 100% relative abundance. A single fish taxon detected across all reads. This result warrants careful interpretation before concluding impairment.</w:t>
      </w:r>
    </w:p>
    <w:p>
      <w:r>
        <w:t>American Eel (</w:t>
      </w:r>
      <w:r>
        <w:rPr>
          <w:i/>
        </w:rPr>
        <w:t>Anguilla rostrata</w:t>
      </w:r>
      <w:r>
        <w:t>) are catadromous — they are born in the Sargasso Sea and spend their adult lives in freshwater, returning to the ocean to spawn. Their eDNA persists well in freshwater, and a single large resident eel can shed substantial DNA. The absence of other fish may reflect:</w:t>
      </w:r>
    </w:p>
    <w:p>
      <w:pPr>
        <w:pStyle w:val="ListBullet"/>
      </w:pPr>
      <w:r>
        <w:t>Low fish density at this location (a headwater tributary with limited habitat)</w:t>
      </w:r>
    </w:p>
    <w:p>
      <w:pPr>
        <w:pStyle w:val="ListBullet"/>
      </w:pPr>
      <w:r>
        <w:t>Seasonal timing — November is post-spawning migration period for many species</w:t>
      </w:r>
    </w:p>
    <w:p>
      <w:pPr>
        <w:pStyle w:val="ListBullet"/>
      </w:pPr>
      <w:r>
        <w:t>Physical barriers limiting upstream access for other species</w:t>
      </w:r>
    </w:p>
    <w:p>
      <w:r>
        <w:t xml:space="preserve">The algal community does not suggest toxicity. Cryptophytes (20.5%), Pennate Diatoms (22.1%), </w:t>
      </w:r>
      <w:r>
        <w:rPr>
          <w:i/>
        </w:rPr>
        <w:t>Halamphora coffeaeformis</w:t>
      </w:r>
      <w:r>
        <w:t xml:space="preserve"> (14.9%), and Chromulina (8%) form a diverse but soft-water assemblage. </w:t>
      </w:r>
      <w:r>
        <w:rPr>
          <w:i/>
        </w:rPr>
        <w:t>Halamphora coffeaeformis</w:t>
      </w:r>
      <w:r>
        <w:t xml:space="preserve"> is found in slightly enriched, sometimes oligohaline conditions. Chromulina is a chrysophyte associated with soft, slightly humic water. The overall algal picture is consistent with a small, functioning brook, not an impaired one.</w:t>
      </w:r>
    </w:p>
    <w:p>
      <w:r>
        <w:t xml:space="preserve">The </w:t>
      </w:r>
      <w:r>
        <w:t>H</w:t>
      </w:r>
      <w:r>
        <w:rPr>
          <w:sz w:val="16"/>
          <w:vertAlign w:val="subscript"/>
        </w:rPr>
        <w:t>a</w:t>
      </w:r>
      <w:r>
        <w:t xml:space="preserve"> = 3.16 algal diversity with 77 ESVs suggests conditions adequate for a reasonably complex algal community. The eel is present and presumably alive. This site reads as potentially habitat-limited rather than chemically impaired — but the single-species fish result demands follow-up sampling in warmer months.</w:t>
      </w:r>
    </w:p>
    <w:p>
      <w:pPr>
        <w:pStyle w:val="Heading2"/>
      </w:pPr>
      <w:r>
        <w:t>West Branch Narraguagus River @ Sprague's Falls | CY92PPTX.1</w:t>
      </w:r>
    </w:p>
    <w:p>
      <w:r>
        <w:rPr>
          <w:b/>
        </w:rPr>
        <w:t>Fish: 14 species, H&lt;sub&gt;f&lt;/sub&gt; = 1.94 | Algae: 201 ESVs, H&lt;sub&gt;a&lt;/sub&gt; = 4.55 (highest in dataset)</w:t>
      </w:r>
    </w:p>
    <w:p>
      <w:r>
        <w:t>This is the reference condition for the watershed.</w:t>
      </w:r>
    </w:p>
    <w:p>
      <w:r>
        <w:t xml:space="preserve">The algal community is the most diverse in the entire dataset — 201 distinct ESVs, Shannon </w:t>
      </w:r>
      <w:r>
        <w:t>H</w:t>
      </w:r>
      <w:r>
        <w:rPr>
          <w:sz w:val="16"/>
          <w:vertAlign w:val="subscript"/>
        </w:rPr>
        <w:t>a</w:t>
      </w:r>
      <w:r>
        <w:t xml:space="preserve"> = 4.55. This is not driven by a single dominant group but by a broad, even distribution across taxa: Halamphora diatom (11%), Pennate Diatoms (8.7%), Ulnaria/Araphid Diatoms (8%), Eukaryota unclassified (8.5%), Monomastix (7.7%), Synurophytes (4.4%), Araphid Diatoms (1.9%), and more. A diverse, evenly distributed algal community indicates physical and chemical heterogeneity in the water column and substrate — riffles, pools, varying light, stable but moderate nutrient levels. This is a complex ecosystem.</w:t>
      </w:r>
    </w:p>
    <w:p>
      <w:r>
        <w:t xml:space="preserve">The fish community reflects that complexity: 14 species, </w:t>
      </w:r>
      <w:r>
        <w:t>H</w:t>
      </w:r>
      <w:r>
        <w:rPr>
          <w:sz w:val="16"/>
          <w:vertAlign w:val="subscript"/>
        </w:rPr>
        <w:t>f</w:t>
      </w:r>
      <w:r>
        <w:t xml:space="preserve"> = 1.94. Redbreast Sunfish lead at 30.8% — a benthic omnivore requiring clean, stable substrate. White Sucker (19.6%) is a tolerant generalist that nonetheless indicates the system can support larger-bodied fish. Ninespine Stickleback (10.2%) and Finescale Dace (7.3%) are characteristic of clean, slightly acidic, cool Maine streams. Sea Lamprey (0.3%) and Trout sp. (1.9%) confirm the site has functioning ecological connectivity and thermal refugia.</w:t>
      </w:r>
    </w:p>
    <w:p>
      <w:r>
        <w:t>Finescale Dace are worth highlighting — they are considered indicators of high-quality, soft-water habitats in Maine, often associated with brook trout. Their presence here supports a picture of good baseline conditions.</w:t>
      </w:r>
    </w:p>
    <w:p>
      <w:r>
        <w:t>Combined: West Branch is the best-functioning small tributary sampled in this batch. The algal engine is running at full complexity; the fish are diversified across niches. This is what a healthy Maine woodland stream looks like.</w:t>
      </w:r>
    </w:p>
    <w:p>
      <w:pPr>
        <w:pStyle w:val="Heading2"/>
      </w:pPr>
      <w:r>
        <w:t>Narraguagus Rt 193 | CA66THTZ.1</w:t>
      </w:r>
    </w:p>
    <w:p>
      <w:r>
        <w:rPr>
          <w:b/>
        </w:rPr>
        <w:t>Fish: 19 species, H&lt;sub&gt;f&lt;/sub&gt; = 2.16 (highest in ME) | Algae: 117 ESVs, H&lt;sub&gt;a&lt;/sub&gt; = 3.86</w:t>
      </w:r>
    </w:p>
    <w:p>
      <w:r>
        <w:t>This is the ecological hub of the Maine dataset — the most diverse fish community, the strongest anadromous signal, and a connecting node between the ocean and the interior watershed.</w:t>
      </w:r>
    </w:p>
    <w:p>
      <w:r>
        <w:t>The fish community tells the story immediately: Alewife (26.3%) is the dominant taxon. Alewife are anadromous — they are ocean fish that ascend rivers in spring to spawn. Their eDNA in November (well after the spawning run) reflects residual environmental DNA that persisted from the spring migration or from juvenile fish still present in the system. Either way, this is direct evidence that the site is accessible from the Gulf of Maine and that anadromous fish use this corridor.</w:t>
      </w:r>
    </w:p>
    <w:p>
      <w:r>
        <w:t>Fallfish (22.2%) — the largest native minnow in the Northeast — require clean, well-oxygenated, gravel-bottomed streams for nest construction. A strong Fallfish signal is a meaningful water quality indicator. Atlantic Salmon (0.3%) and Sea Lamprey (0.3%) round out the anadromous suite. Even at trace levels, Atlantic Salmon detection on the Narraguagus River is ecologically significant — the Narraguagus supports one of the few remaining wild Atlantic Salmon populations in the United States, a federally listed species.</w:t>
      </w:r>
    </w:p>
    <w:p>
      <w:r>
        <w:t>The supporting cast — Redbreast Sunfish (12.7%), White Sucker (8.5%), Shiner sp. (5.1%), Pickerel/Pike sp. (3.6%), 19 species total — reflects a complete, multi-guild community from benthic feeders to apex predators.</w:t>
      </w:r>
    </w:p>
    <w:p>
      <w:r>
        <w:t>The algae, while not as diverse as West Branch, show a functional community: Cryptophytes dominate (24.3%), which are common in moderately productive, mildly humic water. Centric Diatoms (10.7%) indicate nutrients and silica availability — appropriate for a mainstem or lower-gradient reach. Cyanobacteria (6.5%) appear; at this level they are not alarming, but worth monitoring as an early signal of nutrient enrichment.</w:t>
      </w:r>
    </w:p>
    <w:p>
      <w:r>
        <w:t>Combined: Narraguagus Rt 193 is functioning as a mainstem ecosystem hub, receiving anadromous nutrient subsidies (marine-derived nutrients from decomposing fish and fish excretion), supporting a full fish community, and maintaining an adequate algal base. It is the healthiest and most connected site in the Maine sample set.</w:t>
      </w:r>
    </w:p>
    <w:p>
      <w:pPr>
        <w:pStyle w:val="Heading2"/>
      </w:pPr>
      <w:r>
        <w:t>Maine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left"/>
            </w:pPr>
            <w:r>
              <w:rPr>
                <w:b/>
              </w:rPr>
              <w:t>Site</w:t>
            </w:r>
          </w:p>
        </w:tc>
        <w:tc>
          <w:tcPr>
            <w:tcW w:type="dxa" w:w="1440"/>
          </w:tcPr>
          <w:p>
            <w:pPr>
              <w:jc w:val="left"/>
            </w:pPr>
            <w:r>
              <w:rPr>
                <w:b/>
              </w:rPr>
              <w:t>Fish spp.</w:t>
            </w:r>
          </w:p>
        </w:tc>
        <w:tc>
          <w:tcPr>
            <w:tcW w:type="dxa" w:w="1440"/>
          </w:tcPr>
          <w:p>
            <w:pPr>
              <w:jc w:val="left"/>
            </w:pPr>
            <w:r>
              <w:rPr>
                <w:b/>
              </w:rPr>
              <w:t>H</w:t>
            </w:r>
            <w:r>
              <w:rPr>
                <w:b/>
                <w:sz w:val="16"/>
                <w:vertAlign w:val="subscript"/>
              </w:rPr>
              <w:t>f</w:t>
            </w:r>
          </w:p>
        </w:tc>
        <w:tc>
          <w:tcPr>
            <w:tcW w:type="dxa" w:w="1440"/>
          </w:tcPr>
          <w:p>
            <w:pPr>
              <w:jc w:val="left"/>
            </w:pPr>
            <w:r>
              <w:rPr>
                <w:b/>
              </w:rPr>
              <w:t>Algae ESVs</w:t>
            </w:r>
          </w:p>
        </w:tc>
        <w:tc>
          <w:tcPr>
            <w:tcW w:type="dxa" w:w="1440"/>
          </w:tcPr>
          <w:p>
            <w:pPr>
              <w:jc w:val="left"/>
            </w:pPr>
            <w:r>
              <w:rPr>
                <w:b/>
              </w:rPr>
              <w:t>H</w:t>
            </w:r>
            <w:r>
              <w:rPr>
                <w:b/>
                <w:sz w:val="16"/>
                <w:vertAlign w:val="subscript"/>
              </w:rPr>
              <w:t>a</w:t>
            </w:r>
          </w:p>
        </w:tc>
        <w:tc>
          <w:tcPr>
            <w:tcW w:type="dxa" w:w="1440"/>
          </w:tcPr>
          <w:p>
            <w:pPr>
              <w:jc w:val="left"/>
            </w:pPr>
            <w:r>
              <w:rPr>
                <w:b/>
              </w:rPr>
              <w:t>Status</w:t>
            </w:r>
          </w:p>
        </w:tc>
      </w:tr>
      <w:tr>
        <w:tc>
          <w:tcPr>
            <w:tcW w:type="dxa" w:w="1440"/>
          </w:tcPr>
          <w:p>
            <w:pPr>
              <w:jc w:val="left"/>
            </w:pPr>
            <w:r>
              <w:t>Narraguagus Rt 193</w:t>
            </w:r>
          </w:p>
        </w:tc>
        <w:tc>
          <w:tcPr>
            <w:tcW w:type="dxa" w:w="1440"/>
          </w:tcPr>
          <w:p>
            <w:pPr>
              <w:jc w:val="left"/>
            </w:pPr>
            <w:r>
              <w:t>19</w:t>
            </w:r>
          </w:p>
        </w:tc>
        <w:tc>
          <w:tcPr>
            <w:tcW w:type="dxa" w:w="1440"/>
          </w:tcPr>
          <w:p>
            <w:pPr>
              <w:jc w:val="left"/>
            </w:pPr>
            <w:r>
              <w:t>2.16</w:t>
            </w:r>
          </w:p>
        </w:tc>
        <w:tc>
          <w:tcPr>
            <w:tcW w:type="dxa" w:w="1440"/>
          </w:tcPr>
          <w:p>
            <w:pPr>
              <w:jc w:val="left"/>
            </w:pPr>
            <w:r>
              <w:t>117</w:t>
            </w:r>
          </w:p>
        </w:tc>
        <w:tc>
          <w:tcPr>
            <w:tcW w:type="dxa" w:w="1440"/>
          </w:tcPr>
          <w:p>
            <w:pPr>
              <w:jc w:val="left"/>
            </w:pPr>
            <w:r>
              <w:t>3.86</w:t>
            </w:r>
          </w:p>
        </w:tc>
        <w:tc>
          <w:tcPr>
            <w:tcW w:type="dxa" w:w="1440"/>
          </w:tcPr>
          <w:p>
            <w:pPr>
              <w:jc w:val="left"/>
            </w:pPr>
            <w:r>
              <w:rPr>
                <w:b/>
              </w:rPr>
              <w:t>Healthy — anadromous hub</w:t>
            </w:r>
          </w:p>
        </w:tc>
      </w:tr>
      <w:tr>
        <w:tc>
          <w:tcPr>
            <w:tcW w:type="dxa" w:w="1440"/>
          </w:tcPr>
          <w:p>
            <w:pPr>
              <w:jc w:val="left"/>
            </w:pPr>
            <w:r>
              <w:t>West Branch Narraguagus</w:t>
            </w:r>
          </w:p>
        </w:tc>
        <w:tc>
          <w:tcPr>
            <w:tcW w:type="dxa" w:w="1440"/>
          </w:tcPr>
          <w:p>
            <w:pPr>
              <w:jc w:val="left"/>
            </w:pPr>
            <w:r>
              <w:t>14</w:t>
            </w:r>
          </w:p>
        </w:tc>
        <w:tc>
          <w:tcPr>
            <w:tcW w:type="dxa" w:w="1440"/>
          </w:tcPr>
          <w:p>
            <w:pPr>
              <w:jc w:val="left"/>
            </w:pPr>
            <w:r>
              <w:t>1.94</w:t>
            </w:r>
          </w:p>
        </w:tc>
        <w:tc>
          <w:tcPr>
            <w:tcW w:type="dxa" w:w="1440"/>
          </w:tcPr>
          <w:p>
            <w:pPr>
              <w:jc w:val="left"/>
            </w:pPr>
            <w:r>
              <w:t>201</w:t>
            </w:r>
          </w:p>
        </w:tc>
        <w:tc>
          <w:tcPr>
            <w:tcW w:type="dxa" w:w="1440"/>
          </w:tcPr>
          <w:p>
            <w:pPr>
              <w:jc w:val="left"/>
            </w:pPr>
            <w:r>
              <w:t>4.55</w:t>
            </w:r>
          </w:p>
        </w:tc>
        <w:tc>
          <w:tcPr>
            <w:tcW w:type="dxa" w:w="1440"/>
          </w:tcPr>
          <w:p>
            <w:pPr>
              <w:jc w:val="left"/>
            </w:pPr>
            <w:r>
              <w:rPr>
                <w:b/>
              </w:rPr>
              <w:t>Healthy — reference condition</w:t>
            </w:r>
          </w:p>
        </w:tc>
      </w:tr>
      <w:tr>
        <w:tc>
          <w:tcPr>
            <w:tcW w:type="dxa" w:w="1440"/>
          </w:tcPr>
          <w:p>
            <w:pPr>
              <w:jc w:val="left"/>
            </w:pPr>
            <w:r>
              <w:t>Crotch Camp Brook</w:t>
            </w:r>
          </w:p>
        </w:tc>
        <w:tc>
          <w:tcPr>
            <w:tcW w:type="dxa" w:w="1440"/>
          </w:tcPr>
          <w:p>
            <w:pPr>
              <w:jc w:val="left"/>
            </w:pPr>
            <w:r>
              <w:t>9</w:t>
            </w:r>
          </w:p>
        </w:tc>
        <w:tc>
          <w:tcPr>
            <w:tcW w:type="dxa" w:w="1440"/>
          </w:tcPr>
          <w:p>
            <w:pPr>
              <w:jc w:val="left"/>
            </w:pPr>
            <w:r>
              <w:t>1.69</w:t>
            </w:r>
          </w:p>
        </w:tc>
        <w:tc>
          <w:tcPr>
            <w:tcW w:type="dxa" w:w="1440"/>
          </w:tcPr>
          <w:p>
            <w:pPr>
              <w:jc w:val="left"/>
            </w:pPr>
            <w:r>
              <w:t>76</w:t>
            </w:r>
          </w:p>
        </w:tc>
        <w:tc>
          <w:tcPr>
            <w:tcW w:type="dxa" w:w="1440"/>
          </w:tcPr>
          <w:p>
            <w:pPr>
              <w:jc w:val="left"/>
            </w:pPr>
            <w:r>
              <w:t>2.30</w:t>
            </w:r>
          </w:p>
        </w:tc>
        <w:tc>
          <w:tcPr>
            <w:tcW w:type="dxa" w:w="1440"/>
          </w:tcPr>
          <w:p>
            <w:pPr>
              <w:jc w:val="left"/>
            </w:pPr>
            <w:r>
              <w:t>Functional — oligotrophic, nutrient-limited</w:t>
            </w:r>
          </w:p>
        </w:tc>
      </w:tr>
      <w:tr>
        <w:tc>
          <w:tcPr>
            <w:tcW w:type="dxa" w:w="1440"/>
          </w:tcPr>
          <w:p>
            <w:pPr>
              <w:jc w:val="left"/>
            </w:pPr>
            <w:r>
              <w:t>UNT Lane Rd</w:t>
            </w:r>
          </w:p>
        </w:tc>
        <w:tc>
          <w:tcPr>
            <w:tcW w:type="dxa" w:w="1440"/>
          </w:tcPr>
          <w:p>
            <w:pPr>
              <w:jc w:val="left"/>
            </w:pPr>
            <w:r>
              <w:t>1</w:t>
            </w:r>
          </w:p>
        </w:tc>
        <w:tc>
          <w:tcPr>
            <w:tcW w:type="dxa" w:w="1440"/>
          </w:tcPr>
          <w:p>
            <w:pPr>
              <w:jc w:val="left"/>
            </w:pPr>
            <w:r>
              <w:t>0.00</w:t>
            </w:r>
          </w:p>
        </w:tc>
        <w:tc>
          <w:tcPr>
            <w:tcW w:type="dxa" w:w="1440"/>
          </w:tcPr>
          <w:p>
            <w:pPr>
              <w:jc w:val="left"/>
            </w:pPr>
            <w:r>
              <w:t>77</w:t>
            </w:r>
          </w:p>
        </w:tc>
        <w:tc>
          <w:tcPr>
            <w:tcW w:type="dxa" w:w="1440"/>
          </w:tcPr>
          <w:p>
            <w:pPr>
              <w:jc w:val="left"/>
            </w:pPr>
            <w:r>
              <w:t>3.16</w:t>
            </w:r>
          </w:p>
        </w:tc>
        <w:tc>
          <w:tcPr>
            <w:tcW w:type="dxa" w:w="1440"/>
          </w:tcPr>
          <w:p>
            <w:pPr>
              <w:jc w:val="left"/>
            </w:pPr>
            <w:r>
              <w:t>Ambiguous — follow-up needed</w:t>
            </w:r>
          </w:p>
        </w:tc>
      </w:tr>
      <w:tr>
        <w:tc>
          <w:tcPr>
            <w:tcW w:type="dxa" w:w="1440"/>
          </w:tcPr>
          <w:p>
            <w:pPr>
              <w:jc w:val="left"/>
            </w:pPr>
            <w:r>
              <w:t>McCoy Brook</w:t>
            </w:r>
          </w:p>
        </w:tc>
        <w:tc>
          <w:tcPr>
            <w:tcW w:type="dxa" w:w="1440"/>
          </w:tcPr>
          <w:p>
            <w:pPr>
              <w:jc w:val="left"/>
            </w:pPr>
            <w:r>
              <w:t>1</w:t>
            </w:r>
          </w:p>
        </w:tc>
        <w:tc>
          <w:tcPr>
            <w:tcW w:type="dxa" w:w="1440"/>
          </w:tcPr>
          <w:p>
            <w:pPr>
              <w:jc w:val="left"/>
            </w:pPr>
            <w:r>
              <w:t>0.00</w:t>
            </w:r>
          </w:p>
        </w:tc>
        <w:tc>
          <w:tcPr>
            <w:tcW w:type="dxa" w:w="1440"/>
          </w:tcPr>
          <w:p>
            <w:pPr>
              <w:jc w:val="left"/>
            </w:pPr>
            <w:r>
              <w:t>91</w:t>
            </w:r>
          </w:p>
        </w:tc>
        <w:tc>
          <w:tcPr>
            <w:tcW w:type="dxa" w:w="1440"/>
          </w:tcPr>
          <w:p>
            <w:pPr>
              <w:jc w:val="left"/>
            </w:pPr>
            <w:r>
              <w:t>3.28</w:t>
            </w:r>
          </w:p>
        </w:tc>
        <w:tc>
          <w:tcPr>
            <w:tcW w:type="dxa" w:w="1440"/>
          </w:tcPr>
          <w:p>
            <w:pPr>
              <w:jc w:val="left"/>
            </w:pPr>
            <w:r>
              <w:rPr>
                <w:b/>
              </w:rPr>
              <w:t>Impaired — pH 3.54, acute acidity</w:t>
            </w:r>
          </w:p>
        </w:tc>
      </w:tr>
    </w:tbl>
    <w:p/>
    <w:p>
      <w:r>
        <w:t>The Maine gradient runs from active impairment (McCoy Brook) through oligotrophic limitation (Crotch Camp Brook) to full ecological function (Narraguagus Rt 193, West Branch). Acidification is the primary stressor. Where it is absent and connectivity to the main stem exists, the system supports diverse, anadromous-connected fish communities built on a complex algal foundation.</w:t>
      </w:r>
    </w:p>
    <w:p>
      <w:pPr>
        <w:pStyle w:val="Heading1"/>
      </w:pPr>
      <w:r>
        <w:t>MASSACHUSETTS — Manchester-by-the-Sea, MA | November 22, 2025</w:t>
      </w:r>
    </w:p>
    <w:p>
      <w:r>
        <w:t>Manchester-by-the-Sea sits on the Essex County coast, underlain by glacial till over granite and gneiss — but with important differences from western Maine. Proximity to the ocean, coastal vegetation, and groundwater inputs from glacially deposited material mean water chemistry here can be harder, more mineral-rich, and more alkaline than the Deblois sites. All three MA sites drain into the tidal estuary of Sawmill Brook and Manchester Harbor. This is the defining feature of the MA dataset: tidal influence shapes everything.</w:t>
      </w:r>
    </w:p>
    <w:p>
      <w:pPr>
        <w:pStyle w:val="Heading2"/>
      </w:pPr>
      <w:r>
        <w:t>Upper Sawmill | CVVU52A9.1</w:t>
      </w:r>
    </w:p>
    <w:p>
      <w:r>
        <w:rPr>
          <w:b/>
        </w:rPr>
        <w:t>Fish: 5 species, H&lt;sub&gt;f&lt;/sub&gt; = 0.87 | Algae: 151 ESVs, H&lt;sub&gt;a&lt;/sub&gt; = 4.20 | Date: unknown</w:t>
      </w:r>
    </w:p>
    <w:p>
      <w:r>
        <w:t>The fish community here — Golden Shiner (58.3%), Sunfish sp. (36.8%), Bass sp. (2.1%), American Eel (2.6%), Bullhead sp. (0.2%) — is definitively a warm-water, still-water assemblage. Golden Shiner and Sunfish sp. are pond and backwater specialists. They do not indicate impairment; they indicate a lentic (standing water) environment — a pond, reservoir, or very slow-moving impoundment. No estuarine species. No anadromous species (other than Eel). This site is likely upstream of tidal influence, isolated from the coastal fish assemblage.</w:t>
      </w:r>
    </w:p>
    <w:p>
      <w:r>
        <w:t xml:space="preserve">The algal community, however, is diverse and ecologically informative: </w:t>
      </w:r>
      <w:r>
        <w:t>H</w:t>
      </w:r>
      <w:r>
        <w:rPr>
          <w:sz w:val="16"/>
          <w:vertAlign w:val="subscript"/>
        </w:rPr>
        <w:t>a</w:t>
      </w:r>
      <w:r>
        <w:t xml:space="preserve"> = 4.20, 151 ESVs. Cryptomonas (26.1%) and Cryptomonas obovoidea (8.7%) — cryptophytes that are highly competitive in stratified, humic, slightly acidic ponds. Mallomonas (9.7%) — a scaled synurophyte (same family as Synura) indicating soft, slightly acidic, oligotrophic water. Monomastix (5.4%) — a pico-green alga common in humic conditions. This is the algal community of a small, softwater, somewhat humic pond or reservoir — productive enough to support 151 ESVs, but chemically soft.</w:t>
      </w:r>
    </w:p>
    <w:p>
      <w:r>
        <w:t>Combined: Upper Sawmill is a pond-type ecosystem. The fish diversity is naturally low for this habitat type — not impaired, just pond-like. The soft-water algal community suggests mineral content is low and the water is slightly acidic to neutral, probably receiving runoff from surrounding soils and leaf litter. The American Eel's presence confirms some connectivity remains to tidal waters downstream.</w:t>
      </w:r>
    </w:p>
    <w:p>
      <w:pPr>
        <w:pStyle w:val="Heading2"/>
      </w:pPr>
      <w:r>
        <w:t>Below School St | CDWD42KP.1</w:t>
      </w:r>
    </w:p>
    <w:p>
      <w:r>
        <w:rPr>
          <w:b/>
        </w:rPr>
        <w:t>Fish: 9 species, H&lt;sub&gt;f&lt;/sub&gt; = 1.40 | Algae: 178 ESVs, H&lt;sub&gt;a&lt;/sub&gt; = 4.43 (second highest in dataset)</w:t>
      </w:r>
    </w:p>
    <w:p>
      <w:r>
        <w:t>The fish community here names this site's character plainly: Mummichog (42.1%), Fourspine Stickleback (31.6%), American Eel (15.6%).</w:t>
      </w:r>
    </w:p>
    <w:p>
      <w:r>
        <w:t>Mummichog (</w:t>
      </w:r>
      <w:r>
        <w:rPr>
          <w:i/>
        </w:rPr>
        <w:t>Fundulus heteroclitus</w:t>
      </w:r>
      <w:r>
        <w:t>) is the quintessential salt marsh and tidal creek fish. It tolerates salinity from fresh to full seawater, survives low oxygen, and thrives in tidal dynamics. Fourspine Stickleback is a brackish-water specialist common in coastal New England tidal waters. American Eel confirms ocean connectivity. Together, these three species define a tidal freshwater to oligohaline transition zone. This site is directly influenced by tidal action.</w:t>
      </w:r>
    </w:p>
    <w:p>
      <w:r>
        <w:t xml:space="preserve">The algal community is the second most diverse in the entire dataset — 178 ESVs, </w:t>
      </w:r>
      <w:r>
        <w:t>H</w:t>
      </w:r>
      <w:r>
        <w:rPr>
          <w:sz w:val="16"/>
          <w:vertAlign w:val="subscript"/>
        </w:rPr>
        <w:t>a</w:t>
      </w:r>
      <w:r>
        <w:t xml:space="preserve"> = 4.43. This is ecologically consistent: tidal systems receive regular pulses of nutrients (from marine water, decomposing organic matter, and resuspension of sediments), supporting high algal diversity. Diatoms (unclassified, 23.1%) are classic estuarine primary producers — ubiquitous in tidal reaches where silica, nitrogen, and phosphorus are renewed by tidal flux. Cryptomonas (22.0%) is competitive in the low-light, mixed-salinity conditions of a tidal fringe.</w:t>
      </w:r>
    </w:p>
    <w:p>
      <w:r>
        <w:t>Combined: Below School St is a functioning tidal transition ecosystem. The algal base is rich and tidal-driven; the fish community is appropriately assembled for the habitat. No impairment signal. This is what a healthy coastal tidal reach looks like in late November.</w:t>
      </w:r>
    </w:p>
    <w:p>
      <w:pPr>
        <w:pStyle w:val="Heading2"/>
      </w:pPr>
      <w:r>
        <w:t>Lower Golf Course / Sawmill Brook | C4SUMTFY.1</w:t>
      </w:r>
    </w:p>
    <w:p>
      <w:r>
        <w:rPr>
          <w:b/>
        </w:rPr>
        <w:t>Fish: 9 species, H&lt;sub&gt;f&lt;/sub&gt; = 1.62 | Algae: 140 ESVs, H&lt;sub&gt;a&lt;/sub&gt; = 3.57</w:t>
      </w:r>
    </w:p>
    <w:p>
      <w:r>
        <w:t>This is the most ecologically complex site in the Massachusetts dataset, and the most interesting.</w:t>
      </w:r>
    </w:p>
    <w:p>
      <w:r>
        <w:t>The fish community straddles two worlds: Fourspine Stickleback (32.4%) and Mummichog (8.5%) signal tidal/estuarine influence; Golden Shiner (14.9%) and Sunfish sp. (24.5%) are freshwater warm-water taxa. American Eel (17.3%) bridges both. Rainbow Smelt (0.2%) and Yellow Perch (1.4%) add coastal connectivity and tolerant generalist presence, respectively. This is a mixing zone — freshwater meeting tidal backwater — and the fish community reflects exactly that ecotone. Ecotones are often biodiversity hotspots precisely because they receive inputs from both adjacent systems.</w:t>
      </w:r>
    </w:p>
    <w:p>
      <w:r>
        <w:t>The algal signal here is the most striking in the Massachusetts data: Charophytes (Stoneworts) at 35.0%.</w:t>
      </w:r>
    </w:p>
    <w:p>
      <w:r>
        <w:t>Stoneworts (</w:t>
      </w:r>
      <w:r>
        <w:rPr>
          <w:i/>
        </w:rPr>
        <w:t>Chara</w:t>
      </w:r>
      <w:r>
        <w:t xml:space="preserve">, </w:t>
      </w:r>
      <w:r>
        <w:rPr>
          <w:i/>
        </w:rPr>
        <w:t>Nitella</w:t>
      </w:r>
      <w:r>
        <w:t>, and related genera) are not technically algae in the common sense — they are macrophytic charophytes, large, structurally complex plants that anchor to the substrate and can dominate shallow, clear, well-lit water. They are exquisitely sensitive indicators:</w:t>
      </w:r>
    </w:p>
    <w:p>
      <w:pPr>
        <w:pStyle w:val="ListBullet"/>
      </w:pPr>
      <w:r>
        <w:rPr>
          <w:b/>
        </w:rPr>
        <w:t>Water clarity</w:t>
      </w:r>
      <w:r>
        <w:t>: Stoneworts cannot survive turbid water. Their dominance here means good light penetration and low suspended sediment.</w:t>
      </w:r>
    </w:p>
    <w:p>
      <w:pPr>
        <w:pStyle w:val="ListBullet"/>
      </w:pPr>
      <w:r>
        <w:rPr>
          <w:b/>
        </w:rPr>
        <w:t>Calcium</w:t>
      </w:r>
      <w:r>
        <w:t>: Stoneworts require calcium to build their calcareous cell walls. Their presence signals a harder, more mineral-rich water than the Maine sites — likely groundwater or spring inputs delivering dissolved Ca²⁺.</w:t>
      </w:r>
    </w:p>
    <w:p>
      <w:pPr>
        <w:pStyle w:val="ListBullet"/>
      </w:pPr>
      <w:r>
        <w:rPr>
          <w:b/>
        </w:rPr>
        <w:t>pH</w:t>
      </w:r>
      <w:r>
        <w:t>: Stoneworts grow optimally between pH 6.5 and 8.0. This is alkaline by Maine standards.</w:t>
      </w:r>
    </w:p>
    <w:p>
      <w:pPr>
        <w:pStyle w:val="ListBullet"/>
      </w:pPr>
      <w:r>
        <w:rPr>
          <w:b/>
        </w:rPr>
        <w:t>Nutrient status</w:t>
      </w:r>
      <w:r>
        <w:t>: Stoneworts are outcompeted by filamentous algae and phytoplankton under nutrient-enriched conditions. Their dominance here indicates oligotrophic to mesotrophic, clean water.</w:t>
      </w:r>
    </w:p>
    <w:p>
      <w:pPr>
        <w:pStyle w:val="ListBullet"/>
      </w:pPr>
      <w:r>
        <w:rPr>
          <w:b/>
        </w:rPr>
        <w:t>Habitat value</w:t>
      </w:r>
      <w:r>
        <w:t>: Stonewort beds are structural habitat — fish, invertebrates, and amphibians all use them for cover, spawning, and foraging.</w:t>
      </w:r>
    </w:p>
    <w:p>
      <w:r>
        <w:t>A 35% Stonewort signal at a tidal interface site, surrounded by the coastal development of Manchester-by-the-Sea, is a genuinely positive ecological finding. It suggests a groundwater or spring component delivering clean, calcium-rich water to this reach, maintaining conditions suitable for a sensitive indicator species even in an anthropogenically complex landscape.</w:t>
      </w:r>
    </w:p>
    <w:p>
      <w:r>
        <w:t>Combined: Lower Golf Course / Sawmill Brook sits at the intersection of productive tidal ecology and a clean, calcium-rich freshwater input. The fish community captures the ecotone perfectly. The Stonewort signal is the most hopeful single data point in the Massachusetts dataset.</w:t>
      </w:r>
    </w:p>
    <w:p>
      <w:pPr>
        <w:pStyle w:val="Heading2"/>
      </w:pPr>
      <w:r>
        <w:t>Massachusetts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left"/>
            </w:pPr>
            <w:r>
              <w:rPr>
                <w:b/>
              </w:rPr>
              <w:t>Site</w:t>
            </w:r>
          </w:p>
        </w:tc>
        <w:tc>
          <w:tcPr>
            <w:tcW w:type="dxa" w:w="1440"/>
          </w:tcPr>
          <w:p>
            <w:pPr>
              <w:jc w:val="left"/>
            </w:pPr>
            <w:r>
              <w:rPr>
                <w:b/>
              </w:rPr>
              <w:t>Fish spp.</w:t>
            </w:r>
          </w:p>
        </w:tc>
        <w:tc>
          <w:tcPr>
            <w:tcW w:type="dxa" w:w="1440"/>
          </w:tcPr>
          <w:p>
            <w:pPr>
              <w:jc w:val="left"/>
            </w:pPr>
            <w:r>
              <w:rPr>
                <w:b/>
              </w:rPr>
              <w:t>H</w:t>
            </w:r>
            <w:r>
              <w:rPr>
                <w:b/>
                <w:sz w:val="16"/>
                <w:vertAlign w:val="subscript"/>
              </w:rPr>
              <w:t>f</w:t>
            </w:r>
          </w:p>
        </w:tc>
        <w:tc>
          <w:tcPr>
            <w:tcW w:type="dxa" w:w="1440"/>
          </w:tcPr>
          <w:p>
            <w:pPr>
              <w:jc w:val="left"/>
            </w:pPr>
            <w:r>
              <w:rPr>
                <w:b/>
              </w:rPr>
              <w:t>Algae ESVs</w:t>
            </w:r>
          </w:p>
        </w:tc>
        <w:tc>
          <w:tcPr>
            <w:tcW w:type="dxa" w:w="1440"/>
          </w:tcPr>
          <w:p>
            <w:pPr>
              <w:jc w:val="left"/>
            </w:pPr>
            <w:r>
              <w:rPr>
                <w:b/>
              </w:rPr>
              <w:t>H</w:t>
            </w:r>
            <w:r>
              <w:rPr>
                <w:b/>
                <w:sz w:val="16"/>
                <w:vertAlign w:val="subscript"/>
              </w:rPr>
              <w:t>a</w:t>
            </w:r>
          </w:p>
        </w:tc>
        <w:tc>
          <w:tcPr>
            <w:tcW w:type="dxa" w:w="1440"/>
          </w:tcPr>
          <w:p>
            <w:pPr>
              <w:jc w:val="left"/>
            </w:pPr>
            <w:r>
              <w:rPr>
                <w:b/>
              </w:rPr>
              <w:t>Character</w:t>
            </w:r>
          </w:p>
        </w:tc>
      </w:tr>
      <w:tr>
        <w:tc>
          <w:tcPr>
            <w:tcW w:type="dxa" w:w="1440"/>
          </w:tcPr>
          <w:p>
            <w:pPr>
              <w:jc w:val="left"/>
            </w:pPr>
            <w:r>
              <w:t>Lower Golf Course / Sawmill</w:t>
            </w:r>
          </w:p>
        </w:tc>
        <w:tc>
          <w:tcPr>
            <w:tcW w:type="dxa" w:w="1440"/>
          </w:tcPr>
          <w:p>
            <w:pPr>
              <w:jc w:val="left"/>
            </w:pPr>
            <w:r>
              <w:t>9</w:t>
            </w:r>
          </w:p>
        </w:tc>
        <w:tc>
          <w:tcPr>
            <w:tcW w:type="dxa" w:w="1440"/>
          </w:tcPr>
          <w:p>
            <w:pPr>
              <w:jc w:val="left"/>
            </w:pPr>
            <w:r>
              <w:t>1.62</w:t>
            </w:r>
          </w:p>
        </w:tc>
        <w:tc>
          <w:tcPr>
            <w:tcW w:type="dxa" w:w="1440"/>
          </w:tcPr>
          <w:p>
            <w:pPr>
              <w:jc w:val="left"/>
            </w:pPr>
            <w:r>
              <w:t>140</w:t>
            </w:r>
          </w:p>
        </w:tc>
        <w:tc>
          <w:tcPr>
            <w:tcW w:type="dxa" w:w="1440"/>
          </w:tcPr>
          <w:p>
            <w:pPr>
              <w:jc w:val="left"/>
            </w:pPr>
            <w:r>
              <w:t>3.57</w:t>
            </w:r>
          </w:p>
        </w:tc>
        <w:tc>
          <w:tcPr>
            <w:tcW w:type="dxa" w:w="1440"/>
          </w:tcPr>
          <w:p>
            <w:pPr>
              <w:jc w:val="left"/>
            </w:pPr>
            <w:r>
              <w:rPr>
                <w:b/>
              </w:rPr>
              <w:t>Ecotone — stonewort-rich, Ca-rich freshwater meets tidal</w:t>
            </w:r>
          </w:p>
        </w:tc>
      </w:tr>
      <w:tr>
        <w:tc>
          <w:tcPr>
            <w:tcW w:type="dxa" w:w="1440"/>
          </w:tcPr>
          <w:p>
            <w:pPr>
              <w:jc w:val="left"/>
            </w:pPr>
            <w:r>
              <w:t>Below School St</w:t>
            </w:r>
          </w:p>
        </w:tc>
        <w:tc>
          <w:tcPr>
            <w:tcW w:type="dxa" w:w="1440"/>
          </w:tcPr>
          <w:p>
            <w:pPr>
              <w:jc w:val="left"/>
            </w:pPr>
            <w:r>
              <w:t>9</w:t>
            </w:r>
          </w:p>
        </w:tc>
        <w:tc>
          <w:tcPr>
            <w:tcW w:type="dxa" w:w="1440"/>
          </w:tcPr>
          <w:p>
            <w:pPr>
              <w:jc w:val="left"/>
            </w:pPr>
            <w:r>
              <w:t>1.40</w:t>
            </w:r>
          </w:p>
        </w:tc>
        <w:tc>
          <w:tcPr>
            <w:tcW w:type="dxa" w:w="1440"/>
          </w:tcPr>
          <w:p>
            <w:pPr>
              <w:jc w:val="left"/>
            </w:pPr>
            <w:r>
              <w:t>178</w:t>
            </w:r>
          </w:p>
        </w:tc>
        <w:tc>
          <w:tcPr>
            <w:tcW w:type="dxa" w:w="1440"/>
          </w:tcPr>
          <w:p>
            <w:pPr>
              <w:jc w:val="left"/>
            </w:pPr>
            <w:r>
              <w:t>4.43</w:t>
            </w:r>
          </w:p>
        </w:tc>
        <w:tc>
          <w:tcPr>
            <w:tcW w:type="dxa" w:w="1440"/>
          </w:tcPr>
          <w:p>
            <w:pPr>
              <w:jc w:val="left"/>
            </w:pPr>
            <w:r>
              <w:rPr>
                <w:b/>
              </w:rPr>
              <w:t>Tidal transition — high algal diversity, coastal fish</w:t>
            </w:r>
          </w:p>
        </w:tc>
      </w:tr>
      <w:tr>
        <w:tc>
          <w:tcPr>
            <w:tcW w:type="dxa" w:w="1440"/>
          </w:tcPr>
          <w:p>
            <w:pPr>
              <w:jc w:val="left"/>
            </w:pPr>
            <w:r>
              <w:t>Upper Sawmill</w:t>
            </w:r>
          </w:p>
        </w:tc>
        <w:tc>
          <w:tcPr>
            <w:tcW w:type="dxa" w:w="1440"/>
          </w:tcPr>
          <w:p>
            <w:pPr>
              <w:jc w:val="left"/>
            </w:pPr>
            <w:r>
              <w:t>5</w:t>
            </w:r>
          </w:p>
        </w:tc>
        <w:tc>
          <w:tcPr>
            <w:tcW w:type="dxa" w:w="1440"/>
          </w:tcPr>
          <w:p>
            <w:pPr>
              <w:jc w:val="left"/>
            </w:pPr>
            <w:r>
              <w:t>0.87</w:t>
            </w:r>
          </w:p>
        </w:tc>
        <w:tc>
          <w:tcPr>
            <w:tcW w:type="dxa" w:w="1440"/>
          </w:tcPr>
          <w:p>
            <w:pPr>
              <w:jc w:val="left"/>
            </w:pPr>
            <w:r>
              <w:t>151</w:t>
            </w:r>
          </w:p>
        </w:tc>
        <w:tc>
          <w:tcPr>
            <w:tcW w:type="dxa" w:w="1440"/>
          </w:tcPr>
          <w:p>
            <w:pPr>
              <w:jc w:val="left"/>
            </w:pPr>
            <w:r>
              <w:t>4.20</w:t>
            </w:r>
          </w:p>
        </w:tc>
        <w:tc>
          <w:tcPr>
            <w:tcW w:type="dxa" w:w="1440"/>
          </w:tcPr>
          <w:p>
            <w:pPr>
              <w:jc w:val="left"/>
            </w:pPr>
            <w:r>
              <w:t>Pond habitat — soft-water cryptophyte community, warm-water fish</w:t>
            </w:r>
          </w:p>
        </w:tc>
      </w:tr>
    </w:tbl>
    <w:p/>
    <w:p>
      <w:r>
        <w:t>No impairment signals in Manchester-by-the-Sea. The three sites represent a downstream gradient from pond to tidal, with the ecotone at Golf Course/Sawmill being the most ecologically complex and the most valuable from a conservation standpoint.</w:t>
      </w:r>
    </w:p>
    <w:p>
      <w:pPr>
        <w:pStyle w:val="Heading1"/>
      </w:pPr>
      <w:r>
        <w:t>The Combined Story: What Algae and Fish Together Tell Us</w:t>
      </w:r>
    </w:p>
    <w:p>
      <w:pPr>
        <w:pStyle w:val="Heading2"/>
      </w:pPr>
      <w:r>
        <w:t>1. Water Chemistry Written in Biology</w:t>
      </w:r>
    </w:p>
    <w:p>
      <w:r>
        <w:t>The Maine sites are soft, acidic, low-mineral systems. The algal indicators confirm this universally: Synura dominance at Crotch Camp Brook, acid-specialist communities at McCoy Brook, Cryptophyte/Chrysophyte assemblages elsewhere. Where pH drops to 3.54, fish disappear and only acid-tolerant algae remain. Where pH is more moderate (though still soft), salmonids and native cyprinids persist alongside a diverse algal base.</w:t>
      </w:r>
    </w:p>
    <w:p>
      <w:r>
        <w:t>The Massachusetts sites show harder, more alkaline, more mineral-rich conditions — particularly at Golf Course/Sawmill Brook where Stoneworts signal calcium-rich, clear groundwater. Tidal input at the two lower sites enriches the system with marine-derived nutrients, driving high algal diversity without apparent eutrophication.</w:t>
      </w:r>
    </w:p>
    <w:p>
      <w:pPr>
        <w:pStyle w:val="Heading2"/>
      </w:pPr>
      <w:r>
        <w:t>2. Algae Drive the System — Literally</w:t>
      </w:r>
    </w:p>
    <w:p>
      <w:r>
        <w:t>Primary production (algae) sets the ceiling on everything above it. Nutrient-poor, Synura-dominated Crotch Camp Brook supports moderate fish diversity at best. Algal-rich, ESV-diverse West Branch Narraguagus supports 14 fish species. Tidal nutrient-subsidized Below School St generates 178 algal ESVs and a structurally complete tidal fish community.</w:t>
      </w:r>
    </w:p>
    <w:p>
      <w:r>
        <w:t>The relationship is not coincidental. More algal diversity → more invertebrate diversity → more food web complexity → more fish diversity. The eDNA is capturing the base and the apex simultaneously.</w:t>
      </w:r>
    </w:p>
    <w:p>
      <w:pPr>
        <w:pStyle w:val="Heading2"/>
      </w:pPr>
      <w:r>
        <w:t>3. Connectivity Is the Wild Card</w:t>
      </w:r>
    </w:p>
    <w:p>
      <w:r>
        <w:t>The presence of American Eel in six of eight sampled sites (all but McCoy Brook and possibly Crotch Camp) confirms that ocean connectivity runs through most of this landscape. On the Narraguagus, Alewife, Atlantic Salmon, and Sea Lamprey amplify that connectivity signal dramatically. Anadromous fish carry marine-derived nutrients (nitrogen, phosphorus, marine-origin carbon) into freshwater when they spawn and die — they are a subsidy from the ocean to the watershed. Sites with strong anadromous signals tend to have richer fish communities, and this dataset supports that pattern.</w:t>
      </w:r>
    </w:p>
    <w:p>
      <w:pPr>
        <w:pStyle w:val="Heading2"/>
      </w:pPr>
      <w:r>
        <w:t>4. The Impairment Signal</w:t>
      </w:r>
    </w:p>
    <w:p>
      <w:r>
        <w:t>McCoy Brook stands alone. pH 3.54 is not a background condition — it is an ecological emergency in a stream that should, based on watershed position, support brook trout, dace, and sucker alongside a diverse algal community. Whether the source is peatland drainage, historic acid rain effects on soil buffering capacity, or some local factor is not resolvable from this dataset alone — but the biological evidence is unambiguous.</w:t>
      </w:r>
    </w:p>
    <w:p>
      <w:r>
        <w:t>UNT Lane Rd warrants follow-up. The eel-only fish signal with adequate algal diversity does not fit the impairment pattern cleanly, but it does not fit the reference condition pattern either. Seasonal resampling would resolve the question.</w:t>
      </w:r>
    </w:p>
    <w:p>
      <w:pPr>
        <w:pStyle w:val="Heading2"/>
      </w:pPr>
      <w:r>
        <w:t>5. What These Systems Could Be</w:t>
      </w:r>
    </w:p>
    <w:p>
      <w:r>
        <w:t>The Narraguagus watershed at its best — Rt 193 and West Branch — shows what these systems are capable of when chemistry is adequate and ocean connectivity is intact: 14–19 fish species, traces of Atlantic Salmon and Sea Lamprey, the most complex algal communities in the dataset. The signal is there. The question for McCoy Brook and UNT Lane Rd is whether the barriers to that condition are natural, addressable, or both.</w:t>
      </w:r>
    </w:p>
    <w:p>
      <w:r>
        <w:t>Manchester-by-the-Sea presents a different story: a tidal system under moderate development pressure that still supports Stoneworts, Mummichog, Fourspine Stickleback, Alewife-connected eels, and 150+ algal ESVs at each site. The ecological architecture is intact. It is worth protecting.</w:t>
      </w:r>
    </w:p>
    <w:p>
      <w:r>
        <w:rPr>
          <w:i/>
        </w:rPr>
        <w:t>Batch JVB5776 | 23S rRNA (algae) + MiFish 12S rRNA (fish) | Analyzed April 2027</w:t>
      </w:r>
    </w:p>
    <w:p>
      <w:r>
        <w:rPr>
          <w:i/>
        </w:rPr>
        <w:t>Data only. All interpretations are based solely on measured eDNA read abundances in this dataset.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